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B64A" w14:textId="77777777" w:rsidR="0060392A" w:rsidRDefault="0060392A" w:rsidP="0060392A">
      <w:pPr>
        <w:pStyle w:val="Blocktext"/>
        <w:spacing w:line="240" w:lineRule="auto"/>
        <w:jc w:val="center"/>
        <w:rPr>
          <w:rFonts w:ascii="Times New Roman" w:hAnsi="Times New Roman"/>
          <w:b/>
          <w:sz w:val="48"/>
          <w:szCs w:val="48"/>
        </w:rPr>
      </w:pPr>
      <w:r>
        <w:rPr>
          <w:rFonts w:ascii="Times New Roman" w:hAnsi="Times New Roman"/>
          <w:b/>
          <w:noProof/>
          <w:sz w:val="48"/>
          <w:szCs w:val="48"/>
        </w:rPr>
        <w:drawing>
          <wp:anchor distT="0" distB="0" distL="114300" distR="114300" simplePos="0" relativeHeight="251658240" behindDoc="0" locked="0" layoutInCell="1" allowOverlap="1" wp14:anchorId="1503D30E" wp14:editId="4EC47FED">
            <wp:simplePos x="0" y="0"/>
            <wp:positionH relativeFrom="margin">
              <wp:posOffset>3875224</wp:posOffset>
            </wp:positionH>
            <wp:positionV relativeFrom="margin">
              <wp:posOffset>-464911</wp:posOffset>
            </wp:positionV>
            <wp:extent cx="2510790" cy="1523365"/>
            <wp:effectExtent l="0" t="0" r="381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schirmfoto 2019-01-05 um 4.15.01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0790" cy="1523365"/>
                    </a:xfrm>
                    <a:prstGeom prst="rect">
                      <a:avLst/>
                    </a:prstGeom>
                  </pic:spPr>
                </pic:pic>
              </a:graphicData>
            </a:graphic>
            <wp14:sizeRelH relativeFrom="margin">
              <wp14:pctWidth>0</wp14:pctWidth>
            </wp14:sizeRelH>
            <wp14:sizeRelV relativeFrom="margin">
              <wp14:pctHeight>0</wp14:pctHeight>
            </wp14:sizeRelV>
          </wp:anchor>
        </w:drawing>
      </w:r>
    </w:p>
    <w:p w14:paraId="4B24FD1D" w14:textId="77777777" w:rsidR="0060392A" w:rsidRDefault="0060392A" w:rsidP="0060392A">
      <w:pPr>
        <w:pStyle w:val="Blocktext"/>
        <w:spacing w:line="240" w:lineRule="auto"/>
        <w:jc w:val="center"/>
        <w:rPr>
          <w:rFonts w:ascii="Times New Roman" w:hAnsi="Times New Roman"/>
          <w:b/>
          <w:sz w:val="48"/>
          <w:szCs w:val="48"/>
        </w:rPr>
      </w:pPr>
    </w:p>
    <w:p w14:paraId="650F1F45" w14:textId="77777777" w:rsidR="0060392A" w:rsidRDefault="0060392A" w:rsidP="0060392A">
      <w:pPr>
        <w:pStyle w:val="Blocktext"/>
        <w:spacing w:line="240" w:lineRule="auto"/>
        <w:jc w:val="center"/>
        <w:rPr>
          <w:rFonts w:ascii="Times New Roman" w:hAnsi="Times New Roman"/>
          <w:b/>
          <w:sz w:val="48"/>
          <w:szCs w:val="48"/>
        </w:rPr>
      </w:pPr>
    </w:p>
    <w:p w14:paraId="102F7CD3" w14:textId="77777777" w:rsidR="0060392A" w:rsidRDefault="0060392A" w:rsidP="0060392A">
      <w:pPr>
        <w:pStyle w:val="Blocktext"/>
        <w:spacing w:line="240" w:lineRule="auto"/>
        <w:jc w:val="center"/>
        <w:rPr>
          <w:rFonts w:ascii="Times New Roman" w:hAnsi="Times New Roman"/>
          <w:b/>
          <w:sz w:val="48"/>
          <w:szCs w:val="48"/>
        </w:rPr>
      </w:pPr>
    </w:p>
    <w:p w14:paraId="08D46D91" w14:textId="77777777" w:rsidR="0060392A" w:rsidRDefault="0060392A" w:rsidP="0060392A">
      <w:pPr>
        <w:pStyle w:val="Blocktext"/>
        <w:spacing w:line="240" w:lineRule="auto"/>
        <w:jc w:val="center"/>
        <w:rPr>
          <w:rFonts w:ascii="Times New Roman" w:hAnsi="Times New Roman"/>
          <w:b/>
          <w:sz w:val="48"/>
          <w:szCs w:val="48"/>
        </w:rPr>
      </w:pPr>
    </w:p>
    <w:p w14:paraId="587C0F05" w14:textId="77777777" w:rsidR="0060392A" w:rsidRDefault="0060392A" w:rsidP="0060392A">
      <w:pPr>
        <w:pStyle w:val="Blocktext"/>
        <w:spacing w:line="240" w:lineRule="auto"/>
        <w:rPr>
          <w:rFonts w:ascii="Times New Roman" w:hAnsi="Times New Roman"/>
          <w:b/>
          <w:sz w:val="48"/>
          <w:szCs w:val="48"/>
        </w:rPr>
      </w:pPr>
    </w:p>
    <w:p w14:paraId="2A590743" w14:textId="77777777" w:rsidR="0060392A" w:rsidRPr="00755D53" w:rsidRDefault="0060392A" w:rsidP="0060392A">
      <w:pPr>
        <w:pStyle w:val="Blocktext"/>
        <w:spacing w:line="240" w:lineRule="auto"/>
        <w:jc w:val="center"/>
        <w:rPr>
          <w:rFonts w:ascii="Times New Roman" w:hAnsi="Times New Roman"/>
          <w:b/>
          <w:sz w:val="48"/>
          <w:szCs w:val="48"/>
        </w:rPr>
      </w:pPr>
      <w:r>
        <w:rPr>
          <w:rFonts w:ascii="Times New Roman" w:hAnsi="Times New Roman"/>
          <w:b/>
          <w:sz w:val="48"/>
          <w:szCs w:val="48"/>
        </w:rPr>
        <w:t>Der Einfluss von Bilanzierungsqualität auf die Ausgestaltung von Kreditverträgen</w:t>
      </w:r>
    </w:p>
    <w:p w14:paraId="34786404" w14:textId="77777777" w:rsidR="009D6042" w:rsidRDefault="009D6042" w:rsidP="0060392A">
      <w:pPr>
        <w:jc w:val="center"/>
      </w:pPr>
    </w:p>
    <w:p w14:paraId="09A1BCA8" w14:textId="77777777" w:rsidR="0060392A" w:rsidRDefault="0060392A" w:rsidP="0060392A">
      <w:pPr>
        <w:jc w:val="center"/>
      </w:pPr>
    </w:p>
    <w:p w14:paraId="1CCF2C49" w14:textId="77777777" w:rsidR="0060392A" w:rsidRDefault="0060392A" w:rsidP="0060392A">
      <w:pPr>
        <w:pStyle w:val="Blocktext"/>
        <w:jc w:val="center"/>
        <w:rPr>
          <w:rFonts w:ascii="Times New Roman" w:hAnsi="Times New Roman"/>
          <w:sz w:val="28"/>
          <w:szCs w:val="28"/>
        </w:rPr>
      </w:pPr>
      <w:r>
        <w:rPr>
          <w:rFonts w:ascii="Times New Roman" w:hAnsi="Times New Roman"/>
          <w:sz w:val="28"/>
          <w:szCs w:val="28"/>
        </w:rPr>
        <w:t>Seminararbeit</w:t>
      </w:r>
    </w:p>
    <w:p w14:paraId="52E2A949" w14:textId="77777777" w:rsidR="0060392A" w:rsidRDefault="0060392A" w:rsidP="0060392A">
      <w:pPr>
        <w:pStyle w:val="Blocktext"/>
        <w:jc w:val="center"/>
        <w:rPr>
          <w:rFonts w:ascii="Times New Roman" w:hAnsi="Times New Roman"/>
          <w:sz w:val="28"/>
          <w:szCs w:val="28"/>
        </w:rPr>
      </w:pPr>
      <w:r>
        <w:rPr>
          <w:rFonts w:ascii="Times New Roman" w:hAnsi="Times New Roman"/>
          <w:sz w:val="28"/>
          <w:szCs w:val="28"/>
        </w:rPr>
        <w:t>im Rahmen des Blockseminars im Bachelor BWL (FS FACTS)</w:t>
      </w:r>
    </w:p>
    <w:p w14:paraId="5C853B45" w14:textId="77777777" w:rsidR="0060392A" w:rsidRPr="00D12F73" w:rsidRDefault="0060392A" w:rsidP="0060392A">
      <w:pPr>
        <w:pStyle w:val="Blocktext"/>
        <w:jc w:val="center"/>
        <w:rPr>
          <w:rFonts w:ascii="Times New Roman" w:hAnsi="Times New Roman"/>
          <w:sz w:val="28"/>
          <w:szCs w:val="28"/>
        </w:rPr>
      </w:pPr>
    </w:p>
    <w:p w14:paraId="7E3FB987" w14:textId="77777777" w:rsidR="0060392A" w:rsidRDefault="0060392A" w:rsidP="0060392A">
      <w:pPr>
        <w:pStyle w:val="Blocktext"/>
        <w:jc w:val="center"/>
        <w:rPr>
          <w:rFonts w:ascii="Times New Roman" w:hAnsi="Times New Roman"/>
          <w:sz w:val="24"/>
          <w:szCs w:val="24"/>
        </w:rPr>
      </w:pPr>
      <w:r>
        <w:rPr>
          <w:rFonts w:ascii="Times New Roman" w:hAnsi="Times New Roman"/>
          <w:sz w:val="24"/>
          <w:szCs w:val="24"/>
        </w:rPr>
        <w:t>eingereicht bei</w:t>
      </w:r>
    </w:p>
    <w:p w14:paraId="1700D8A4" w14:textId="77777777" w:rsidR="0060392A" w:rsidRDefault="0060392A" w:rsidP="0060392A">
      <w:pPr>
        <w:pStyle w:val="Blocktext"/>
        <w:jc w:val="center"/>
        <w:rPr>
          <w:rFonts w:ascii="Times New Roman" w:hAnsi="Times New Roman"/>
          <w:sz w:val="24"/>
          <w:szCs w:val="24"/>
        </w:rPr>
      </w:pPr>
      <w:r>
        <w:rPr>
          <w:rFonts w:ascii="Times New Roman" w:hAnsi="Times New Roman"/>
          <w:sz w:val="24"/>
          <w:szCs w:val="24"/>
        </w:rPr>
        <w:t>Lehrstuhl für Interne Unternehmensrechnung/Controlling</w:t>
      </w:r>
    </w:p>
    <w:p w14:paraId="1683C08E" w14:textId="77777777" w:rsidR="0060392A" w:rsidRDefault="0060392A" w:rsidP="0060392A">
      <w:pPr>
        <w:jc w:val="center"/>
      </w:pPr>
    </w:p>
    <w:p w14:paraId="577ECB2C" w14:textId="77777777" w:rsidR="0060392A" w:rsidRDefault="0060392A"/>
    <w:p w14:paraId="36452AAE" w14:textId="77777777" w:rsidR="0060392A" w:rsidRDefault="0060392A"/>
    <w:p w14:paraId="16832AEF" w14:textId="77777777" w:rsidR="00CB0DEF" w:rsidRDefault="00CB0DEF"/>
    <w:p w14:paraId="03D3D1B1" w14:textId="77777777" w:rsidR="00CB0DEF" w:rsidRDefault="00CB0DEF" w:rsidP="0060392A">
      <w:pPr>
        <w:pStyle w:val="Blocktext"/>
        <w:jc w:val="left"/>
        <w:rPr>
          <w:rFonts w:ascii="Times New Roman" w:hAnsi="Times New Roman"/>
          <w:sz w:val="24"/>
          <w:szCs w:val="24"/>
        </w:rPr>
      </w:pPr>
    </w:p>
    <w:p w14:paraId="471AB754" w14:textId="77777777" w:rsidR="008E4D82" w:rsidRPr="00550931" w:rsidRDefault="008E4D82" w:rsidP="0060392A">
      <w:pPr>
        <w:pStyle w:val="Blocktext"/>
        <w:jc w:val="left"/>
        <w:rPr>
          <w:rFonts w:ascii="Times New Roman" w:hAnsi="Times New Roman"/>
          <w:sz w:val="24"/>
          <w:szCs w:val="24"/>
        </w:rPr>
      </w:pPr>
    </w:p>
    <w:p w14:paraId="70201AA3" w14:textId="77777777" w:rsidR="0060392A" w:rsidRPr="00550931" w:rsidRDefault="0060392A" w:rsidP="0060392A">
      <w:pPr>
        <w:pStyle w:val="Blocktext"/>
        <w:jc w:val="left"/>
        <w:rPr>
          <w:rFonts w:ascii="Times New Roman" w:hAnsi="Times New Roman"/>
          <w:sz w:val="24"/>
          <w:szCs w:val="24"/>
        </w:rPr>
      </w:pPr>
    </w:p>
    <w:p w14:paraId="1AAAC6EB" w14:textId="77777777" w:rsidR="0060392A" w:rsidRPr="00550931" w:rsidRDefault="0060392A" w:rsidP="0060392A">
      <w:pPr>
        <w:pStyle w:val="Blocktext"/>
        <w:jc w:val="left"/>
        <w:rPr>
          <w:rFonts w:ascii="Times New Roman" w:hAnsi="Times New Roman"/>
          <w:sz w:val="24"/>
          <w:szCs w:val="24"/>
        </w:rPr>
      </w:pPr>
    </w:p>
    <w:p w14:paraId="249DE7D6" w14:textId="77777777" w:rsidR="00C164CB" w:rsidRDefault="00C164CB" w:rsidP="0060392A">
      <w:pPr>
        <w:pStyle w:val="Blocktext"/>
        <w:jc w:val="left"/>
        <w:rPr>
          <w:rFonts w:ascii="Times New Roman" w:hAnsi="Times New Roman"/>
          <w:sz w:val="24"/>
          <w:szCs w:val="24"/>
        </w:rPr>
      </w:pPr>
    </w:p>
    <w:p w14:paraId="58D3B4A3" w14:textId="77777777" w:rsidR="006A0AE8" w:rsidRPr="00550931" w:rsidRDefault="006A0AE8" w:rsidP="0060392A">
      <w:pPr>
        <w:pStyle w:val="Blocktext"/>
        <w:jc w:val="left"/>
        <w:rPr>
          <w:rFonts w:ascii="Times New Roman" w:hAnsi="Times New Roman"/>
          <w:sz w:val="24"/>
          <w:szCs w:val="24"/>
        </w:rPr>
      </w:pPr>
    </w:p>
    <w:p w14:paraId="5925A864" w14:textId="77777777" w:rsidR="0060392A" w:rsidRDefault="0060392A"/>
    <w:p w14:paraId="5808860D" w14:textId="77777777" w:rsidR="008E4D82" w:rsidRDefault="008E4D82"/>
    <w:p w14:paraId="30DB3658" w14:textId="77777777" w:rsidR="008E4D82" w:rsidRDefault="008E4D82"/>
    <w:p w14:paraId="569BC554" w14:textId="77777777" w:rsidR="008E4D82" w:rsidRDefault="008E4D82"/>
    <w:p w14:paraId="006228BB" w14:textId="77777777" w:rsidR="008E4D82" w:rsidRDefault="008E4D82"/>
    <w:p w14:paraId="641229E7" w14:textId="77777777" w:rsidR="008E4D82" w:rsidRDefault="008E4D82"/>
    <w:p w14:paraId="06078ECA" w14:textId="77777777" w:rsidR="008E4D82" w:rsidRDefault="008E4D82"/>
    <w:p w14:paraId="710A0596" w14:textId="77777777" w:rsidR="008E4D82" w:rsidRDefault="008E4D82"/>
    <w:p w14:paraId="0F30B752" w14:textId="77777777" w:rsidR="008E4D82" w:rsidRDefault="008E4D82"/>
    <w:p w14:paraId="44107AAC" w14:textId="77777777" w:rsidR="008E4D82" w:rsidRDefault="008E4D82"/>
    <w:p w14:paraId="5B9E1792" w14:textId="77777777" w:rsidR="008E4D82" w:rsidRDefault="008E4D82"/>
    <w:p w14:paraId="0526F1B5" w14:textId="77777777" w:rsidR="008E4D82" w:rsidRDefault="008E4D82"/>
    <w:p w14:paraId="33BC0323" w14:textId="77777777" w:rsidR="008E4D82" w:rsidRDefault="008E4D82"/>
    <w:p w14:paraId="360E975B" w14:textId="77777777" w:rsidR="008E4D82" w:rsidRDefault="008E4D82"/>
    <w:bookmarkStart w:id="0" w:name="_Toc534205677" w:displacedByCustomXml="next"/>
    <w:sdt>
      <w:sdtPr>
        <w:rPr>
          <w:rFonts w:asciiTheme="minorHAnsi" w:hAnsiTheme="minorHAnsi" w:cstheme="minorBidi"/>
        </w:rPr>
        <w:id w:val="-80909425"/>
        <w:docPartObj>
          <w:docPartGallery w:val="Table of Contents"/>
          <w:docPartUnique/>
        </w:docPartObj>
      </w:sdtPr>
      <w:sdtEndPr>
        <w:rPr>
          <w:b/>
          <w:bCs/>
          <w:noProof/>
          <w:color w:val="000000" w:themeColor="text1"/>
        </w:rPr>
      </w:sdtEndPr>
      <w:sdtContent>
        <w:p w14:paraId="14B9E8A9" w14:textId="77777777" w:rsidR="0060392A" w:rsidRPr="00297265" w:rsidRDefault="0060392A" w:rsidP="0060392A">
          <w:pPr>
            <w:pStyle w:val="ControllingSeminarText"/>
            <w:rPr>
              <w:b/>
              <w:sz w:val="28"/>
              <w:szCs w:val="28"/>
            </w:rPr>
          </w:pPr>
          <w:r w:rsidRPr="00297265">
            <w:rPr>
              <w:b/>
              <w:sz w:val="28"/>
              <w:szCs w:val="28"/>
            </w:rPr>
            <w:t>Inhaltsverzeichnis</w:t>
          </w:r>
        </w:p>
        <w:p w14:paraId="3B1F5730" w14:textId="77777777" w:rsidR="00297265" w:rsidRPr="00297265" w:rsidRDefault="0060392A">
          <w:pPr>
            <w:pStyle w:val="Verzeichnis1"/>
            <w:tabs>
              <w:tab w:val="right" w:leader="dot" w:pos="9060"/>
            </w:tabs>
            <w:rPr>
              <w:rFonts w:ascii="Times New Roman" w:eastAsiaTheme="minorEastAsia" w:hAnsi="Times New Roman" w:cs="Times New Roman"/>
              <w:b w:val="0"/>
              <w:bCs w:val="0"/>
              <w:noProof/>
              <w:sz w:val="24"/>
              <w:szCs w:val="24"/>
              <w:lang w:eastAsia="de-DE"/>
            </w:rPr>
          </w:pPr>
          <w:r w:rsidRPr="00297265">
            <w:rPr>
              <w:rFonts w:ascii="Times New Roman" w:hAnsi="Times New Roman" w:cs="Times New Roman"/>
              <w:b w:val="0"/>
              <w:bCs w:val="0"/>
              <w:color w:val="000000" w:themeColor="text1"/>
              <w:sz w:val="24"/>
              <w:szCs w:val="24"/>
            </w:rPr>
            <w:fldChar w:fldCharType="begin"/>
          </w:r>
          <w:r w:rsidRPr="00297265">
            <w:rPr>
              <w:rFonts w:ascii="Times New Roman" w:hAnsi="Times New Roman" w:cs="Times New Roman"/>
              <w:color w:val="000000" w:themeColor="text1"/>
              <w:sz w:val="24"/>
              <w:szCs w:val="24"/>
            </w:rPr>
            <w:instrText>TOC \o "1-3" \h \z \u</w:instrText>
          </w:r>
          <w:r w:rsidRPr="00297265">
            <w:rPr>
              <w:rFonts w:ascii="Times New Roman" w:hAnsi="Times New Roman" w:cs="Times New Roman"/>
              <w:b w:val="0"/>
              <w:bCs w:val="0"/>
              <w:color w:val="000000" w:themeColor="text1"/>
              <w:sz w:val="24"/>
              <w:szCs w:val="24"/>
            </w:rPr>
            <w:fldChar w:fldCharType="separate"/>
          </w:r>
          <w:hyperlink w:anchor="_Toc534620104" w:history="1">
            <w:r w:rsidR="00297265" w:rsidRPr="00297265">
              <w:rPr>
                <w:rStyle w:val="Hyperlink"/>
                <w:rFonts w:ascii="Times New Roman" w:hAnsi="Times New Roman" w:cs="Times New Roman"/>
                <w:noProof/>
                <w:sz w:val="24"/>
                <w:szCs w:val="24"/>
              </w:rPr>
              <w:t>Abkürzungsverzeichnis</w:t>
            </w:r>
            <w:r w:rsidR="00297265" w:rsidRPr="00297265">
              <w:rPr>
                <w:rFonts w:ascii="Times New Roman" w:hAnsi="Times New Roman" w:cs="Times New Roman"/>
                <w:noProof/>
                <w:webHidden/>
                <w:sz w:val="24"/>
                <w:szCs w:val="24"/>
              </w:rPr>
              <w:tab/>
            </w:r>
            <w:r w:rsidR="00297265" w:rsidRPr="00297265">
              <w:rPr>
                <w:rFonts w:ascii="Times New Roman" w:hAnsi="Times New Roman" w:cs="Times New Roman"/>
                <w:noProof/>
                <w:webHidden/>
                <w:sz w:val="24"/>
                <w:szCs w:val="24"/>
              </w:rPr>
              <w:fldChar w:fldCharType="begin"/>
            </w:r>
            <w:r w:rsidR="00297265" w:rsidRPr="00297265">
              <w:rPr>
                <w:rFonts w:ascii="Times New Roman" w:hAnsi="Times New Roman" w:cs="Times New Roman"/>
                <w:noProof/>
                <w:webHidden/>
                <w:sz w:val="24"/>
                <w:szCs w:val="24"/>
              </w:rPr>
              <w:instrText xml:space="preserve"> PAGEREF _Toc534620104 \h </w:instrText>
            </w:r>
            <w:r w:rsidR="00297265" w:rsidRPr="00297265">
              <w:rPr>
                <w:rFonts w:ascii="Times New Roman" w:hAnsi="Times New Roman" w:cs="Times New Roman"/>
                <w:noProof/>
                <w:webHidden/>
                <w:sz w:val="24"/>
                <w:szCs w:val="24"/>
              </w:rPr>
            </w:r>
            <w:r w:rsidR="00297265"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IV</w:t>
            </w:r>
            <w:r w:rsidR="00297265" w:rsidRPr="00297265">
              <w:rPr>
                <w:rFonts w:ascii="Times New Roman" w:hAnsi="Times New Roman" w:cs="Times New Roman"/>
                <w:noProof/>
                <w:webHidden/>
                <w:sz w:val="24"/>
                <w:szCs w:val="24"/>
              </w:rPr>
              <w:fldChar w:fldCharType="end"/>
            </w:r>
          </w:hyperlink>
        </w:p>
        <w:p w14:paraId="3C60A454"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05" w:history="1">
            <w:r w:rsidRPr="00297265">
              <w:rPr>
                <w:rStyle w:val="Hyperlink"/>
                <w:rFonts w:ascii="Times New Roman" w:hAnsi="Times New Roman" w:cs="Times New Roman"/>
                <w:noProof/>
                <w:sz w:val="24"/>
                <w:szCs w:val="24"/>
              </w:rPr>
              <w:t>1</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Einleitung und Struktur der Arbeit</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_Toc534620105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w:t>
            </w:r>
            <w:r w:rsidRPr="00297265">
              <w:rPr>
                <w:rFonts w:ascii="Times New Roman" w:hAnsi="Times New Roman" w:cs="Times New Roman"/>
                <w:noProof/>
                <w:webHidden/>
                <w:sz w:val="24"/>
                <w:szCs w:val="24"/>
              </w:rPr>
              <w:fldChar w:fldCharType="end"/>
            </w:r>
          </w:hyperlink>
        </w:p>
        <w:p w14:paraId="628D06D3"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06" w:history="1">
            <w:r w:rsidRPr="00297265">
              <w:rPr>
                <w:rStyle w:val="Hyperlink"/>
                <w:rFonts w:ascii="Times New Roman" w:hAnsi="Times New Roman" w:cs="Times New Roman"/>
                <w:i w:val="0"/>
                <w:noProof/>
                <w:sz w:val="24"/>
                <w:szCs w:val="24"/>
              </w:rPr>
              <w:t>1.1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Hypothesen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_Toc534620106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2</w:t>
            </w:r>
            <w:r w:rsidRPr="00297265">
              <w:rPr>
                <w:rFonts w:ascii="Times New Roman" w:hAnsi="Times New Roman" w:cs="Times New Roman"/>
                <w:i w:val="0"/>
                <w:noProof/>
                <w:webHidden/>
                <w:sz w:val="24"/>
                <w:szCs w:val="24"/>
              </w:rPr>
              <w:fldChar w:fldCharType="end"/>
            </w:r>
          </w:hyperlink>
        </w:p>
        <w:p w14:paraId="574BC476"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07" w:history="1">
            <w:r w:rsidRPr="00297265">
              <w:rPr>
                <w:rStyle w:val="Hyperlink"/>
                <w:rFonts w:ascii="Times New Roman" w:hAnsi="Times New Roman" w:cs="Times New Roman"/>
                <w:noProof/>
                <w:sz w:val="24"/>
                <w:szCs w:val="24"/>
              </w:rPr>
              <w:t>2</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Der Kreditvertrag</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_Toc534620107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w:t>
            </w:r>
            <w:r w:rsidRPr="00297265">
              <w:rPr>
                <w:rFonts w:ascii="Times New Roman" w:hAnsi="Times New Roman" w:cs="Times New Roman"/>
                <w:noProof/>
                <w:webHidden/>
                <w:sz w:val="24"/>
                <w:szCs w:val="24"/>
              </w:rPr>
              <w:fldChar w:fldCharType="end"/>
            </w:r>
          </w:hyperlink>
        </w:p>
        <w:p w14:paraId="10BCCDB8"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08" w:history="1">
            <w:r w:rsidRPr="00297265">
              <w:rPr>
                <w:rStyle w:val="Hyperlink"/>
                <w:rFonts w:ascii="Times New Roman" w:hAnsi="Times New Roman" w:cs="Times New Roman"/>
                <w:i w:val="0"/>
                <w:noProof/>
                <w:sz w:val="24"/>
                <w:szCs w:val="24"/>
              </w:rPr>
              <w:t>2.1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Bestandteile des Kreditvertrags</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_Toc534620108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3</w:t>
            </w:r>
            <w:r w:rsidRPr="00297265">
              <w:rPr>
                <w:rFonts w:ascii="Times New Roman" w:hAnsi="Times New Roman" w:cs="Times New Roman"/>
                <w:i w:val="0"/>
                <w:noProof/>
                <w:webHidden/>
                <w:sz w:val="24"/>
                <w:szCs w:val="24"/>
              </w:rPr>
              <w:fldChar w:fldCharType="end"/>
            </w:r>
          </w:hyperlink>
        </w:p>
        <w:p w14:paraId="362CC012"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09" w:history="1">
            <w:r w:rsidRPr="00297265">
              <w:rPr>
                <w:rStyle w:val="Hyperlink"/>
                <w:rFonts w:ascii="Times New Roman" w:hAnsi="Times New Roman" w:cs="Times New Roman"/>
                <w:noProof/>
                <w:sz w:val="24"/>
                <w:szCs w:val="24"/>
              </w:rPr>
              <w:t>2.1.1</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Kreditlaufzeit</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_Toc534620109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3</w:t>
            </w:r>
            <w:r w:rsidRPr="00297265">
              <w:rPr>
                <w:rFonts w:ascii="Times New Roman" w:hAnsi="Times New Roman" w:cs="Times New Roman"/>
                <w:noProof/>
                <w:webHidden/>
                <w:sz w:val="24"/>
                <w:szCs w:val="24"/>
              </w:rPr>
              <w:fldChar w:fldCharType="end"/>
            </w:r>
          </w:hyperlink>
        </w:p>
        <w:p w14:paraId="6DD13D2A"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10" w:history="1">
            <w:r w:rsidRPr="00297265">
              <w:rPr>
                <w:rStyle w:val="Hyperlink"/>
                <w:rFonts w:ascii="Times New Roman" w:hAnsi="Times New Roman" w:cs="Times New Roman"/>
                <w:noProof/>
                <w:sz w:val="24"/>
                <w:szCs w:val="24"/>
              </w:rPr>
              <w:t>2.1.2</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Kreditzinsen/Zinskosten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_Toc534620110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4</w:t>
            </w:r>
            <w:r w:rsidRPr="00297265">
              <w:rPr>
                <w:rFonts w:ascii="Times New Roman" w:hAnsi="Times New Roman" w:cs="Times New Roman"/>
                <w:noProof/>
                <w:webHidden/>
                <w:sz w:val="24"/>
                <w:szCs w:val="24"/>
              </w:rPr>
              <w:fldChar w:fldCharType="end"/>
            </w:r>
          </w:hyperlink>
        </w:p>
        <w:p w14:paraId="0F24712B"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11" w:history="1">
            <w:r w:rsidRPr="00297265">
              <w:rPr>
                <w:rStyle w:val="Hyperlink"/>
                <w:rFonts w:ascii="Times New Roman" w:hAnsi="Times New Roman" w:cs="Times New Roman"/>
                <w:noProof/>
                <w:sz w:val="24"/>
                <w:szCs w:val="24"/>
              </w:rPr>
              <w:t>2.1.3</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Kreditsicherheiten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_Toc534620111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4</w:t>
            </w:r>
            <w:r w:rsidRPr="00297265">
              <w:rPr>
                <w:rFonts w:ascii="Times New Roman" w:hAnsi="Times New Roman" w:cs="Times New Roman"/>
                <w:noProof/>
                <w:webHidden/>
                <w:sz w:val="24"/>
                <w:szCs w:val="24"/>
              </w:rPr>
              <w:fldChar w:fldCharType="end"/>
            </w:r>
          </w:hyperlink>
        </w:p>
        <w:p w14:paraId="04162A4F"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12" w:history="1">
            <w:r w:rsidRPr="00297265">
              <w:rPr>
                <w:rStyle w:val="Hyperlink"/>
                <w:rFonts w:ascii="Times New Roman" w:hAnsi="Times New Roman" w:cs="Times New Roman"/>
                <w:noProof/>
                <w:sz w:val="24"/>
                <w:szCs w:val="24"/>
              </w:rPr>
              <w:t>2.1.4</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Covenants</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_Toc534620112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4</w:t>
            </w:r>
            <w:r w:rsidRPr="00297265">
              <w:rPr>
                <w:rFonts w:ascii="Times New Roman" w:hAnsi="Times New Roman" w:cs="Times New Roman"/>
                <w:noProof/>
                <w:webHidden/>
                <w:sz w:val="24"/>
                <w:szCs w:val="24"/>
              </w:rPr>
              <w:fldChar w:fldCharType="end"/>
            </w:r>
          </w:hyperlink>
        </w:p>
        <w:p w14:paraId="6161C834"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13" w:history="1">
            <w:r w:rsidRPr="00297265">
              <w:rPr>
                <w:rStyle w:val="Hyperlink"/>
                <w:rFonts w:ascii="Times New Roman" w:hAnsi="Times New Roman" w:cs="Times New Roman"/>
                <w:noProof/>
                <w:sz w:val="24"/>
                <w:szCs w:val="24"/>
              </w:rPr>
              <w:t>3</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Bilanzierungsqualität</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_Toc534620113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5</w:t>
            </w:r>
            <w:r w:rsidRPr="00297265">
              <w:rPr>
                <w:rFonts w:ascii="Times New Roman" w:hAnsi="Times New Roman" w:cs="Times New Roman"/>
                <w:noProof/>
                <w:webHidden/>
                <w:sz w:val="24"/>
                <w:szCs w:val="24"/>
              </w:rPr>
              <w:fldChar w:fldCharType="end"/>
            </w:r>
          </w:hyperlink>
        </w:p>
        <w:p w14:paraId="7F4A52DF" w14:textId="77777777" w:rsidR="00297265" w:rsidRPr="00297265" w:rsidRDefault="00297265" w:rsidP="00297265">
          <w:pPr>
            <w:pStyle w:val="Verzeichnis2"/>
            <w:tabs>
              <w:tab w:val="left" w:pos="960"/>
              <w:tab w:val="right" w:leader="dot" w:pos="9060"/>
            </w:tabs>
            <w:ind w:left="708" w:hanging="468"/>
            <w:rPr>
              <w:rFonts w:ascii="Times New Roman" w:eastAsiaTheme="minorEastAsia" w:hAnsi="Times New Roman" w:cs="Times New Roman"/>
              <w:i w:val="0"/>
              <w:iCs w:val="0"/>
              <w:noProof/>
              <w:sz w:val="24"/>
              <w:szCs w:val="24"/>
              <w:lang w:eastAsia="de-DE"/>
            </w:rPr>
          </w:pPr>
          <w:hyperlink w:anchor="_Toc534620114" w:history="1">
            <w:r w:rsidRPr="00297265">
              <w:rPr>
                <w:rStyle w:val="Hyperlink"/>
                <w:rFonts w:ascii="Times New Roman" w:hAnsi="Times New Roman" w:cs="Times New Roman"/>
                <w:i w:val="0"/>
                <w:noProof/>
                <w:sz w:val="24"/>
                <w:szCs w:val="24"/>
              </w:rPr>
              <w:t>3.1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Finanzberichterstattung als Mechanismus zur Reduzierung von Informationsasymmetrien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_Toc534620114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5</w:t>
            </w:r>
            <w:r w:rsidRPr="00297265">
              <w:rPr>
                <w:rFonts w:ascii="Times New Roman" w:hAnsi="Times New Roman" w:cs="Times New Roman"/>
                <w:i w:val="0"/>
                <w:noProof/>
                <w:webHidden/>
                <w:sz w:val="24"/>
                <w:szCs w:val="24"/>
              </w:rPr>
              <w:fldChar w:fldCharType="end"/>
            </w:r>
          </w:hyperlink>
        </w:p>
        <w:p w14:paraId="615A2900"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15" w:history="1">
            <w:r w:rsidRPr="00297265">
              <w:rPr>
                <w:rStyle w:val="Hyperlink"/>
                <w:rFonts w:ascii="Times New Roman" w:hAnsi="Times New Roman" w:cs="Times New Roman"/>
                <w:i w:val="0"/>
                <w:noProof/>
                <w:sz w:val="24"/>
                <w:szCs w:val="24"/>
              </w:rPr>
              <w:t>3.2</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Eingrenzung des Begriffs der Bilanzierungsqualität</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_Toc534620115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6</w:t>
            </w:r>
            <w:r w:rsidRPr="00297265">
              <w:rPr>
                <w:rFonts w:ascii="Times New Roman" w:hAnsi="Times New Roman" w:cs="Times New Roman"/>
                <w:i w:val="0"/>
                <w:noProof/>
                <w:webHidden/>
                <w:sz w:val="24"/>
                <w:szCs w:val="24"/>
              </w:rPr>
              <w:fldChar w:fldCharType="end"/>
            </w:r>
          </w:hyperlink>
        </w:p>
        <w:p w14:paraId="5AE3C5BB"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16" w:history="1">
            <w:r w:rsidRPr="00297265">
              <w:rPr>
                <w:rStyle w:val="Hyperlink"/>
                <w:rFonts w:ascii="Times New Roman" w:hAnsi="Times New Roman" w:cs="Times New Roman"/>
                <w:i w:val="0"/>
                <w:noProof/>
                <w:sz w:val="24"/>
                <w:szCs w:val="24"/>
              </w:rPr>
              <w:t>3.3</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Informationsasymmetrien zwischen Kapitalgebern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_Toc534620116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8</w:t>
            </w:r>
            <w:r w:rsidRPr="00297265">
              <w:rPr>
                <w:rFonts w:ascii="Times New Roman" w:hAnsi="Times New Roman" w:cs="Times New Roman"/>
                <w:i w:val="0"/>
                <w:noProof/>
                <w:webHidden/>
                <w:sz w:val="24"/>
                <w:szCs w:val="24"/>
              </w:rPr>
              <w:fldChar w:fldCharType="end"/>
            </w:r>
          </w:hyperlink>
        </w:p>
        <w:p w14:paraId="6F2583E0" w14:textId="77777777" w:rsidR="00297265" w:rsidRPr="00297265" w:rsidRDefault="00297265" w:rsidP="00297265">
          <w:pPr>
            <w:pStyle w:val="Verzeichnis1"/>
            <w:tabs>
              <w:tab w:val="left" w:pos="480"/>
              <w:tab w:val="right" w:leader="dot" w:pos="9060"/>
            </w:tabs>
            <w:ind w:left="240" w:hanging="240"/>
            <w:rPr>
              <w:rFonts w:ascii="Times New Roman" w:eastAsiaTheme="minorEastAsia" w:hAnsi="Times New Roman" w:cs="Times New Roman"/>
              <w:b w:val="0"/>
              <w:bCs w:val="0"/>
              <w:noProof/>
              <w:sz w:val="24"/>
              <w:szCs w:val="24"/>
              <w:lang w:eastAsia="de-DE"/>
            </w:rPr>
          </w:pPr>
          <w:hyperlink w:anchor="_Toc534620117" w:history="1">
            <w:r w:rsidRPr="00297265">
              <w:rPr>
                <w:rStyle w:val="Hyperlink"/>
                <w:rFonts w:ascii="Times New Roman" w:hAnsi="Times New Roman" w:cs="Times New Roman"/>
                <w:noProof/>
                <w:sz w:val="24"/>
                <w:szCs w:val="24"/>
              </w:rPr>
              <w:t>4</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Der Einfluss von Periodenabgrenzungen auf Bilanzierungsqualität und die Ausgestaltung von Kreditverträgen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_Toc534620117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9</w:t>
            </w:r>
            <w:r w:rsidRPr="00297265">
              <w:rPr>
                <w:rFonts w:ascii="Times New Roman" w:hAnsi="Times New Roman" w:cs="Times New Roman"/>
                <w:noProof/>
                <w:webHidden/>
                <w:sz w:val="24"/>
                <w:szCs w:val="24"/>
              </w:rPr>
              <w:fldChar w:fldCharType="end"/>
            </w:r>
          </w:hyperlink>
        </w:p>
        <w:p w14:paraId="0D412CA0"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18" w:history="1">
            <w:r w:rsidRPr="00297265">
              <w:rPr>
                <w:rStyle w:val="Hyperlink"/>
                <w:rFonts w:ascii="Times New Roman" w:hAnsi="Times New Roman" w:cs="Times New Roman"/>
                <w:i w:val="0"/>
                <w:noProof/>
                <w:sz w:val="24"/>
                <w:szCs w:val="24"/>
              </w:rPr>
              <w:t>4.1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Funktion von Periodenabgrenzungen (Accruals)</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_Toc534620118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9</w:t>
            </w:r>
            <w:r w:rsidRPr="00297265">
              <w:rPr>
                <w:rFonts w:ascii="Times New Roman" w:hAnsi="Times New Roman" w:cs="Times New Roman"/>
                <w:i w:val="0"/>
                <w:noProof/>
                <w:webHidden/>
                <w:sz w:val="24"/>
                <w:szCs w:val="24"/>
              </w:rPr>
              <w:fldChar w:fldCharType="end"/>
            </w:r>
          </w:hyperlink>
        </w:p>
        <w:p w14:paraId="1859C088"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19" w:history="1">
            <w:r w:rsidRPr="00297265">
              <w:rPr>
                <w:rStyle w:val="Hyperlink"/>
                <w:rFonts w:ascii="Times New Roman" w:hAnsi="Times New Roman" w:cs="Times New Roman"/>
                <w:i w:val="0"/>
                <w:noProof/>
                <w:sz w:val="24"/>
                <w:szCs w:val="24"/>
              </w:rPr>
              <w:t>4.2</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Periodenabgrenzungen als bilanzpolitisches Mittel</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_Toc534620119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9</w:t>
            </w:r>
            <w:r w:rsidRPr="00297265">
              <w:rPr>
                <w:rFonts w:ascii="Times New Roman" w:hAnsi="Times New Roman" w:cs="Times New Roman"/>
                <w:i w:val="0"/>
                <w:noProof/>
                <w:webHidden/>
                <w:sz w:val="24"/>
                <w:szCs w:val="24"/>
              </w:rPr>
              <w:fldChar w:fldCharType="end"/>
            </w:r>
          </w:hyperlink>
        </w:p>
        <w:p w14:paraId="463BE30B"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0" w:history="1">
            <w:r w:rsidRPr="00297265">
              <w:rPr>
                <w:rStyle w:val="Hyperlink"/>
                <w:rFonts w:ascii="Times New Roman" w:hAnsi="Times New Roman" w:cs="Times New Roman"/>
                <w:i w:val="0"/>
                <w:noProof/>
                <w:sz w:val="24"/>
                <w:szCs w:val="24"/>
              </w:rPr>
              <w:t>4.3</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Auswirkungen von diskretionären Periodenabgrenzungen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_Toc534620120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10</w:t>
            </w:r>
            <w:r w:rsidRPr="00297265">
              <w:rPr>
                <w:rFonts w:ascii="Times New Roman" w:hAnsi="Times New Roman" w:cs="Times New Roman"/>
                <w:i w:val="0"/>
                <w:noProof/>
                <w:webHidden/>
                <w:sz w:val="24"/>
                <w:szCs w:val="24"/>
              </w:rPr>
              <w:fldChar w:fldCharType="end"/>
            </w:r>
          </w:hyperlink>
        </w:p>
        <w:p w14:paraId="0281FB56" w14:textId="77777777" w:rsidR="00297265" w:rsidRPr="00297265" w:rsidRDefault="00297265">
          <w:pPr>
            <w:pStyle w:val="Verzeichnis3"/>
            <w:tabs>
              <w:tab w:val="left" w:pos="1200"/>
              <w:tab w:val="right" w:leader="dot" w:pos="9060"/>
            </w:tabs>
            <w:rPr>
              <w:rFonts w:ascii="Times New Roman" w:eastAsiaTheme="minorEastAsia" w:hAnsi="Times New Roman" w:cs="Times New Roman"/>
              <w:noProof/>
              <w:sz w:val="24"/>
              <w:szCs w:val="24"/>
              <w:lang w:eastAsia="de-DE"/>
            </w:rPr>
          </w:pPr>
          <w:hyperlink w:anchor="_Toc534620121" w:history="1">
            <w:r w:rsidRPr="00297265">
              <w:rPr>
                <w:rStyle w:val="Hyperlink"/>
                <w:rFonts w:ascii="Times New Roman" w:hAnsi="Times New Roman" w:cs="Times New Roman"/>
                <w:noProof/>
                <w:sz w:val="24"/>
                <w:szCs w:val="24"/>
              </w:rPr>
              <w:t>4.3.1</w:t>
            </w:r>
            <w:r w:rsidRPr="00297265">
              <w:rPr>
                <w:rFonts w:ascii="Times New Roman" w:eastAsiaTheme="minorEastAsia" w:hAnsi="Times New Roman" w:cs="Times New Roman"/>
                <w:noProof/>
                <w:sz w:val="24"/>
                <w:szCs w:val="24"/>
                <w:lang w:eastAsia="de-DE"/>
              </w:rPr>
              <w:tab/>
            </w:r>
            <w:r w:rsidRPr="00297265">
              <w:rPr>
                <w:rStyle w:val="Hyperlink"/>
                <w:rFonts w:ascii="Times New Roman" w:hAnsi="Times New Roman" w:cs="Times New Roman"/>
                <w:noProof/>
                <w:sz w:val="24"/>
                <w:szCs w:val="24"/>
              </w:rPr>
              <w:t>Qualität der Periodenabgrenzungen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_Toc534620121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11</w:t>
            </w:r>
            <w:r w:rsidRPr="00297265">
              <w:rPr>
                <w:rFonts w:ascii="Times New Roman" w:hAnsi="Times New Roman" w:cs="Times New Roman"/>
                <w:noProof/>
                <w:webHidden/>
                <w:sz w:val="24"/>
                <w:szCs w:val="24"/>
              </w:rPr>
              <w:fldChar w:fldCharType="end"/>
            </w:r>
          </w:hyperlink>
        </w:p>
        <w:p w14:paraId="4F93B9A7"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2" w:history="1">
            <w:r w:rsidRPr="00297265">
              <w:rPr>
                <w:rStyle w:val="Hyperlink"/>
                <w:rFonts w:ascii="Times New Roman" w:hAnsi="Times New Roman" w:cs="Times New Roman"/>
                <w:i w:val="0"/>
                <w:noProof/>
                <w:sz w:val="24"/>
                <w:szCs w:val="24"/>
              </w:rPr>
              <w:t>4.4</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Problematik der Periodenabgrenzungen</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_Toc534620122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12</w:t>
            </w:r>
            <w:r w:rsidRPr="00297265">
              <w:rPr>
                <w:rFonts w:ascii="Times New Roman" w:hAnsi="Times New Roman" w:cs="Times New Roman"/>
                <w:i w:val="0"/>
                <w:noProof/>
                <w:webHidden/>
                <w:sz w:val="24"/>
                <w:szCs w:val="24"/>
              </w:rPr>
              <w:fldChar w:fldCharType="end"/>
            </w:r>
          </w:hyperlink>
        </w:p>
        <w:p w14:paraId="71462A56" w14:textId="77777777" w:rsidR="00297265" w:rsidRPr="00297265" w:rsidRDefault="00297265" w:rsidP="00297265">
          <w:pPr>
            <w:pStyle w:val="Verzeichnis1"/>
            <w:tabs>
              <w:tab w:val="left" w:pos="480"/>
              <w:tab w:val="right" w:leader="dot" w:pos="9060"/>
            </w:tabs>
            <w:ind w:left="240" w:hanging="240"/>
            <w:rPr>
              <w:rFonts w:ascii="Times New Roman" w:eastAsiaTheme="minorEastAsia" w:hAnsi="Times New Roman" w:cs="Times New Roman"/>
              <w:b w:val="0"/>
              <w:bCs w:val="0"/>
              <w:noProof/>
              <w:sz w:val="24"/>
              <w:szCs w:val="24"/>
              <w:lang w:eastAsia="de-DE"/>
            </w:rPr>
          </w:pPr>
          <w:hyperlink w:anchor="_Toc534620123" w:history="1">
            <w:r w:rsidRPr="00297265">
              <w:rPr>
                <w:rStyle w:val="Hyperlink"/>
                <w:rFonts w:ascii="Times New Roman" w:hAnsi="Times New Roman" w:cs="Times New Roman"/>
                <w:noProof/>
                <w:sz w:val="24"/>
                <w:szCs w:val="24"/>
              </w:rPr>
              <w:t>5</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Der Einfluss von Konservatismus auf Bilanzierungsqualität und die Ausgestaltung von Kreditverträgen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_Toc534620123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12</w:t>
            </w:r>
            <w:r w:rsidRPr="00297265">
              <w:rPr>
                <w:rFonts w:ascii="Times New Roman" w:hAnsi="Times New Roman" w:cs="Times New Roman"/>
                <w:noProof/>
                <w:webHidden/>
                <w:sz w:val="24"/>
                <w:szCs w:val="24"/>
              </w:rPr>
              <w:fldChar w:fldCharType="end"/>
            </w:r>
          </w:hyperlink>
        </w:p>
        <w:p w14:paraId="2BD320F3"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4" w:history="1">
            <w:r w:rsidRPr="00297265">
              <w:rPr>
                <w:rStyle w:val="Hyperlink"/>
                <w:rFonts w:ascii="Times New Roman" w:hAnsi="Times New Roman" w:cs="Times New Roman"/>
                <w:i w:val="0"/>
                <w:noProof/>
                <w:sz w:val="24"/>
                <w:szCs w:val="24"/>
              </w:rPr>
              <w:t>5.1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Auswirkungen von Konservatismus auf Kapitalkosten und Covenants</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_Toc534620124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13</w:t>
            </w:r>
            <w:r w:rsidRPr="00297265">
              <w:rPr>
                <w:rFonts w:ascii="Times New Roman" w:hAnsi="Times New Roman" w:cs="Times New Roman"/>
                <w:i w:val="0"/>
                <w:noProof/>
                <w:webHidden/>
                <w:sz w:val="24"/>
                <w:szCs w:val="24"/>
              </w:rPr>
              <w:fldChar w:fldCharType="end"/>
            </w:r>
          </w:hyperlink>
        </w:p>
        <w:p w14:paraId="5DA3DFEB" w14:textId="77777777" w:rsidR="00297265" w:rsidRPr="00297265" w:rsidRDefault="00297265" w:rsidP="00297265">
          <w:pPr>
            <w:pStyle w:val="Verzeichnis1"/>
            <w:tabs>
              <w:tab w:val="left" w:pos="480"/>
              <w:tab w:val="right" w:leader="dot" w:pos="9060"/>
            </w:tabs>
            <w:ind w:left="240" w:hanging="240"/>
            <w:rPr>
              <w:rFonts w:ascii="Times New Roman" w:eastAsiaTheme="minorEastAsia" w:hAnsi="Times New Roman" w:cs="Times New Roman"/>
              <w:b w:val="0"/>
              <w:bCs w:val="0"/>
              <w:noProof/>
              <w:sz w:val="24"/>
              <w:szCs w:val="24"/>
              <w:lang w:eastAsia="de-DE"/>
            </w:rPr>
          </w:pPr>
          <w:hyperlink w:anchor="_Toc534620125" w:history="1">
            <w:r w:rsidRPr="00297265">
              <w:rPr>
                <w:rStyle w:val="Hyperlink"/>
                <w:rFonts w:ascii="Times New Roman" w:hAnsi="Times New Roman" w:cs="Times New Roman"/>
                <w:noProof/>
                <w:sz w:val="24"/>
                <w:szCs w:val="24"/>
              </w:rPr>
              <w:t>6</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Auswirkungen interner Kontrollschwächen (IKS) auf die Ausgestaltung von Kreditverträgen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_Toc534620125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15</w:t>
            </w:r>
            <w:r w:rsidRPr="00297265">
              <w:rPr>
                <w:rFonts w:ascii="Times New Roman" w:hAnsi="Times New Roman" w:cs="Times New Roman"/>
                <w:noProof/>
                <w:webHidden/>
                <w:sz w:val="24"/>
                <w:szCs w:val="24"/>
              </w:rPr>
              <w:fldChar w:fldCharType="end"/>
            </w:r>
          </w:hyperlink>
        </w:p>
        <w:p w14:paraId="72D22BCF"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6" w:history="1">
            <w:r w:rsidRPr="00297265">
              <w:rPr>
                <w:rStyle w:val="Hyperlink"/>
                <w:rFonts w:ascii="Times New Roman" w:hAnsi="Times New Roman" w:cs="Times New Roman"/>
                <w:i w:val="0"/>
                <w:noProof/>
                <w:sz w:val="24"/>
                <w:szCs w:val="24"/>
              </w:rPr>
              <w:t>6.1</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Anforderungen an ein internes Kontrollsystem</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_Toc534620126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15</w:t>
            </w:r>
            <w:r w:rsidRPr="00297265">
              <w:rPr>
                <w:rFonts w:ascii="Times New Roman" w:hAnsi="Times New Roman" w:cs="Times New Roman"/>
                <w:i w:val="0"/>
                <w:noProof/>
                <w:webHidden/>
                <w:sz w:val="24"/>
                <w:szCs w:val="24"/>
              </w:rPr>
              <w:fldChar w:fldCharType="end"/>
            </w:r>
          </w:hyperlink>
        </w:p>
        <w:p w14:paraId="03E7A48E" w14:textId="77777777" w:rsidR="00297265" w:rsidRPr="00297265" w:rsidRDefault="00297265">
          <w:pPr>
            <w:pStyle w:val="Verzeichnis2"/>
            <w:tabs>
              <w:tab w:val="left" w:pos="960"/>
              <w:tab w:val="right" w:leader="dot" w:pos="9060"/>
            </w:tabs>
            <w:rPr>
              <w:rFonts w:ascii="Times New Roman" w:eastAsiaTheme="minorEastAsia" w:hAnsi="Times New Roman" w:cs="Times New Roman"/>
              <w:i w:val="0"/>
              <w:iCs w:val="0"/>
              <w:noProof/>
              <w:sz w:val="24"/>
              <w:szCs w:val="24"/>
              <w:lang w:eastAsia="de-DE"/>
            </w:rPr>
          </w:pPr>
          <w:hyperlink w:anchor="_Toc534620127" w:history="1">
            <w:r w:rsidRPr="00297265">
              <w:rPr>
                <w:rStyle w:val="Hyperlink"/>
                <w:rFonts w:ascii="Times New Roman" w:hAnsi="Times New Roman" w:cs="Times New Roman"/>
                <w:i w:val="0"/>
                <w:noProof/>
                <w:sz w:val="24"/>
                <w:szCs w:val="24"/>
              </w:rPr>
              <w:t>6.2</w:t>
            </w:r>
            <w:r w:rsidRPr="00297265">
              <w:rPr>
                <w:rFonts w:ascii="Times New Roman" w:eastAsiaTheme="minorEastAsia" w:hAnsi="Times New Roman" w:cs="Times New Roman"/>
                <w:i w:val="0"/>
                <w:iCs w:val="0"/>
                <w:noProof/>
                <w:sz w:val="24"/>
                <w:szCs w:val="24"/>
                <w:lang w:eastAsia="de-DE"/>
              </w:rPr>
              <w:tab/>
            </w:r>
            <w:r w:rsidRPr="00297265">
              <w:rPr>
                <w:rStyle w:val="Hyperlink"/>
                <w:rFonts w:ascii="Times New Roman" w:hAnsi="Times New Roman" w:cs="Times New Roman"/>
                <w:i w:val="0"/>
                <w:noProof/>
                <w:sz w:val="24"/>
                <w:szCs w:val="24"/>
              </w:rPr>
              <w:t>Reaktion von Kapitalgebern auf interne Kontrollschwächen (IKS)</w:t>
            </w:r>
            <w:r w:rsidRPr="00297265">
              <w:rPr>
                <w:rFonts w:ascii="Times New Roman" w:hAnsi="Times New Roman" w:cs="Times New Roman"/>
                <w:i w:val="0"/>
                <w:noProof/>
                <w:webHidden/>
                <w:sz w:val="24"/>
                <w:szCs w:val="24"/>
              </w:rPr>
              <w:tab/>
            </w:r>
            <w:r w:rsidRPr="00297265">
              <w:rPr>
                <w:rFonts w:ascii="Times New Roman" w:hAnsi="Times New Roman" w:cs="Times New Roman"/>
                <w:i w:val="0"/>
                <w:noProof/>
                <w:webHidden/>
                <w:sz w:val="24"/>
                <w:szCs w:val="24"/>
              </w:rPr>
              <w:fldChar w:fldCharType="begin"/>
            </w:r>
            <w:r w:rsidRPr="00297265">
              <w:rPr>
                <w:rFonts w:ascii="Times New Roman" w:hAnsi="Times New Roman" w:cs="Times New Roman"/>
                <w:i w:val="0"/>
                <w:noProof/>
                <w:webHidden/>
                <w:sz w:val="24"/>
                <w:szCs w:val="24"/>
              </w:rPr>
              <w:instrText xml:space="preserve"> PAGEREF _Toc534620127 \h </w:instrText>
            </w:r>
            <w:r w:rsidRPr="00297265">
              <w:rPr>
                <w:rFonts w:ascii="Times New Roman" w:hAnsi="Times New Roman" w:cs="Times New Roman"/>
                <w:i w:val="0"/>
                <w:noProof/>
                <w:webHidden/>
                <w:sz w:val="24"/>
                <w:szCs w:val="24"/>
              </w:rPr>
            </w:r>
            <w:r w:rsidRPr="00297265">
              <w:rPr>
                <w:rFonts w:ascii="Times New Roman" w:hAnsi="Times New Roman" w:cs="Times New Roman"/>
                <w:i w:val="0"/>
                <w:noProof/>
                <w:webHidden/>
                <w:sz w:val="24"/>
                <w:szCs w:val="24"/>
              </w:rPr>
              <w:fldChar w:fldCharType="separate"/>
            </w:r>
            <w:r w:rsidR="00A12423">
              <w:rPr>
                <w:rFonts w:ascii="Times New Roman" w:hAnsi="Times New Roman" w:cs="Times New Roman"/>
                <w:i w:val="0"/>
                <w:noProof/>
                <w:webHidden/>
                <w:sz w:val="24"/>
                <w:szCs w:val="24"/>
              </w:rPr>
              <w:t>16</w:t>
            </w:r>
            <w:r w:rsidRPr="00297265">
              <w:rPr>
                <w:rFonts w:ascii="Times New Roman" w:hAnsi="Times New Roman" w:cs="Times New Roman"/>
                <w:i w:val="0"/>
                <w:noProof/>
                <w:webHidden/>
                <w:sz w:val="24"/>
                <w:szCs w:val="24"/>
              </w:rPr>
              <w:fldChar w:fldCharType="end"/>
            </w:r>
          </w:hyperlink>
        </w:p>
        <w:p w14:paraId="68A094E7"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28" w:history="1">
            <w:r w:rsidRPr="00297265">
              <w:rPr>
                <w:rStyle w:val="Hyperlink"/>
                <w:rFonts w:ascii="Times New Roman" w:hAnsi="Times New Roman" w:cs="Times New Roman"/>
                <w:noProof/>
                <w:sz w:val="24"/>
                <w:szCs w:val="24"/>
              </w:rPr>
              <w:t>7</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Bilanzierungsqualität im weiteren Sinne: Umfang der publizierten Informationen</w:t>
            </w:r>
            <w:r w:rsidRPr="00297265">
              <w:rPr>
                <w:rFonts w:ascii="Times New Roman" w:hAnsi="Times New Roman" w:cs="Times New Roman"/>
                <w:noProof/>
                <w:webHidden/>
                <w:sz w:val="24"/>
                <w:szCs w:val="24"/>
              </w:rPr>
              <w:tab/>
            </w:r>
            <w:r>
              <w:rPr>
                <w:rFonts w:ascii="Times New Roman" w:hAnsi="Times New Roman" w:cs="Times New Roman"/>
                <w:noProof/>
                <w:webHidden/>
                <w:sz w:val="24"/>
                <w:szCs w:val="24"/>
              </w:rPr>
              <w:tab/>
            </w:r>
            <w:r>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_Toc534620128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17</w:t>
            </w:r>
            <w:r w:rsidRPr="00297265">
              <w:rPr>
                <w:rFonts w:ascii="Times New Roman" w:hAnsi="Times New Roman" w:cs="Times New Roman"/>
                <w:noProof/>
                <w:webHidden/>
                <w:sz w:val="24"/>
                <w:szCs w:val="24"/>
              </w:rPr>
              <w:fldChar w:fldCharType="end"/>
            </w:r>
          </w:hyperlink>
        </w:p>
        <w:p w14:paraId="737D6065" w14:textId="77777777" w:rsidR="00297265" w:rsidRPr="00297265" w:rsidRDefault="00297265" w:rsidP="00297265">
          <w:pPr>
            <w:pStyle w:val="Verzeichnis1"/>
            <w:tabs>
              <w:tab w:val="left" w:pos="480"/>
              <w:tab w:val="right" w:leader="dot" w:pos="9060"/>
            </w:tabs>
            <w:ind w:left="480" w:hanging="480"/>
            <w:rPr>
              <w:rFonts w:ascii="Times New Roman" w:eastAsiaTheme="minorEastAsia" w:hAnsi="Times New Roman" w:cs="Times New Roman"/>
              <w:b w:val="0"/>
              <w:bCs w:val="0"/>
              <w:noProof/>
              <w:sz w:val="24"/>
              <w:szCs w:val="24"/>
              <w:lang w:eastAsia="de-DE"/>
            </w:rPr>
          </w:pPr>
          <w:hyperlink w:anchor="_Toc534620129" w:history="1">
            <w:r w:rsidRPr="00297265">
              <w:rPr>
                <w:rStyle w:val="Hyperlink"/>
                <w:rFonts w:ascii="Times New Roman" w:hAnsi="Times New Roman" w:cs="Times New Roman"/>
                <w:noProof/>
                <w:sz w:val="24"/>
                <w:szCs w:val="24"/>
              </w:rPr>
              <w:t>8</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Der Einfluss von Bilanzierungsqualität auf die Auswahl der Art der Fremdfinanzierung und die Ausgestaltung von Kreditverträgen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_Toc534620129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19</w:t>
            </w:r>
            <w:r w:rsidRPr="00297265">
              <w:rPr>
                <w:rFonts w:ascii="Times New Roman" w:hAnsi="Times New Roman" w:cs="Times New Roman"/>
                <w:noProof/>
                <w:webHidden/>
                <w:sz w:val="24"/>
                <w:szCs w:val="24"/>
              </w:rPr>
              <w:fldChar w:fldCharType="end"/>
            </w:r>
          </w:hyperlink>
        </w:p>
        <w:p w14:paraId="2BE7F3E9" w14:textId="77777777" w:rsidR="00297265" w:rsidRPr="00297265" w:rsidRDefault="00297265">
          <w:pPr>
            <w:pStyle w:val="Verzeichnis1"/>
            <w:tabs>
              <w:tab w:val="left" w:pos="480"/>
              <w:tab w:val="right" w:leader="dot" w:pos="9060"/>
            </w:tabs>
            <w:rPr>
              <w:rFonts w:ascii="Times New Roman" w:eastAsiaTheme="minorEastAsia" w:hAnsi="Times New Roman" w:cs="Times New Roman"/>
              <w:b w:val="0"/>
              <w:bCs w:val="0"/>
              <w:noProof/>
              <w:sz w:val="24"/>
              <w:szCs w:val="24"/>
              <w:lang w:eastAsia="de-DE"/>
            </w:rPr>
          </w:pPr>
          <w:hyperlink w:anchor="_Toc534620130" w:history="1">
            <w:r w:rsidRPr="00297265">
              <w:rPr>
                <w:rStyle w:val="Hyperlink"/>
                <w:rFonts w:ascii="Times New Roman" w:hAnsi="Times New Roman" w:cs="Times New Roman"/>
                <w:noProof/>
                <w:sz w:val="24"/>
                <w:szCs w:val="24"/>
              </w:rPr>
              <w:t>9</w:t>
            </w:r>
            <w:r>
              <w:rPr>
                <w:rStyle w:val="Hyperlink"/>
                <w:rFonts w:ascii="Times New Roman" w:hAnsi="Times New Roman" w:cs="Times New Roman"/>
                <w:noProof/>
                <w:sz w:val="24"/>
                <w:szCs w:val="24"/>
              </w:rPr>
              <w:t>.</w:t>
            </w:r>
            <w:r w:rsidRPr="00297265">
              <w:rPr>
                <w:rFonts w:ascii="Times New Roman" w:eastAsiaTheme="minorEastAsia" w:hAnsi="Times New Roman" w:cs="Times New Roman"/>
                <w:b w:val="0"/>
                <w:bCs w:val="0"/>
                <w:noProof/>
                <w:sz w:val="24"/>
                <w:szCs w:val="24"/>
                <w:lang w:eastAsia="de-DE"/>
              </w:rPr>
              <w:tab/>
            </w:r>
            <w:r w:rsidRPr="00297265">
              <w:rPr>
                <w:rStyle w:val="Hyperlink"/>
                <w:rFonts w:ascii="Times New Roman" w:hAnsi="Times New Roman" w:cs="Times New Roman"/>
                <w:noProof/>
                <w:sz w:val="24"/>
                <w:szCs w:val="24"/>
              </w:rPr>
              <w:t>Zusammenfassung und Ergebnis</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_Toc534620130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21</w:t>
            </w:r>
            <w:r w:rsidRPr="00297265">
              <w:rPr>
                <w:rFonts w:ascii="Times New Roman" w:hAnsi="Times New Roman" w:cs="Times New Roman"/>
                <w:noProof/>
                <w:webHidden/>
                <w:sz w:val="24"/>
                <w:szCs w:val="24"/>
              </w:rPr>
              <w:fldChar w:fldCharType="end"/>
            </w:r>
          </w:hyperlink>
        </w:p>
        <w:p w14:paraId="7C84F6CD" w14:textId="77777777" w:rsidR="00297265" w:rsidRPr="00297265" w:rsidRDefault="00297265">
          <w:pPr>
            <w:pStyle w:val="Verzeichnis1"/>
            <w:tabs>
              <w:tab w:val="right" w:leader="dot" w:pos="9060"/>
            </w:tabs>
            <w:rPr>
              <w:rFonts w:ascii="Times New Roman" w:eastAsiaTheme="minorEastAsia" w:hAnsi="Times New Roman" w:cs="Times New Roman"/>
              <w:b w:val="0"/>
              <w:bCs w:val="0"/>
              <w:noProof/>
              <w:sz w:val="24"/>
              <w:szCs w:val="24"/>
              <w:lang w:eastAsia="de-DE"/>
            </w:rPr>
          </w:pPr>
          <w:hyperlink w:anchor="_Toc534620131" w:history="1">
            <w:r w:rsidRPr="00297265">
              <w:rPr>
                <w:rStyle w:val="Hyperlink"/>
                <w:rFonts w:ascii="Times New Roman" w:hAnsi="Times New Roman" w:cs="Times New Roman"/>
                <w:noProof/>
                <w:sz w:val="24"/>
                <w:szCs w:val="24"/>
              </w:rPr>
              <w:t>Anhang: Verzeichnis der Gesetze, Verordnungen und Rechnungslegungsnormen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_Toc534620131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22</w:t>
            </w:r>
            <w:r w:rsidRPr="00297265">
              <w:rPr>
                <w:rFonts w:ascii="Times New Roman" w:hAnsi="Times New Roman" w:cs="Times New Roman"/>
                <w:noProof/>
                <w:webHidden/>
                <w:sz w:val="24"/>
                <w:szCs w:val="24"/>
              </w:rPr>
              <w:fldChar w:fldCharType="end"/>
            </w:r>
          </w:hyperlink>
        </w:p>
        <w:p w14:paraId="13FD096A" w14:textId="77777777" w:rsidR="00297265" w:rsidRPr="00297265" w:rsidRDefault="00297265">
          <w:pPr>
            <w:pStyle w:val="Verzeichnis1"/>
            <w:tabs>
              <w:tab w:val="right" w:leader="dot" w:pos="9060"/>
            </w:tabs>
            <w:rPr>
              <w:rFonts w:ascii="Times New Roman" w:eastAsiaTheme="minorEastAsia" w:hAnsi="Times New Roman" w:cs="Times New Roman"/>
              <w:b w:val="0"/>
              <w:bCs w:val="0"/>
              <w:noProof/>
              <w:sz w:val="24"/>
              <w:szCs w:val="24"/>
              <w:lang w:eastAsia="de-DE"/>
            </w:rPr>
          </w:pPr>
          <w:hyperlink w:anchor="_Toc534620132" w:history="1">
            <w:r w:rsidRPr="00297265">
              <w:rPr>
                <w:rStyle w:val="Hyperlink"/>
                <w:rFonts w:ascii="Times New Roman" w:hAnsi="Times New Roman" w:cs="Times New Roman"/>
                <w:noProof/>
                <w:sz w:val="24"/>
                <w:szCs w:val="24"/>
              </w:rPr>
              <w:t>Verzeichnis der Internetquellen</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_Toc534620132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23</w:t>
            </w:r>
            <w:r w:rsidRPr="00297265">
              <w:rPr>
                <w:rFonts w:ascii="Times New Roman" w:hAnsi="Times New Roman" w:cs="Times New Roman"/>
                <w:noProof/>
                <w:webHidden/>
                <w:sz w:val="24"/>
                <w:szCs w:val="24"/>
              </w:rPr>
              <w:fldChar w:fldCharType="end"/>
            </w:r>
          </w:hyperlink>
        </w:p>
        <w:p w14:paraId="6D5EF368" w14:textId="77777777" w:rsidR="00297265" w:rsidRPr="00297265" w:rsidRDefault="00297265">
          <w:pPr>
            <w:pStyle w:val="Verzeichnis1"/>
            <w:tabs>
              <w:tab w:val="right" w:leader="dot" w:pos="9060"/>
            </w:tabs>
            <w:rPr>
              <w:rFonts w:ascii="Times New Roman" w:eastAsiaTheme="minorEastAsia" w:hAnsi="Times New Roman" w:cs="Times New Roman"/>
              <w:b w:val="0"/>
              <w:bCs w:val="0"/>
              <w:noProof/>
              <w:sz w:val="24"/>
              <w:szCs w:val="24"/>
              <w:lang w:eastAsia="de-DE"/>
            </w:rPr>
          </w:pPr>
          <w:hyperlink w:anchor="_Toc534620133" w:history="1">
            <w:r w:rsidRPr="00297265">
              <w:rPr>
                <w:rStyle w:val="Hyperlink"/>
                <w:rFonts w:ascii="Times New Roman" w:hAnsi="Times New Roman" w:cs="Times New Roman"/>
                <w:noProof/>
                <w:sz w:val="24"/>
                <w:szCs w:val="24"/>
                <w:lang w:val="en-US"/>
              </w:rPr>
              <w:t>Literaturverzeichnis</w:t>
            </w:r>
            <w:r w:rsidRPr="00297265">
              <w:rPr>
                <w:rFonts w:ascii="Times New Roman" w:hAnsi="Times New Roman" w:cs="Times New Roman"/>
                <w:noProof/>
                <w:webHidden/>
                <w:sz w:val="24"/>
                <w:szCs w:val="24"/>
              </w:rPr>
              <w:tab/>
            </w:r>
            <w:r w:rsidRPr="00297265">
              <w:rPr>
                <w:rFonts w:ascii="Times New Roman" w:hAnsi="Times New Roman" w:cs="Times New Roman"/>
                <w:noProof/>
                <w:webHidden/>
                <w:sz w:val="24"/>
                <w:szCs w:val="24"/>
              </w:rPr>
              <w:fldChar w:fldCharType="begin"/>
            </w:r>
            <w:r w:rsidRPr="00297265">
              <w:rPr>
                <w:rFonts w:ascii="Times New Roman" w:hAnsi="Times New Roman" w:cs="Times New Roman"/>
                <w:noProof/>
                <w:webHidden/>
                <w:sz w:val="24"/>
                <w:szCs w:val="24"/>
              </w:rPr>
              <w:instrText xml:space="preserve"> PAGEREF _Toc534620133 \h </w:instrText>
            </w:r>
            <w:r w:rsidRPr="00297265">
              <w:rPr>
                <w:rFonts w:ascii="Times New Roman" w:hAnsi="Times New Roman" w:cs="Times New Roman"/>
                <w:noProof/>
                <w:webHidden/>
                <w:sz w:val="24"/>
                <w:szCs w:val="24"/>
              </w:rPr>
            </w:r>
            <w:r w:rsidRPr="00297265">
              <w:rPr>
                <w:rFonts w:ascii="Times New Roman" w:hAnsi="Times New Roman" w:cs="Times New Roman"/>
                <w:noProof/>
                <w:webHidden/>
                <w:sz w:val="24"/>
                <w:szCs w:val="24"/>
              </w:rPr>
              <w:fldChar w:fldCharType="separate"/>
            </w:r>
            <w:r w:rsidR="00A12423">
              <w:rPr>
                <w:rFonts w:ascii="Times New Roman" w:hAnsi="Times New Roman" w:cs="Times New Roman"/>
                <w:noProof/>
                <w:webHidden/>
                <w:sz w:val="24"/>
                <w:szCs w:val="24"/>
              </w:rPr>
              <w:t>24</w:t>
            </w:r>
            <w:r w:rsidRPr="00297265">
              <w:rPr>
                <w:rFonts w:ascii="Times New Roman" w:hAnsi="Times New Roman" w:cs="Times New Roman"/>
                <w:noProof/>
                <w:webHidden/>
                <w:sz w:val="24"/>
                <w:szCs w:val="24"/>
              </w:rPr>
              <w:fldChar w:fldCharType="end"/>
            </w:r>
          </w:hyperlink>
        </w:p>
        <w:p w14:paraId="6EACDD0E" w14:textId="77777777" w:rsidR="00185110" w:rsidRPr="007F5E99" w:rsidRDefault="0060392A">
          <w:pPr>
            <w:rPr>
              <w:b/>
              <w:bCs/>
              <w:noProof/>
              <w:color w:val="000000" w:themeColor="text1"/>
            </w:rPr>
            <w:sectPr w:rsidR="00185110" w:rsidRPr="007F5E99" w:rsidSect="007A4ED9">
              <w:footerReference w:type="even" r:id="rId9"/>
              <w:footerReference w:type="default" r:id="rId10"/>
              <w:pgSz w:w="11906" w:h="16838" w:code="9"/>
              <w:pgMar w:top="1418" w:right="1418" w:bottom="1134" w:left="1418" w:header="720" w:footer="720" w:gutter="0"/>
              <w:pgNumType w:fmt="upperRoman" w:start="2"/>
              <w:cols w:space="720"/>
              <w:docGrid w:linePitch="360"/>
            </w:sectPr>
          </w:pPr>
          <w:r w:rsidRPr="00297265">
            <w:rPr>
              <w:rFonts w:ascii="Times New Roman" w:hAnsi="Times New Roman" w:cs="Times New Roman"/>
              <w:b/>
              <w:bCs/>
              <w:noProof/>
              <w:color w:val="000000" w:themeColor="text1"/>
            </w:rPr>
            <w:fldChar w:fldCharType="end"/>
          </w:r>
        </w:p>
      </w:sdtContent>
    </w:sdt>
    <w:bookmarkEnd w:id="0" w:displacedByCustomXml="prev"/>
    <w:p w14:paraId="78A96116" w14:textId="77777777" w:rsidR="00F654ED" w:rsidRPr="007F5E99" w:rsidRDefault="00F654ED" w:rsidP="00DB4F0D">
      <w:pPr>
        <w:pStyle w:val="ControllingKapitelberschrift"/>
        <w:numPr>
          <w:ilvl w:val="0"/>
          <w:numId w:val="0"/>
        </w:numPr>
        <w:ind w:left="432" w:hanging="432"/>
      </w:pPr>
      <w:bookmarkStart w:id="1" w:name="_Toc534293780"/>
      <w:bookmarkStart w:id="2" w:name="_Toc534620104"/>
      <w:r w:rsidRPr="007F5E99">
        <w:lastRenderedPageBreak/>
        <w:t>Abkürzungsverzeichnis</w:t>
      </w:r>
      <w:bookmarkEnd w:id="1"/>
      <w:bookmarkEnd w:id="2"/>
      <w:r w:rsidRPr="007F5E99">
        <w:t xml:space="preserve"> </w:t>
      </w:r>
    </w:p>
    <w:p w14:paraId="14FE84B4" w14:textId="77777777" w:rsidR="00F654ED" w:rsidRDefault="00F654ED" w:rsidP="00F654ED">
      <w:pPr>
        <w:pStyle w:val="ControllingSeminarText"/>
      </w:pPr>
    </w:p>
    <w:p w14:paraId="03359CAD" w14:textId="77777777" w:rsidR="00F654ED" w:rsidRDefault="00F654ED" w:rsidP="00F654ED">
      <w:pPr>
        <w:pStyle w:val="ControllingSeminarText"/>
      </w:pPr>
      <w:r>
        <w:t>BGB</w:t>
      </w:r>
      <w:r>
        <w:tab/>
      </w:r>
      <w:r>
        <w:tab/>
        <w:t xml:space="preserve">Bürgerliches Gesetzbuch </w:t>
      </w:r>
    </w:p>
    <w:p w14:paraId="3AC83D90" w14:textId="77777777" w:rsidR="00F654ED" w:rsidRDefault="00F654ED" w:rsidP="00F654ED">
      <w:pPr>
        <w:pStyle w:val="ControllingSeminarText"/>
      </w:pPr>
      <w:r>
        <w:t>DPA:</w:t>
      </w:r>
      <w:r>
        <w:tab/>
      </w:r>
      <w:r>
        <w:tab/>
        <w:t>Diskretionäre Periodenabgrenzungen</w:t>
      </w:r>
    </w:p>
    <w:p w14:paraId="2EEE974E" w14:textId="5A595951" w:rsidR="00F654ED" w:rsidRPr="00056256" w:rsidRDefault="00F654ED" w:rsidP="00F654ED">
      <w:pPr>
        <w:pStyle w:val="ControllingSeminarText"/>
      </w:pPr>
      <w:r w:rsidRPr="00056256">
        <w:t>G</w:t>
      </w:r>
      <w:r w:rsidR="002301B0">
        <w:t>o</w:t>
      </w:r>
      <w:r w:rsidRPr="00056256">
        <w:t>B</w:t>
      </w:r>
      <w:r w:rsidRPr="00056256">
        <w:tab/>
      </w:r>
      <w:r w:rsidRPr="00056256">
        <w:tab/>
      </w:r>
      <w:r>
        <w:t>Grundsätzen ordnungsgemäßer Buchführung</w:t>
      </w:r>
    </w:p>
    <w:p w14:paraId="122F5B96" w14:textId="02F19961" w:rsidR="00F654ED" w:rsidRPr="00056256" w:rsidRDefault="00F654ED" w:rsidP="00F654ED">
      <w:pPr>
        <w:pStyle w:val="ControllingSeminarText"/>
      </w:pPr>
      <w:r w:rsidRPr="00056256">
        <w:t>HGB</w:t>
      </w:r>
      <w:r w:rsidRPr="00056256">
        <w:tab/>
      </w:r>
      <w:r w:rsidRPr="00056256">
        <w:tab/>
        <w:t>Handelsgesetz</w:t>
      </w:r>
      <w:r w:rsidR="008E4D82">
        <w:t>t</w:t>
      </w:r>
      <w:r w:rsidRPr="00056256">
        <w:t xml:space="preserve">buch </w:t>
      </w:r>
    </w:p>
    <w:p w14:paraId="3DD95193" w14:textId="77777777" w:rsidR="00F654ED" w:rsidRDefault="00F654ED" w:rsidP="00F654ED">
      <w:pPr>
        <w:pStyle w:val="ControllingSeminarText"/>
        <w:rPr>
          <w:lang w:val="en-US"/>
        </w:rPr>
      </w:pPr>
      <w:r w:rsidRPr="00056256">
        <w:rPr>
          <w:lang w:val="en-US"/>
        </w:rPr>
        <w:t>IAS</w:t>
      </w:r>
      <w:r w:rsidRPr="00056256">
        <w:rPr>
          <w:lang w:val="en-US"/>
        </w:rPr>
        <w:tab/>
      </w:r>
      <w:r w:rsidRPr="00056256">
        <w:rPr>
          <w:lang w:val="en-US"/>
        </w:rPr>
        <w:tab/>
        <w:t>International Accounting Standard</w:t>
      </w:r>
    </w:p>
    <w:p w14:paraId="551B4433" w14:textId="77777777" w:rsidR="000D10A1" w:rsidRDefault="000D10A1" w:rsidP="00F654ED">
      <w:pPr>
        <w:pStyle w:val="ControllingSeminarText"/>
        <w:rPr>
          <w:lang w:val="en-US"/>
        </w:rPr>
      </w:pPr>
      <w:r>
        <w:rPr>
          <w:lang w:val="en-US"/>
        </w:rPr>
        <w:t>IASB</w:t>
      </w:r>
      <w:r>
        <w:rPr>
          <w:lang w:val="en-US"/>
        </w:rPr>
        <w:tab/>
      </w:r>
      <w:r>
        <w:rPr>
          <w:lang w:val="en-US"/>
        </w:rPr>
        <w:tab/>
        <w:t xml:space="preserve">International Accounting Standards Board </w:t>
      </w:r>
    </w:p>
    <w:p w14:paraId="12144387" w14:textId="79C87718" w:rsidR="009F65B2" w:rsidRDefault="009F65B2" w:rsidP="009F65B2">
      <w:pPr>
        <w:pStyle w:val="ControllingSeminarText"/>
        <w:rPr>
          <w:lang w:val="en-US"/>
        </w:rPr>
      </w:pPr>
      <w:r w:rsidRPr="009F65B2">
        <w:rPr>
          <w:lang w:val="en-US"/>
        </w:rPr>
        <w:t>IFRICD</w:t>
      </w:r>
      <w:r w:rsidR="008E4D82">
        <w:rPr>
          <w:lang w:val="en-US"/>
        </w:rPr>
        <w:t/>
      </w:r>
      <w:r w:rsidRPr="009F65B2">
        <w:rPr>
          <w:lang w:val="en-US"/>
        </w:rPr>
        <w:tab/>
      </w:r>
      <w:r w:rsidRPr="009F65B2">
        <w:rPr>
          <w:lang w:val="en-US"/>
        </w:rPr>
        <w:tab/>
        <w:t>International Financial Reporting Interpretations Committee</w:t>
      </w:r>
    </w:p>
    <w:p w14:paraId="2E6F5435" w14:textId="77777777" w:rsidR="00DF6ACA" w:rsidRPr="00DF6ACA" w:rsidRDefault="00DF6ACA" w:rsidP="009F65B2">
      <w:pPr>
        <w:pStyle w:val="ControllingSeminarText"/>
      </w:pPr>
      <w:r w:rsidRPr="002D77E0">
        <w:t xml:space="preserve">IFRS </w:t>
      </w:r>
      <w:r w:rsidRPr="002D77E0">
        <w:tab/>
      </w:r>
      <w:r w:rsidRPr="002D77E0">
        <w:tab/>
        <w:t xml:space="preserve">International Financial Accounting Standard </w:t>
      </w:r>
    </w:p>
    <w:p w14:paraId="7FFE37A3" w14:textId="77777777" w:rsidR="00FE5F48" w:rsidRPr="009F65B2" w:rsidRDefault="009F65B2" w:rsidP="009F65B2">
      <w:pPr>
        <w:pStyle w:val="ControllingSeminarText"/>
      </w:pPr>
      <w:r w:rsidRPr="00DF6ACA">
        <w:t>IKS</w:t>
      </w:r>
      <w:r w:rsidRPr="00DF6ACA">
        <w:tab/>
      </w:r>
      <w:r w:rsidRPr="00DF6ACA">
        <w:tab/>
        <w:t>Int</w:t>
      </w:r>
      <w:r w:rsidR="00FE5F48" w:rsidRPr="009F65B2">
        <w:t xml:space="preserve">erne </w:t>
      </w:r>
      <w:r w:rsidR="00725316" w:rsidRPr="009F65B2">
        <w:t xml:space="preserve">Kontrollschwäche </w:t>
      </w:r>
    </w:p>
    <w:p w14:paraId="56A965DE" w14:textId="77777777" w:rsidR="00F654ED" w:rsidRPr="002D77E0" w:rsidRDefault="00F654ED" w:rsidP="002D77E0">
      <w:pPr>
        <w:pStyle w:val="ControllingSeminarText"/>
      </w:pPr>
      <w:r w:rsidRPr="002D77E0">
        <w:t>i. Sd.</w:t>
      </w:r>
      <w:r w:rsidRPr="002D77E0">
        <w:tab/>
      </w:r>
      <w:r w:rsidRPr="002D77E0">
        <w:tab/>
        <w:t xml:space="preserve">im Sinne des </w:t>
      </w:r>
    </w:p>
    <w:p w14:paraId="3BB5E704" w14:textId="77777777" w:rsidR="00F654ED" w:rsidRPr="00DB7B6D" w:rsidRDefault="00F654ED" w:rsidP="002D77E0">
      <w:pPr>
        <w:pStyle w:val="ControllingSeminarText"/>
        <w:rPr>
          <w:lang w:val="en-US"/>
        </w:rPr>
      </w:pPr>
      <w:r w:rsidRPr="00DB7B6D">
        <w:rPr>
          <w:lang w:val="en-US"/>
        </w:rPr>
        <w:t>PA</w:t>
      </w:r>
      <w:r w:rsidRPr="00DB7B6D">
        <w:rPr>
          <w:lang w:val="en-US"/>
        </w:rPr>
        <w:tab/>
      </w:r>
      <w:r w:rsidRPr="00DB7B6D">
        <w:rPr>
          <w:lang w:val="en-US"/>
        </w:rPr>
        <w:tab/>
        <w:t xml:space="preserve">Periodenabgrenzungen </w:t>
      </w:r>
    </w:p>
    <w:p w14:paraId="4C6C5779" w14:textId="77777777" w:rsidR="002D77E0" w:rsidRPr="00DB7B6D" w:rsidRDefault="002D77E0" w:rsidP="002D77E0">
      <w:pPr>
        <w:pStyle w:val="ControllingSeminarText"/>
        <w:rPr>
          <w:lang w:val="en-US"/>
        </w:rPr>
      </w:pPr>
      <w:r w:rsidRPr="00DB7B6D">
        <w:rPr>
          <w:lang w:val="en-US"/>
        </w:rPr>
        <w:t xml:space="preserve">SIC </w:t>
      </w:r>
      <w:r w:rsidRPr="00DB7B6D">
        <w:rPr>
          <w:lang w:val="en-US"/>
        </w:rPr>
        <w:tab/>
      </w:r>
      <w:r w:rsidRPr="00DB7B6D">
        <w:rPr>
          <w:lang w:val="en-US"/>
        </w:rPr>
        <w:tab/>
        <w:t>Standing Interpretations Committee</w:t>
      </w:r>
    </w:p>
    <w:p w14:paraId="7364A0AF" w14:textId="77777777" w:rsidR="00F654ED" w:rsidRPr="00DB7B6D" w:rsidRDefault="00F654ED" w:rsidP="002D77E0">
      <w:pPr>
        <w:pStyle w:val="ControllingSeminarText"/>
        <w:rPr>
          <w:lang w:val="en-US"/>
        </w:rPr>
      </w:pPr>
      <w:r w:rsidRPr="00DB7B6D">
        <w:rPr>
          <w:lang w:val="en-US"/>
        </w:rPr>
        <w:t>SOX</w:t>
      </w:r>
      <w:r w:rsidRPr="00DB7B6D">
        <w:rPr>
          <w:lang w:val="en-US"/>
        </w:rPr>
        <w:tab/>
      </w:r>
      <w:r w:rsidRPr="00DB7B6D">
        <w:rPr>
          <w:lang w:val="en-US"/>
        </w:rPr>
        <w:tab/>
        <w:t>Sarbanes-Oxley-Act</w:t>
      </w:r>
    </w:p>
    <w:p w14:paraId="767550B5" w14:textId="77777777" w:rsidR="00F654ED" w:rsidRPr="00DB7B6D" w:rsidRDefault="00F654ED" w:rsidP="002D77E0">
      <w:pPr>
        <w:pStyle w:val="ControllingSeminarText"/>
        <w:rPr>
          <w:lang w:val="en-US"/>
        </w:rPr>
      </w:pPr>
      <w:r w:rsidRPr="00DB7B6D">
        <w:rPr>
          <w:lang w:val="en-US"/>
        </w:rPr>
        <w:t>S&amp;P</w:t>
      </w:r>
      <w:r w:rsidRPr="00DB7B6D">
        <w:rPr>
          <w:lang w:val="en-US"/>
        </w:rPr>
        <w:tab/>
      </w:r>
      <w:r w:rsidRPr="00DB7B6D">
        <w:rPr>
          <w:lang w:val="en-US"/>
        </w:rPr>
        <w:tab/>
        <w:t>Standard and Poor´s</w:t>
      </w:r>
    </w:p>
    <w:p w14:paraId="0DA6289E" w14:textId="77777777" w:rsidR="00F654ED" w:rsidRPr="00DB7B6D" w:rsidRDefault="00F654ED" w:rsidP="002D77E0">
      <w:pPr>
        <w:pStyle w:val="ControllingSeminarText"/>
        <w:rPr>
          <w:lang w:val="en-US"/>
        </w:rPr>
      </w:pPr>
    </w:p>
    <w:p w14:paraId="3A70E86D" w14:textId="77777777" w:rsidR="00F654ED" w:rsidRPr="00F479E2" w:rsidRDefault="00F654ED" w:rsidP="00F654ED">
      <w:pPr>
        <w:rPr>
          <w:lang w:val="en-US"/>
        </w:rPr>
      </w:pPr>
    </w:p>
    <w:p w14:paraId="18916BD3" w14:textId="77777777" w:rsidR="00F654ED" w:rsidRPr="00F479E2" w:rsidRDefault="00F654ED" w:rsidP="00F654ED">
      <w:pPr>
        <w:rPr>
          <w:lang w:val="en-US"/>
        </w:rPr>
      </w:pPr>
    </w:p>
    <w:p w14:paraId="1DE24968" w14:textId="77777777" w:rsidR="00F654ED" w:rsidRPr="00F479E2" w:rsidRDefault="00F654ED" w:rsidP="00F654ED">
      <w:pPr>
        <w:rPr>
          <w:lang w:val="en-US"/>
        </w:rPr>
      </w:pPr>
    </w:p>
    <w:p w14:paraId="0D26E6C3" w14:textId="77777777" w:rsidR="00F654ED" w:rsidRPr="00F479E2" w:rsidRDefault="00F654ED" w:rsidP="00F654ED">
      <w:pPr>
        <w:rPr>
          <w:lang w:val="en-US"/>
        </w:rPr>
      </w:pPr>
    </w:p>
    <w:p w14:paraId="286F815C" w14:textId="77777777" w:rsidR="00F654ED" w:rsidRPr="00F479E2" w:rsidRDefault="00F654ED" w:rsidP="00F654ED">
      <w:pPr>
        <w:rPr>
          <w:lang w:val="en-US"/>
        </w:rPr>
      </w:pPr>
    </w:p>
    <w:p w14:paraId="58C27AF1" w14:textId="77777777" w:rsidR="00F654ED" w:rsidRPr="00F479E2" w:rsidRDefault="00F654ED" w:rsidP="00F654ED">
      <w:pPr>
        <w:rPr>
          <w:lang w:val="en-US"/>
        </w:rPr>
      </w:pPr>
    </w:p>
    <w:p w14:paraId="37F34532" w14:textId="77777777" w:rsidR="00F654ED" w:rsidRPr="00F479E2" w:rsidRDefault="00F654ED" w:rsidP="00F654ED">
      <w:pPr>
        <w:rPr>
          <w:lang w:val="en-US"/>
        </w:rPr>
      </w:pPr>
    </w:p>
    <w:p w14:paraId="0AB25A3F" w14:textId="77777777" w:rsidR="00F654ED" w:rsidRPr="00F479E2" w:rsidRDefault="00F654ED" w:rsidP="00F654ED">
      <w:pPr>
        <w:rPr>
          <w:lang w:val="en-US"/>
        </w:rPr>
      </w:pPr>
    </w:p>
    <w:p w14:paraId="773CD682" w14:textId="77777777" w:rsidR="00F654ED" w:rsidRPr="00F479E2" w:rsidRDefault="00F654ED" w:rsidP="00F654ED">
      <w:pPr>
        <w:rPr>
          <w:lang w:val="en-US"/>
        </w:rPr>
      </w:pPr>
    </w:p>
    <w:p w14:paraId="73FE3F32" w14:textId="77777777" w:rsidR="00F654ED" w:rsidRPr="00F479E2" w:rsidRDefault="00F654ED" w:rsidP="00F654ED">
      <w:pPr>
        <w:rPr>
          <w:lang w:val="en-US"/>
        </w:rPr>
      </w:pPr>
    </w:p>
    <w:p w14:paraId="7BCB58AC" w14:textId="77777777" w:rsidR="00F654ED" w:rsidRPr="00F479E2" w:rsidRDefault="00F654ED" w:rsidP="00F654ED">
      <w:pPr>
        <w:rPr>
          <w:lang w:val="en-US"/>
        </w:rPr>
      </w:pPr>
    </w:p>
    <w:p w14:paraId="4315B3E6" w14:textId="77777777" w:rsidR="00F654ED" w:rsidRPr="00F479E2" w:rsidRDefault="00F654ED" w:rsidP="00F654ED">
      <w:pPr>
        <w:rPr>
          <w:lang w:val="en-US"/>
        </w:rPr>
      </w:pPr>
    </w:p>
    <w:p w14:paraId="32A34A4F" w14:textId="77777777" w:rsidR="00F654ED" w:rsidRPr="00F479E2" w:rsidRDefault="00F654ED" w:rsidP="00F654ED">
      <w:pPr>
        <w:rPr>
          <w:lang w:val="en-US"/>
        </w:rPr>
      </w:pPr>
    </w:p>
    <w:p w14:paraId="3D6684AD" w14:textId="77777777" w:rsidR="00F654ED" w:rsidRPr="00F479E2" w:rsidRDefault="00F654ED" w:rsidP="00F654ED">
      <w:pPr>
        <w:rPr>
          <w:lang w:val="en-US"/>
        </w:rPr>
      </w:pPr>
    </w:p>
    <w:p w14:paraId="20FCC1BB" w14:textId="77777777" w:rsidR="00F654ED" w:rsidRPr="00F479E2" w:rsidRDefault="00F654ED" w:rsidP="00F654ED">
      <w:pPr>
        <w:rPr>
          <w:lang w:val="en-US"/>
        </w:rPr>
      </w:pPr>
    </w:p>
    <w:p w14:paraId="1BA0F775" w14:textId="77777777" w:rsidR="00F654ED" w:rsidRPr="00F479E2" w:rsidRDefault="00F654ED" w:rsidP="00F654ED">
      <w:pPr>
        <w:rPr>
          <w:lang w:val="en-US"/>
        </w:rPr>
      </w:pPr>
    </w:p>
    <w:p w14:paraId="0941F2CA" w14:textId="77777777" w:rsidR="00F654ED" w:rsidRPr="00F479E2" w:rsidRDefault="00F654ED" w:rsidP="00F654ED">
      <w:pPr>
        <w:rPr>
          <w:lang w:val="en-US"/>
        </w:rPr>
      </w:pPr>
    </w:p>
    <w:p w14:paraId="420BD419" w14:textId="77777777" w:rsidR="00F654ED" w:rsidRPr="00F479E2" w:rsidRDefault="00F654ED" w:rsidP="00F654ED">
      <w:pPr>
        <w:rPr>
          <w:lang w:val="en-US"/>
        </w:rPr>
      </w:pPr>
    </w:p>
    <w:p w14:paraId="5AD49D12" w14:textId="77777777" w:rsidR="00F654ED" w:rsidRPr="00F479E2" w:rsidRDefault="00F654ED" w:rsidP="00F654ED">
      <w:pPr>
        <w:rPr>
          <w:lang w:val="en-US"/>
        </w:rPr>
      </w:pPr>
    </w:p>
    <w:p w14:paraId="299A9B26" w14:textId="77777777" w:rsidR="00F654ED" w:rsidRPr="00F479E2" w:rsidRDefault="00F654ED" w:rsidP="00F654ED">
      <w:pPr>
        <w:rPr>
          <w:lang w:val="en-US"/>
        </w:rPr>
      </w:pPr>
    </w:p>
    <w:p w14:paraId="2B3ED1F4" w14:textId="77777777" w:rsidR="00F654ED" w:rsidRPr="00F479E2" w:rsidRDefault="00F654ED" w:rsidP="00F654ED">
      <w:pPr>
        <w:rPr>
          <w:lang w:val="en-US"/>
        </w:rPr>
      </w:pPr>
    </w:p>
    <w:p w14:paraId="24094C9E" w14:textId="77777777" w:rsidR="00F654ED" w:rsidRPr="00F479E2" w:rsidRDefault="00F654ED" w:rsidP="00F654ED">
      <w:pPr>
        <w:rPr>
          <w:lang w:val="en-US"/>
        </w:rPr>
      </w:pPr>
    </w:p>
    <w:p w14:paraId="13CD0E1C" w14:textId="77777777" w:rsidR="00F654ED" w:rsidRPr="00F479E2" w:rsidRDefault="00F654ED" w:rsidP="00F654ED">
      <w:pPr>
        <w:rPr>
          <w:lang w:val="en-US"/>
        </w:rPr>
      </w:pPr>
    </w:p>
    <w:p w14:paraId="3CA3114D" w14:textId="77777777" w:rsidR="00F654ED" w:rsidRDefault="00F654ED" w:rsidP="00F654ED">
      <w:pPr>
        <w:rPr>
          <w:lang w:val="en-US"/>
        </w:rPr>
      </w:pPr>
    </w:p>
    <w:p w14:paraId="56DB9B9A" w14:textId="77777777" w:rsidR="00F654ED" w:rsidRDefault="00F654ED" w:rsidP="00F654ED">
      <w:pPr>
        <w:rPr>
          <w:lang w:val="en-US"/>
        </w:rPr>
      </w:pPr>
    </w:p>
    <w:p w14:paraId="41ED3A9D" w14:textId="77777777" w:rsidR="00F654ED" w:rsidRPr="00550931" w:rsidRDefault="00F654ED" w:rsidP="00863BF0">
      <w:pPr>
        <w:pStyle w:val="ControllingKapitelberschrift"/>
        <w:numPr>
          <w:ilvl w:val="0"/>
          <w:numId w:val="0"/>
        </w:numPr>
        <w:rPr>
          <w:lang w:val="en-US"/>
        </w:rPr>
        <w:sectPr w:rsidR="00F654ED" w:rsidRPr="00550931" w:rsidSect="00A12423">
          <w:pgSz w:w="11906" w:h="16838" w:code="9"/>
          <w:pgMar w:top="1134" w:right="567" w:bottom="1134" w:left="2835" w:header="720" w:footer="720" w:gutter="0"/>
          <w:pgNumType w:fmt="upperRoman" w:start="4"/>
          <w:cols w:space="720"/>
          <w:docGrid w:linePitch="360"/>
        </w:sectPr>
      </w:pPr>
      <w:bookmarkStart w:id="3" w:name="_Toc534293781"/>
    </w:p>
    <w:p w14:paraId="44EE6071" w14:textId="77777777" w:rsidR="00F654ED" w:rsidRDefault="00F654ED" w:rsidP="00F654ED">
      <w:pPr>
        <w:pStyle w:val="ControllingKapitelberschrift"/>
      </w:pPr>
      <w:bookmarkStart w:id="4" w:name="_Toc534620105"/>
      <w:r>
        <w:lastRenderedPageBreak/>
        <w:t>Einleitung und Struktur der Arbeit</w:t>
      </w:r>
      <w:bookmarkEnd w:id="3"/>
      <w:bookmarkEnd w:id="4"/>
      <w:r>
        <w:t xml:space="preserve"> </w:t>
      </w:r>
    </w:p>
    <w:p w14:paraId="07F6ACDD" w14:textId="77777777" w:rsidR="00F654ED" w:rsidRDefault="00F654ED" w:rsidP="00F654ED">
      <w:pPr>
        <w:pStyle w:val="ControllingSeminarText"/>
      </w:pPr>
    </w:p>
    <w:p w14:paraId="1D525DA6" w14:textId="77777777" w:rsidR="00F654ED" w:rsidRDefault="00F654ED" w:rsidP="00F654ED">
      <w:pPr>
        <w:pStyle w:val="ControllingSeminarText"/>
      </w:pPr>
      <w:r>
        <w:t xml:space="preserve">Fremdkapitalgeber wie Banken </w:t>
      </w:r>
      <w:r w:rsidR="000B0DDF">
        <w:t xml:space="preserve">und andere </w:t>
      </w:r>
      <w:r>
        <w:t xml:space="preserve">institutionelle Investoren sind eine der primären Zielgruppen der Finanzberichterstattung von Unternehmen. In Anbetracht der Tatsache, dass nahezu alle europäischen Unternehmen auf Banken- oder Lieferantenkredite angewiesen sind und dass diese ca. 70 % der Summe der Verbindlichkeiten </w:t>
      </w:r>
      <w:r w:rsidR="000B0DDF">
        <w:t>einer</w:t>
      </w:r>
      <w:r>
        <w:t xml:space="preserve"> typischen Bilanz ausmachen, ist dies nicht weiter verwunderlich.</w:t>
      </w:r>
      <w:r>
        <w:rPr>
          <w:rStyle w:val="Funotenzeichen"/>
        </w:rPr>
        <w:footnoteReference w:id="1"/>
      </w:r>
      <w:r>
        <w:t xml:space="preserve">  </w:t>
      </w:r>
    </w:p>
    <w:p w14:paraId="7BDF6817" w14:textId="37271D2C" w:rsidR="00F654ED" w:rsidRDefault="00F654ED" w:rsidP="00F654ED">
      <w:pPr>
        <w:pStyle w:val="ControllingSeminarText"/>
      </w:pPr>
      <w:r>
        <w:t xml:space="preserve">Interessant ist vielmehr die Frage, wie Kreditgeber sicherstellen, dass die ihnen vorgelegten Informationen auch von hoher Qualität sind – schließlich sind die Abschlussinformationen Entscheidungsgrundlage der Kreditvergabe. Auf der </w:t>
      </w:r>
      <w:r w:rsidR="008E4D82">
        <w:t>anderen</w:t>
      </w:r>
      <w:r>
        <w:t xml:space="preserve"> Seite ist das Thema Bilanzierungsqualität auch für Unternehmen nicht zu vernachlässigen, da sie so gut wie immer auf Fremdkapital angewiesen sind und dieses annahmegemäß zu möglichst günstigen, vorteilhaften Konditionen erhalten wollen. </w:t>
      </w:r>
    </w:p>
    <w:p w14:paraId="44A942CD" w14:textId="22A50453" w:rsidR="000B0DDF" w:rsidRDefault="00F654ED" w:rsidP="00F654ED">
      <w:pPr>
        <w:pStyle w:val="ControllingSeminarText"/>
      </w:pPr>
      <w:r>
        <w:t xml:space="preserve">Dieser Beitrag versucht eben jenen Sachverhalt </w:t>
      </w:r>
      <w:proofErr w:type="gramStart"/>
      <w:r>
        <w:t xml:space="preserve">näher </w:t>
      </w:r>
      <w:r w:rsidR="000B0DDF">
        <w:t xml:space="preserve">zu</w:t>
      </w:r>
      <w:proofErr w:type="gramEnd"/>
      <w:r w:rsidR="000B0DDF">
        <w:t xml:space="preserve"> </w:t>
      </w:r>
      <w:r>
        <w:t xml:space="preserve">beleuchten und behandelt hierzu folgende zentrale </w:t>
      </w:r>
      <w:proofErr w:type="gramStart"/>
      <w:r>
        <w:t>Fragestellung:</w:t>
      </w:r>
      <w:proofErr w:type="gramEnd"/>
      <w:r>
        <w:t xml:space="preserve"> </w:t>
      </w:r>
      <w:r w:rsidR="00255409" w:rsidRPr="00BA7BCC">
        <w:rPr>
          <w:i/>
        </w:rPr>
        <w:t>„</w:t>
      </w:r>
      <w:r w:rsidR="00BA7BCC" w:rsidRPr="00BA7BCC">
        <w:rPr>
          <w:i/>
        </w:rPr>
        <w:t>Inwiefern h</w:t>
      </w:r>
      <w:r w:rsidRPr="00BA7BCC">
        <w:rPr>
          <w:i/>
        </w:rPr>
        <w:t>at</w:t>
      </w:r>
      <w:r w:rsidRPr="00BB3F27">
        <w:rPr>
          <w:i/>
        </w:rPr>
        <w:t xml:space="preserve"> eine hohe Bilanzierungsqualität positive Auswirkungen auf die Kreditkonditionen bei der Fremdkapitalaufnahme von </w:t>
      </w:r>
      <w:r>
        <w:rPr>
          <w:i/>
        </w:rPr>
        <w:t xml:space="preserve">kapitalmarktorientierten </w:t>
      </w:r>
      <w:r w:rsidRPr="00BB3F27">
        <w:rPr>
          <w:i/>
        </w:rPr>
        <w:t>Unternehmen?</w:t>
      </w:r>
      <w:r w:rsidR="00255409">
        <w:rPr>
          <w:i/>
        </w:rPr>
        <w:t>“</w:t>
      </w:r>
      <w:r>
        <w:rPr>
          <w:i/>
        </w:rPr>
        <w:t xml:space="preserve"> </w:t>
      </w:r>
      <w:r>
        <w:t xml:space="preserve">Bevor man jedoch auf die Beantwortung dieser Frage eingehen kann, wird </w:t>
      </w:r>
      <w:r w:rsidR="00B73B22">
        <w:t xml:space="preserve">im Rahmen dieser Arbeit </w:t>
      </w:r>
      <w:r>
        <w:t xml:space="preserve">zunächst der Zusammenhang zwischen den Anforderungen der Finanzberichterstattung und der Bilanzierungsqualität im Kontext von Informationsasymmetrien erläutert. </w:t>
      </w:r>
      <w:r w:rsidR="00B73B22">
        <w:t xml:space="preserve">Es </w:t>
      </w:r>
      <w:r>
        <w:t>werden ausschließlich die Auswirkungen der Bilanzierungsqualität auf die Bestandteile des Kreditvertrages untersucht. Als Messgröße/Kriterium</w:t>
      </w:r>
      <w:r w:rsidR="00665672">
        <w:t xml:space="preserve"> werden hierfür</w:t>
      </w:r>
      <w:r>
        <w:t xml:space="preserve"> Periodenabgrenzungen, Konservatismus,</w:t>
      </w:r>
      <w:r w:rsidR="008E4D82">
        <w:t xml:space="preserve"> </w:t>
      </w:r>
      <w:r>
        <w:t xml:space="preserve">interne Kontrollschwächen und Veröffentlichungsqualität herangezogen. Für jedes Kriterium werden </w:t>
      </w:r>
      <w:r w:rsidR="000B0DDF">
        <w:t xml:space="preserve">die </w:t>
      </w:r>
      <w:r>
        <w:t xml:space="preserve">Folgewirkungen auf die Kreditkonditionen betrachtet. </w:t>
      </w:r>
    </w:p>
    <w:p w14:paraId="0CE47A00" w14:textId="307CF124" w:rsidR="00F90C75" w:rsidRDefault="004A64BC" w:rsidP="00F654ED">
      <w:pPr>
        <w:pStyle w:val="ControllingSeminarText"/>
      </w:pPr>
      <w:r w:rsidRPr="004A64BC">
        <w:t xml:space="preserve">Die Bilanzierungsqualität eines Unternehmens prägt die Ausgestaltung von Kreditverträgen, weil sie das Informations- und Bewertungsrisiko für Kreditgeber direkt beeinflusst. Hohe Qualität – etwa durch verlässliche, zeitnahe und nachvollziehbare Abschlüsse – senkt die Unsicherheit über künftige Zahlungsströme. Das schlägt sich typischerweise in geringeren Zinsmargen, längeren Laufzeiten und geringerem Besicherungsbedarf nieder. Umgekehrt erzwingen intransparente oder opportunistische </w:t>
      </w:r>
      <w:r w:rsidRPr="004A64BC">
        <w:lastRenderedPageBreak/>
        <w:t>Rechnungslegung sowie häufige Korrekturen und verspätete Abschlüsse stärkere Absicherung: mehr Sicherheiten, höhere Spreads und engere Kontrolle.</w:t>
      </w:r>
    </w:p>
    <w:p w14:paraId="654CBF7A" w14:textId="6072B4B3" w:rsidR="00C813B1" w:rsidRPr="00C813B1" w:rsidRDefault="004A64BC" w:rsidP="00C813B1">
      <w:pPr>
        <w:pStyle w:val="ControllingSeminarText"/>
        <w:rPr>
          <w:bCs/>
        </w:rPr>
      </w:pPr>
      <w:r w:rsidRPr="004A64BC">
        <w:rPr>
          <w:bCs/>
        </w:rPr>
        <w:t xml:space="preserve">Besonders sichtbar wird der Einfluss in der Covenant-Struktur. </w:t>
      </w:r>
      <w:r w:rsidR="00C813B1" w:rsidRPr="00C813B1">
        <w:rPr>
          <w:bCs/>
        </w:rPr>
        <w:t>Die Qualität der finanziellen Berichterstattung spielt eine entscheidende Rolle bei der Strukturierung von Kreditverträgen, insbesondere bei der Formulierung von Covenants. Wenn ein Unternehmen verlässliche und aussagekräftige Finanzzahlen vorlegen kann, setzen Kreditgeber bevorzugt auf bilanzbasierte Covenants – etwa Kennzahlen zur Verschuldung oder zur Zinsdeckung – mit klar definierten Schwellenwerten. Diese Zahlen gelten dann als vertrauenswürdige Indikatoren für die wirtschaftliche Stabilität des Unternehmens.</w:t>
      </w:r>
    </w:p>
    <w:p w14:paraId="4A8A86D9" w14:textId="2B8B1D3B" w:rsidR="00C813B1" w:rsidRPr="00C813B1" w:rsidRDefault="00C813B1" w:rsidP="00C813B1">
      <w:pPr>
        <w:pStyle w:val="ControllingSeminarText"/>
        <w:rPr>
          <w:bCs/>
        </w:rPr>
      </w:pPr>
      <w:r w:rsidRPr="00C813B1">
        <w:rPr>
          <w:bCs/>
        </w:rPr>
        <w:t xml:space="preserve">Anders sieht es aus, wenn die Qualität der Finanzberichterstattung zu wünschen </w:t>
      </w:r>
      <w:proofErr w:type="gramStart"/>
      <w:r w:rsidRPr="00C813B1">
        <w:rPr>
          <w:bCs/>
        </w:rPr>
        <w:t>übrig lässt</w:t>
      </w:r>
      <w:proofErr w:type="gramEnd"/>
      <w:r w:rsidRPr="00C813B1">
        <w:rPr>
          <w:bCs/>
        </w:rPr>
        <w:t>. In solchen Fällen greifen Kreditgeber häufiger zu alternativen Schutzmechanismen. Dazu gehören strengere Einschränkungen bei bestimmten Unternehmensaktivitäten wie Übernahmen oder Dividendenausschüttungen (sogenannte negative Covenants), engmaschigere Berichtspflichten sowie die Verwendung von „Maintenance Covenants“, die dauerhaft eingehalten werden müssen – im Gegensatz zu „Incurrence Covenants“, die nur bei bestimmten Anlässen relevant sind. Auch die Definition von Kennzahlen wie dem bereinigten EBITDA wird in solchen Fällen oft enger gefasst oder mit klaren Begrenzungen versehen, um Manipulationen vorzubeugen.</w:t>
      </w:r>
    </w:p>
    <w:p w14:paraId="7B3020B3" w14:textId="12ED30FC" w:rsidR="00C813B1" w:rsidRPr="00C813B1" w:rsidRDefault="00C813B1" w:rsidP="00C813B1">
      <w:pPr>
        <w:pStyle w:val="ControllingSeminarText"/>
        <w:rPr>
          <w:bCs/>
        </w:rPr>
      </w:pPr>
      <w:r w:rsidRPr="00C813B1">
        <w:rPr>
          <w:bCs/>
        </w:rPr>
        <w:t xml:space="preserve">Besondere Relevanz erhält die Bilanzqualität bei wachstumsorientierten, asset-armen Unternehmen mit einem hohen Anteil immaterieller Vermögenswerte. Da klassische Sicherheiten hier schwerer zu stellen sind, gewinnt die Glaubwürdigkeit der finanziellen Berichte zusätzlich an Bedeutung – sie </w:t>
      </w:r>
      <w:proofErr w:type="gramStart"/>
      <w:r w:rsidRPr="00C813B1">
        <w:rPr>
          <w:bCs/>
        </w:rPr>
        <w:t>ersetzt gewissermaßen</w:t>
      </w:r>
      <w:proofErr w:type="gramEnd"/>
      <w:r w:rsidRPr="00C813B1">
        <w:rPr>
          <w:bCs/>
        </w:rPr>
        <w:t xml:space="preserve"> einen Teil der materiellen Besicherung. In syndizierten Kreditstrukturen, bei denen mehrere Kreditgeber beteiligt sind, ist die Sensibilität gegenüber der Bilanzierungsqualität meist ausgeprägter als bei bilateralen Kreditbeziehungen, was zu stärker standardisierten und präzise definierten Vertragsklauseln führt.</w:t>
      </w:r>
    </w:p>
    <w:p w14:paraId="00635C88" w14:textId="77777777" w:rsidR="00C813B1" w:rsidRPr="00C813B1" w:rsidRDefault="00C813B1" w:rsidP="00C813B1">
      <w:pPr>
        <w:pStyle w:val="ControllingSeminarText"/>
        <w:rPr>
          <w:bCs/>
        </w:rPr>
      </w:pPr>
      <w:r w:rsidRPr="00C813B1">
        <w:rPr>
          <w:bCs/>
        </w:rPr>
        <w:t>Auch externe Rahmenbedingungen beeinflussen die Covenant-Struktur: Ob ein Unternehmen nach internationalen Standards (z. B. IFRS) oder lokalen Rechnungslegungsnormen bilanziert, wie häufig Berichte vorgelegt werden müssen, oder ob es sich um ein Term Loan oder eine revolvierende Kreditlinie handelt – all das wirkt sich auf die Gewichtung und Gestaltung der Covenants aus.</w:t>
      </w:r>
    </w:p>
    <w:p w14:paraId="7EE1774A" w14:textId="77777777" w:rsidR="00C813B1" w:rsidRPr="00C813B1" w:rsidRDefault="00C813B1" w:rsidP="00C813B1">
      <w:pPr>
        <w:pStyle w:val="ControllingSeminarText"/>
        <w:rPr>
          <w:bCs/>
        </w:rPr>
      </w:pPr>
    </w:p>
    <w:p w14:paraId="0EB153F7" w14:textId="2AAA4055" w:rsidR="004A64BC" w:rsidRDefault="00C813B1" w:rsidP="00C813B1">
      <w:pPr>
        <w:pStyle w:val="ControllingSeminarText"/>
      </w:pPr>
      <w:r w:rsidRPr="00C813B1">
        <w:rPr>
          <w:bCs/>
        </w:rPr>
        <w:t xml:space="preserve">Für Unternehmen ergibt sich daraus eine klare Handlungsempfehlung: Wer in verlässliche Reportingsysteme, ein funktionierendes Controlling und eine unabhängige </w:t>
      </w:r>
      <w:r w:rsidRPr="00C813B1">
        <w:rPr>
          <w:bCs/>
        </w:rPr>
        <w:lastRenderedPageBreak/>
        <w:t>Prüfungsinstanz investiert, verbessert nicht nur seine Kreditwürdigkeit, sondern kann auch von besseren Vertragsbedingungen und größerer Flexibilität profitieren.</w:t>
      </w:r>
    </w:p>
    <w:p w14:paraId="6B89C41B" w14:textId="77777777" w:rsidR="00F90C75" w:rsidRPr="00665672" w:rsidRDefault="00F90C75" w:rsidP="00F654ED">
      <w:pPr>
        <w:pStyle w:val="ControllingSeminarText"/>
      </w:pPr>
    </w:p>
    <w:p w14:paraId="1F3529D6" w14:textId="77777777" w:rsidR="00B73B22" w:rsidRPr="00B73B22" w:rsidRDefault="00B73B22" w:rsidP="00B73B22">
      <w:pPr>
        <w:pStyle w:val="ControllingAbsatzberschrift"/>
      </w:pPr>
      <w:bookmarkStart w:id="5" w:name="_Toc534620106"/>
      <w:r>
        <w:t>Hypothesen</w:t>
      </w:r>
      <w:bookmarkEnd w:id="5"/>
      <w:r>
        <w:t xml:space="preserve"> </w:t>
      </w:r>
    </w:p>
    <w:p w14:paraId="5592AB1E" w14:textId="77777777" w:rsidR="00F654ED" w:rsidRDefault="00F654ED" w:rsidP="00F654ED">
      <w:pPr>
        <w:pStyle w:val="ControllingSeminarText"/>
      </w:pPr>
    </w:p>
    <w:p w14:paraId="76BB7676" w14:textId="77777777" w:rsidR="00F654ED" w:rsidRDefault="000B0DDF" w:rsidP="00F654ED">
      <w:pPr>
        <w:pStyle w:val="ControllingSeminarText"/>
      </w:pPr>
      <w:r>
        <w:t xml:space="preserve">Im Rahmen dieses Beitrags werden folgende Hypothesen </w:t>
      </w:r>
      <w:proofErr w:type="gramStart"/>
      <w:r w:rsidR="00665672">
        <w:t>geprüft :</w:t>
      </w:r>
      <w:proofErr w:type="gramEnd"/>
      <w:r w:rsidR="00665672">
        <w:t xml:space="preserve"> </w:t>
      </w:r>
    </w:p>
    <w:p w14:paraId="10BC8189" w14:textId="77777777" w:rsidR="00665672" w:rsidRDefault="00665672" w:rsidP="00F654ED">
      <w:pPr>
        <w:pStyle w:val="ControllingSeminarText"/>
      </w:pPr>
    </w:p>
    <w:p w14:paraId="2AC21134" w14:textId="4C720FFB" w:rsidR="001249CD" w:rsidRDefault="001249CD" w:rsidP="001249CD">
      <w:pPr>
        <w:pStyle w:val="ControllingSeminarText"/>
        <w:ind w:left="700" w:hanging="700"/>
      </w:pPr>
      <w:r w:rsidRPr="005848D1">
        <w:rPr>
          <w:b/>
        </w:rPr>
        <w:t>H</w:t>
      </w:r>
      <w:proofErr w:type="gramStart"/>
      <w:r w:rsidRPr="005848D1">
        <w:rPr>
          <w:b/>
        </w:rPr>
        <w:t>1</w:t>
      </w:r>
      <w:r>
        <w:t xml:space="preserve"> :</w:t>
      </w:r>
      <w:proofErr w:type="gramEnd"/>
      <w:r>
        <w:t xml:space="preserve"> </w:t>
      </w:r>
      <w:r>
        <w:tab/>
        <w:t>K</w:t>
      </w:r>
      <w:r w:rsidR="00A90B93">
        <w:t xml:space="preserve">apitalgeber berücksichtigen die Bilanzierungsqualität </w:t>
      </w:r>
      <w:proofErr w:type="gramStart"/>
      <w:r w:rsidR="008E4D82">
        <w:t>des Kreditnehmers</w:t>
      </w:r>
      <w:proofErr w:type="gramEnd"/>
      <w:r w:rsidR="008E4D82">
        <w:t xml:space="preserve"> </w:t>
      </w:r>
      <w:r w:rsidR="00A90B93">
        <w:t>bei der Ausgestaltung von Kreditverträgen</w:t>
      </w:r>
    </w:p>
    <w:p w14:paraId="721AC6B6" w14:textId="77777777" w:rsidR="00665672" w:rsidRDefault="00665672" w:rsidP="00F654ED">
      <w:pPr>
        <w:pStyle w:val="ControllingSeminarText"/>
      </w:pPr>
    </w:p>
    <w:p w14:paraId="0846379F" w14:textId="56C5BAC1" w:rsidR="00665672" w:rsidRDefault="00665672" w:rsidP="00C943EB">
      <w:pPr>
        <w:pStyle w:val="ControllingSeminarText"/>
        <w:ind w:left="700" w:hanging="700"/>
      </w:pPr>
      <w:r w:rsidRPr="005848D1">
        <w:rPr>
          <w:b/>
        </w:rPr>
        <w:t>H2:</w:t>
      </w:r>
      <w:proofErr w:type="gramStart"/>
      <w:r w:rsidR="001249CD" w:rsidRPr="005848D1">
        <w:rPr>
          <w:b/>
        </w:rPr>
        <w:t>2</w:t>
      </w:r>
      <w:r>
        <w:t xml:space="preserve"/>
      </w:r>
      <w:proofErr w:type="gramEnd"/>
      <w:r>
        <w:t xml:space="preserve"> </w:t>
      </w:r>
      <w:r w:rsidR="00C943EB">
        <w:tab/>
      </w:r>
      <w:r>
        <w:t xml:space="preserve">Eine </w:t>
      </w:r>
      <w:r w:rsidR="00C943EB">
        <w:t>geringe</w:t>
      </w:r>
      <w:r>
        <w:t>/hohe Bilanzierungsqualität schlägt sich in erster Linie in den Kapitalkosten und den Covenants nieder</w:t>
      </w:r>
    </w:p>
    <w:p w14:paraId="08D079D9" w14:textId="77777777" w:rsidR="00665672" w:rsidRDefault="00665672" w:rsidP="00F654ED">
      <w:pPr>
        <w:pStyle w:val="ControllingSeminarText"/>
      </w:pPr>
    </w:p>
    <w:p w14:paraId="40DF3E51" w14:textId="77777777" w:rsidR="001249CD" w:rsidRDefault="00665672" w:rsidP="00866B25">
      <w:pPr>
        <w:pStyle w:val="ControllingSeminarText"/>
        <w:ind w:left="700" w:hanging="700"/>
      </w:pPr>
      <w:r w:rsidRPr="005848D1">
        <w:rPr>
          <w:b/>
        </w:rPr>
        <w:t>H3:</w:t>
      </w:r>
      <w:proofErr w:type="gramStart"/>
      <w:r w:rsidRPr="005848D1">
        <w:rPr>
          <w:b/>
        </w:rPr>
        <w:t/>
      </w:r>
      <w:r>
        <w:t xml:space="preserve"/>
      </w:r>
      <w:proofErr w:type="gramEnd"/>
      <w:r>
        <w:t xml:space="preserve"> </w:t>
      </w:r>
      <w:r w:rsidR="004076A7">
        <w:tab/>
      </w:r>
      <w:r w:rsidR="00A14D32">
        <w:t xml:space="preserve">Eine geringere </w:t>
      </w:r>
      <w:r w:rsidR="00163F06">
        <w:t xml:space="preserve">Bilanzierungsqualität </w:t>
      </w:r>
      <w:r w:rsidR="00A14D32">
        <w:t xml:space="preserve">führt zu einer ungenaueren Einschätzung </w:t>
      </w:r>
      <w:r w:rsidR="00163F06">
        <w:t>d</w:t>
      </w:r>
      <w:r w:rsidR="00A14D32">
        <w:t>es</w:t>
      </w:r>
      <w:r w:rsidR="00163F06">
        <w:t xml:space="preserve"> </w:t>
      </w:r>
      <w:r w:rsidR="00A14D32">
        <w:t>Kredita</w:t>
      </w:r>
      <w:r w:rsidR="00163F06">
        <w:t>usfallrisiko</w:t>
      </w:r>
      <w:r w:rsidR="00A14D32">
        <w:t>s</w:t>
      </w:r>
      <w:r w:rsidR="00163F06">
        <w:t xml:space="preserve"> </w:t>
      </w:r>
      <w:r w:rsidR="00A14D32">
        <w:t>seitens der Kreditgeber</w:t>
      </w:r>
    </w:p>
    <w:p w14:paraId="4F668403" w14:textId="77777777" w:rsidR="00866B25" w:rsidRDefault="00866B25" w:rsidP="00866B25">
      <w:pPr>
        <w:pStyle w:val="ControllingSeminarText"/>
        <w:ind w:left="700" w:hanging="700"/>
      </w:pPr>
    </w:p>
    <w:p w14:paraId="2AE35815" w14:textId="77777777" w:rsidR="00F654ED" w:rsidRDefault="00F654ED" w:rsidP="00F654ED">
      <w:pPr>
        <w:pStyle w:val="ControllingKapitelberschrift"/>
      </w:pPr>
      <w:bookmarkStart w:id="6" w:name="_Toc534620107"/>
      <w:r>
        <w:t>Der Kreditvertrag</w:t>
      </w:r>
      <w:bookmarkEnd w:id="6"/>
      <w:r>
        <w:t xml:space="preserve"> </w:t>
      </w:r>
    </w:p>
    <w:p w14:paraId="6EB6F42B" w14:textId="77777777" w:rsidR="00F654ED" w:rsidRDefault="00F654ED" w:rsidP="00F654ED">
      <w:pPr>
        <w:pStyle w:val="ControllingSeminarText"/>
      </w:pPr>
    </w:p>
    <w:p w14:paraId="43C9F809" w14:textId="627D4E70" w:rsidR="00593F88" w:rsidRDefault="00593F88" w:rsidP="00F654ED">
      <w:pPr>
        <w:pStyle w:val="ControllingSeminarText"/>
      </w:pPr>
      <w:r>
        <w:t>Die zu erwartende Verschlechterung der Kapitalbeschaffungsmöglichkeiten von Unternehmen aufgrund zahlreicher Neuregelungen im Kreditwesen ist im einführenden Teil bereits beschrieben worden. Aufgrund der hohen Bedeutung von Bankkrediten für die Finanzierung des deutschen Mittelstandes sollen in diesem Kapitel nun die Grundlagen des Kreditgeschäftes von Banken knapp dargestellt werden, um einen einführenden Überblick über deren Kreditvergabeprozess zu geben, der durch Basel II geändert werden wird. Wesentlich ist dabei die geforderte Risikoabhängigkeit des Kreditzinssatzes.</w:t>
      </w:r>
    </w:p>
    <w:p w14:paraId="7BC20DF4" w14:textId="57250F54" w:rsidR="00F654ED" w:rsidRDefault="00F654ED" w:rsidP="00F654ED">
      <w:pPr>
        <w:pStyle w:val="ControllingSeminarText"/>
      </w:pPr>
      <w:r>
        <w:t xml:space="preserve">Unternehmen haben grundsätzlich die Wahl zwischen einer „privaten“ Fremdfinanzierung („bilateral </w:t>
      </w:r>
      <w:r w:rsidR="008E4D82">
        <w:t>financing“</w:t>
      </w:r>
      <w:r>
        <w:t>) durch einen Bankkredit oder einer Fremdfinanzierung über den öffentlich zugänglichen Kapitalmarkt durch Emission von Unternehmensanleihen bzw. Schuldverschreibungen („multilateral financing“).</w:t>
      </w:r>
      <w:r>
        <w:rPr>
          <w:rStyle w:val="Funotenzeichen"/>
        </w:rPr>
        <w:footnoteReference w:id="2"/>
      </w:r>
      <w:r>
        <w:t xml:space="preserve"> Dabei handelt es sich bei einem Kreditvertrag konkret um einen Finanzierungsvertrag, der lediglich aus einem Finanzierungstitel besteht, während eine Anleihe, die von diversen </w:t>
      </w:r>
      <w:r>
        <w:lastRenderedPageBreak/>
        <w:t>Investoren gezeichnet wird, sich aus mehreren Finanzierungstiteln bzw. Wertpapieren zusammensetzt.</w:t>
      </w:r>
      <w:r>
        <w:rPr>
          <w:rStyle w:val="Funotenzeichen"/>
        </w:rPr>
        <w:footnoteReference w:id="3"/>
      </w:r>
      <w:r>
        <w:t xml:space="preserve"> </w:t>
      </w:r>
    </w:p>
    <w:p w14:paraId="5E9E3EE7" w14:textId="2EFF4E03" w:rsidR="00F654ED" w:rsidRDefault="00F654ED" w:rsidP="00F654ED">
      <w:pPr>
        <w:pStyle w:val="ControllingSeminarText"/>
      </w:pPr>
      <w:r>
        <w:t>Der Kreditvertrag stellt einen schuldrechtlichen Vertrag im Sinne des § 841</w:t>
      </w:r>
      <w:r w:rsidR="008E4D82">
        <w:t/>
      </w:r>
      <w:r>
        <w:t/>
      </w:r>
      <w:r w:rsidR="008E4D82">
        <w:t/>
      </w:r>
      <w:r>
        <w:t xml:space="preserve"> BGB dar. Stellt der Kreditgeber dem Kreditnehmer einen Geldbetrag zur Verfügung, und verpflichtet sich der Kreditnehmer gleichzeitig, den Geldbetrag und die dafür anfallenden Zinskosten fristgerecht zurückzuzahlen, dann spricht man von einer „Geldleihe“, sozusagen dem „klassischen“ Kredit in Form eines Darlehensvertrags gemäß § 488 BGB.</w:t>
      </w:r>
      <w:r>
        <w:rPr>
          <w:rStyle w:val="Funotenzeichen"/>
        </w:rPr>
        <w:footnoteReference w:id="4"/>
      </w:r>
      <w:r>
        <w:t xml:space="preserve"> </w:t>
      </w:r>
    </w:p>
    <w:p w14:paraId="77E00818" w14:textId="77777777" w:rsidR="00F654ED" w:rsidRDefault="00F654ED" w:rsidP="00F654ED">
      <w:pPr>
        <w:pStyle w:val="ControllingSeminarText"/>
      </w:pPr>
      <w:r>
        <w:t xml:space="preserve">Zustande kommt der Kreditvertrag durch die Annahme eines Angebots iSd. § 145 </w:t>
      </w:r>
      <w:proofErr w:type="gramStart"/>
      <w:r>
        <w:t>BGB :</w:t>
      </w:r>
      <w:proofErr w:type="gramEnd"/>
      <w:r>
        <w:t xml:space="preserve"> </w:t>
      </w:r>
    </w:p>
    <w:p w14:paraId="68A37B4D" w14:textId="6A9B8CD4" w:rsidR="000847A5" w:rsidRDefault="00F654ED" w:rsidP="00F654ED">
      <w:pPr>
        <w:pStyle w:val="ControllingSeminarText"/>
      </w:pPr>
      <w:r>
        <w:t xml:space="preserve">Im Falle eines Bankkredites stellt der Kreditnehmer dem Kreditgeber einen Antrag, der im Anschluss</w:t>
      </w:r>
      <w:r w:rsidR="008E4D82">
        <w:t/>
      </w:r>
      <w:r>
        <w:t xml:space="preserve"> einer Prüfung der Kreditwürdigkeit und der Kreditfähigkeit unterzogen wird. Im </w:t>
      </w:r>
      <w:r w:rsidR="008E4D82">
        <w:t>Zuge</w:t>
      </w:r>
      <w:r>
        <w:t xml:space="preserve"> dessen wird z. B. festgestellt, ob der künftige Schuldner rechtsfähig ist und inwieweit er in der Lage ist, Zins- und Tilgungszahlen fristgerecht und vollständig aufzubringen. Die Vergabeentscheidung für Investoren am Kapitalmarkt ist in der Regel abhängig von einem externen Rating, bspw. von einer Rating-Agentur wie </w:t>
      </w:r>
      <w:r w:rsidR="000847A5">
        <w:t>„Moody’s“</w:t>
      </w:r>
      <w:r>
        <w:t/>
      </w:r>
      <w:r w:rsidR="000847A5">
        <w:t/>
      </w:r>
      <w:r>
        <w:t xml:space="preserve"> oder </w:t>
      </w:r>
      <w:r w:rsidR="000847A5">
        <w:t>„Standard &amp; Poor’s“</w:t>
      </w:r>
      <w:r>
        <w:t/>
      </w:r>
      <w:r w:rsidR="000847A5">
        <w:t/>
      </w:r>
      <w:r w:rsidR="00257B31">
        <w:t>.</w:t>
      </w:r>
      <w:r w:rsidR="00257B31">
        <w:rPr>
          <w:rStyle w:val="Funotenzeichen"/>
        </w:rPr>
        <w:footnoteReference w:id="5"/>
      </w:r>
      <w:r>
        <w:t xml:space="preserve"> </w:t>
      </w:r>
      <w:r w:rsidR="008E4D82">
        <w:t>hier</w:t>
      </w:r>
      <w:r>
        <w:t xml:space="preserve"> zeigt sich insbesondere der institutionelle Unterschied zwischen Banken und Investoren am Kapitalmarkt in Bezug auf deren Fähigkeit, Informationen zu sammeln und auszuwerten. Auch Bilanzierungsqualität soll dabei kein zu vernachlässigendes Kriterium sein</w:t>
      </w:r>
      <w:r w:rsidR="000847A5">
        <w:t>.</w:t>
      </w:r>
    </w:p>
    <w:p w14:paraId="62BE191B" w14:textId="77777777" w:rsidR="00F654ED" w:rsidRDefault="00F654ED" w:rsidP="00F654ED">
      <w:pPr>
        <w:pStyle w:val="ControllingSeminarText"/>
      </w:pPr>
      <w:r>
        <w:t>Erst bei einer Zusage des potenziellen Kreditgebers, anschließender Zustimmung und Annahme des Kreditnehmers zu den ausgehandelten Vertrags- und Kreditkonditionen, kommt es zu einem Vertrag</w:t>
      </w:r>
      <w:r w:rsidR="00257B31">
        <w:t>.</w:t>
      </w:r>
      <w:r w:rsidR="00257B31">
        <w:rPr>
          <w:rStyle w:val="Funotenzeichen"/>
        </w:rPr>
        <w:footnoteReference w:id="6"/>
      </w:r>
      <w:r>
        <w:t xml:space="preserve">  </w:t>
      </w:r>
    </w:p>
    <w:p w14:paraId="31D5FC5F" w14:textId="77777777" w:rsidR="00F654ED" w:rsidRDefault="00F654ED" w:rsidP="00F654ED">
      <w:pPr>
        <w:pStyle w:val="ControllingSeminarText"/>
      </w:pPr>
    </w:p>
    <w:p w14:paraId="793FA100" w14:textId="77777777" w:rsidR="00F654ED" w:rsidRDefault="00F654ED" w:rsidP="00F654ED">
      <w:pPr>
        <w:pStyle w:val="ControllingAbsatzberschrift"/>
      </w:pPr>
      <w:bookmarkStart w:id="7" w:name="_Toc534620108"/>
      <w:r>
        <w:t>Bestandteile des Kreditvertrags</w:t>
      </w:r>
      <w:bookmarkEnd w:id="7"/>
      <w:r>
        <w:t xml:space="preserve"> </w:t>
      </w:r>
    </w:p>
    <w:p w14:paraId="19106AB3" w14:textId="77777777" w:rsidR="00F654ED" w:rsidRDefault="00F654ED" w:rsidP="00F654ED">
      <w:pPr>
        <w:pStyle w:val="ControllingSeminarText"/>
      </w:pPr>
    </w:p>
    <w:p w14:paraId="25DA0582" w14:textId="4BD84D68" w:rsidR="00F654ED" w:rsidRDefault="00F654ED" w:rsidP="00F654ED">
      <w:pPr>
        <w:pStyle w:val="ControllingSeminarText"/>
      </w:pPr>
      <w:r>
        <w:t xml:space="preserve">Zu den wesentlichen Vertragsbestandteilen </w:t>
      </w:r>
      <w:proofErr w:type="gramStart"/>
      <w:r w:rsidR="008E4D82">
        <w:t>gehörten:</w:t>
      </w:r>
      <w:r>
        <w:t xml:space="preserve"/>
      </w:r>
      <w:proofErr w:type="gramEnd"/>
      <w:r>
        <w:t xml:space="preserve"> Kreditzinsen, Kreditlaufzeit, Kreditsicherheiten und </w:t>
      </w:r>
      <w:r w:rsidR="008E4D82">
        <w:t>Covenants</w:t>
      </w:r>
      <w:r>
        <w:t>.</w:t>
      </w:r>
      <w:r w:rsidRPr="002A0B5A">
        <w:rPr>
          <w:rStyle w:val="Funotenzeichen"/>
        </w:rPr>
        <w:t xml:space="preserve"> </w:t>
      </w:r>
      <w:r>
        <w:rPr>
          <w:rStyle w:val="Funotenzeichen"/>
        </w:rPr>
        <w:footnoteReference w:id="7"/>
      </w:r>
      <w:r>
        <w:t xml:space="preserve"> </w:t>
      </w:r>
    </w:p>
    <w:p w14:paraId="381213B5" w14:textId="77777777" w:rsidR="00F654ED" w:rsidRDefault="00F654ED" w:rsidP="00F654ED">
      <w:pPr>
        <w:pStyle w:val="ControllingSeminarText"/>
      </w:pPr>
    </w:p>
    <w:p w14:paraId="288AEB89" w14:textId="77777777" w:rsidR="00F654ED" w:rsidRDefault="00F654ED" w:rsidP="00F654ED">
      <w:pPr>
        <w:pStyle w:val="ControllingSeminarUnterabsatz"/>
      </w:pPr>
      <w:bookmarkStart w:id="8" w:name="_Toc534205684"/>
      <w:bookmarkStart w:id="9" w:name="_Toc534620109"/>
      <w:r>
        <w:t>Kreditlaufzeit</w:t>
      </w:r>
      <w:bookmarkEnd w:id="8"/>
      <w:bookmarkEnd w:id="9"/>
      <w:r>
        <w:t xml:space="preserve"> </w:t>
      </w:r>
    </w:p>
    <w:p w14:paraId="747AA602" w14:textId="77777777" w:rsidR="00F654ED" w:rsidRDefault="00F654ED" w:rsidP="00F654ED">
      <w:pPr>
        <w:pStyle w:val="ControllingSeminarText"/>
      </w:pPr>
    </w:p>
    <w:p w14:paraId="24727596" w14:textId="2373A74A" w:rsidR="00C813B1" w:rsidRDefault="00C813B1" w:rsidP="00C813B1">
      <w:pPr>
        <w:pStyle w:val="ControllingSeminarText"/>
      </w:pPr>
      <w:r>
        <w:t xml:space="preserve">Die Kreditlaufzeit bezeichnet den Zeitraum, der zwischen der Auszahlung eines Kredits und seiner vollständigen Rückzahlung liegt. Sie bestimmt also, wie lange ein </w:t>
      </w:r>
      <w:r>
        <w:lastRenderedPageBreak/>
        <w:t>Kreditnehmer Zeit hat, den geliehenen Betrag inklusive etwaiger Zinsen zurückzuzahlen. Abhängig von der Dauer unterscheidet man in der Praxis zwischen kurzfristigen (bis etwa ein Jahr), mittelfristigen (ein bis fünf Jahre) und langfristigen Krediten (mehr als fünf Jahre).</w:t>
      </w:r>
    </w:p>
    <w:p w14:paraId="5615C1B3" w14:textId="77777777" w:rsidR="00C813B1" w:rsidRDefault="00C813B1" w:rsidP="00C813B1">
      <w:pPr>
        <w:pStyle w:val="ControllingSeminarText"/>
      </w:pPr>
      <w:r>
        <w:t>Die Wahl der passenden Laufzeit hängt von mehreren Faktoren ab – unter anderem von der Art des Finanzierungsbedarfs, der finanziellen Situation des Kreditnehmers sowie den Konditionen des Kreditgebers. Eine längere Laufzeit bedeutet oft niedrigere monatliche Raten, führt aber insgesamt zu höheren Zinskosten. Eine kürzere Laufzeit ist in der Regel günstiger, erfordert jedoch eine höhere Rückzahlungsfähigkeit in kürzerer Zeit.</w:t>
      </w:r>
    </w:p>
    <w:p w14:paraId="1BB4DCF0" w14:textId="77777777" w:rsidR="00C813B1" w:rsidRDefault="00C813B1" w:rsidP="00C813B1">
      <w:pPr>
        <w:pStyle w:val="ControllingSeminarText"/>
      </w:pPr>
    </w:p>
    <w:p w14:paraId="203F8042" w14:textId="048CAA73" w:rsidR="00F654ED" w:rsidRDefault="00C813B1" w:rsidP="00C813B1">
      <w:pPr>
        <w:pStyle w:val="ControllingSeminarText"/>
      </w:pPr>
      <w:r>
        <w:t xml:space="preserve">Für Kreditnehmende ist es daher wichtig, eine realistische Einschätzung der eigenen Zahlungsfähigkeit vorzunehmen und die Laufzeit so zu wählen, dass die Rückzahlung verlässlich und ohne finanzielle Engpässe erfolgen </w:t>
      </w:r>
      <w:proofErr w:type="gramStart"/>
      <w:r>
        <w:t>kann.</w:t>
      </w:r>
      <w:r w:rsidR="00F654ED">
        <w:t/>
      </w:r>
      <w:proofErr w:type="gramEnd"/>
      <w:r w:rsidR="00F654ED">
        <w:t xml:space="preserve"> zwischen kurz-, mittel- und langfristigen Krediten unterscheiden. </w:t>
      </w:r>
    </w:p>
    <w:p w14:paraId="3F281C40" w14:textId="5BC342E6" w:rsidR="000847A5" w:rsidRDefault="00F654ED" w:rsidP="00F654ED">
      <w:pPr>
        <w:pStyle w:val="ControllingSeminarText"/>
      </w:pPr>
      <w:r>
        <w:t>Die Kreditlaufzeit</w:t>
      </w:r>
      <w:r w:rsidR="008E4D82">
        <w:t>en</w:t>
      </w:r>
      <w:r>
        <w:t xml:space="preserve"> </w:t>
      </w:r>
      <w:proofErr w:type="gramStart"/>
      <w:r>
        <w:t>stehen</w:t>
      </w:r>
      <w:proofErr w:type="gramEnd"/>
      <w:r>
        <w:t xml:space="preserve"> in engem Verhältnis zu den Eigenschaften des Unternehmens. So verwenden insbesondere Unternehmen mit volatilen Gewinnen eher Kredite mit kurzer Laufzeit. Ebenfalls besteht ein direkter Zusammenhang zwischen dem Kredit-Rating eines Unternehmens und der Laufzeit (im Falle einer Fremdfinanzierung über den „öffentlichen“ Kapitalmarkt</w:t>
      </w:r>
      <w:proofErr w:type="gramStart"/>
      <w:r>
        <w:t>):</w:t>
      </w:r>
      <w:proofErr w:type="gramEnd"/>
      <w:r>
        <w:t xml:space="preserve"> Unternehmen mit einer guten, aber auch solche mit einer sehr schlechten Bewertung erhalten tendenziell kürzere Kreditlaufzeiten.</w:t>
      </w:r>
      <w:r>
        <w:rPr>
          <w:rStyle w:val="Funotenzeichen"/>
        </w:rPr>
        <w:footnoteReference w:id="8"/>
      </w:r>
    </w:p>
    <w:p w14:paraId="0235037C" w14:textId="77777777" w:rsidR="000847A5" w:rsidRDefault="000847A5" w:rsidP="00F654ED">
      <w:pPr>
        <w:pStyle w:val="ControllingSeminarText"/>
      </w:pPr>
    </w:p>
    <w:p w14:paraId="46D3619F" w14:textId="77777777" w:rsidR="00F654ED" w:rsidRDefault="00F654ED" w:rsidP="00F654ED">
      <w:pPr>
        <w:pStyle w:val="ControllingSeminarUnterabsatz"/>
      </w:pPr>
      <w:bookmarkStart w:id="10" w:name="_Toc534205685"/>
      <w:bookmarkStart w:id="11" w:name="_Toc534620110"/>
      <w:r>
        <w:t>Kreditzinsen/Zin</w:t>
      </w:r>
      <w:bookmarkEnd w:id="10"/>
      <w:r>
        <w:t>skosten</w:t>
      </w:r>
      <w:bookmarkEnd w:id="11"/>
      <w:r>
        <w:t xml:space="preserve"> </w:t>
      </w:r>
    </w:p>
    <w:p w14:paraId="3654E5BC" w14:textId="77777777" w:rsidR="00F654ED" w:rsidRDefault="00F654ED" w:rsidP="00F654ED">
      <w:pPr>
        <w:pStyle w:val="Listenabsatz"/>
      </w:pPr>
    </w:p>
    <w:p w14:paraId="71FE2706" w14:textId="77777777" w:rsidR="00F654ED" w:rsidRDefault="00F654ED" w:rsidP="00F654ED">
      <w:pPr>
        <w:pStyle w:val="ControllingSeminarText"/>
      </w:pPr>
      <w:r>
        <w:t xml:space="preserve">Der Zinssatz legt den Geldbetrag fest, den der Schuldner im Gegenzug zur Nutzung des ihm überlassenen Kapitals verpflichtend an </w:t>
      </w:r>
      <w:proofErr w:type="gramStart"/>
      <w:r>
        <w:t>den  Kreditgeber</w:t>
      </w:r>
      <w:proofErr w:type="gramEnd"/>
      <w:r>
        <w:t xml:space="preserve"> zu entrichten hat.</w:t>
      </w:r>
      <w:r>
        <w:rPr>
          <w:rStyle w:val="Funotenzeichen"/>
        </w:rPr>
        <w:footnoteReference w:id="9"/>
      </w:r>
      <w:r>
        <w:t xml:space="preserve"> </w:t>
      </w:r>
    </w:p>
    <w:p w14:paraId="3E2C0731" w14:textId="4B1A31CF" w:rsidR="00F654ED" w:rsidRDefault="00F654ED" w:rsidP="00F654ED">
      <w:pPr>
        <w:pStyle w:val="ControllingSeminarText"/>
      </w:pPr>
      <w:r>
        <w:t xml:space="preserve">Dabei sollten die </w:t>
      </w:r>
      <w:proofErr w:type="gramStart"/>
      <w:r>
        <w:t>Zinskosten</w:t>
      </w:r>
      <w:proofErr w:type="gramEnd"/>
      <w:r>
        <w:t xml:space="preserve"> die dem Kreditgeber entstehenden administrativen Kosten decken, aber auch angemessen für das eingegangene Risiko entschädigen. Weiterhin hängen die Zinskosten auch von der Kreditlaufzeit ab. Grundsätzlich gilt, dass sich die Zinskosten mit dem Ausfallrisiko des Kreditnehmers erhöhen. Die Höhe des Zinssatzes wird häufig in Verbindung mit einem Referenzzinssatz angegeben – dabei kann es sich um einen hauseigenen Basiszinssatz handeln,</w:t>
      </w:r>
      <w:r w:rsidR="008E4D82">
        <w:t xml:space="preserve"> </w:t>
      </w:r>
      <w:r>
        <w:t>teilweise wird sich auch auf den Libor oder den Euribor</w:t>
      </w:r>
      <w:r w:rsidR="008E4D82">
        <w:t/>
      </w:r>
      <w:r>
        <w:t xml:space="preserve"> bezogen.</w:t>
      </w:r>
      <w:r>
        <w:rPr>
          <w:rStyle w:val="Funotenzeichen"/>
        </w:rPr>
        <w:footnoteReference w:id="10"/>
      </w:r>
      <w:r>
        <w:t xml:space="preserve"> </w:t>
      </w:r>
    </w:p>
    <w:p w14:paraId="3A1CBFF0" w14:textId="77777777" w:rsidR="00FB421F" w:rsidRDefault="00FB421F" w:rsidP="00F654ED">
      <w:pPr>
        <w:pStyle w:val="ControllingSeminarText"/>
      </w:pPr>
    </w:p>
    <w:p w14:paraId="7BFC2B8E" w14:textId="77777777" w:rsidR="00F654ED" w:rsidRDefault="00F654ED" w:rsidP="00F654ED">
      <w:pPr>
        <w:pStyle w:val="ControllingSeminarUnterabsatz"/>
      </w:pPr>
      <w:bookmarkStart w:id="12" w:name="_Toc534205686"/>
      <w:bookmarkStart w:id="13" w:name="_Toc534620111"/>
      <w:r>
        <w:lastRenderedPageBreak/>
        <w:t>Kreditsicherheiten</w:t>
      </w:r>
      <w:bookmarkEnd w:id="12"/>
      <w:bookmarkEnd w:id="13"/>
      <w:r>
        <w:t xml:space="preserve"> </w:t>
      </w:r>
    </w:p>
    <w:p w14:paraId="141FF0D5" w14:textId="77777777" w:rsidR="00F654ED" w:rsidRDefault="00F654ED" w:rsidP="00F654ED">
      <w:pPr>
        <w:pStyle w:val="ControllingSeminarText"/>
      </w:pPr>
    </w:p>
    <w:p w14:paraId="2866D3CD" w14:textId="77777777" w:rsidR="003907E8" w:rsidRDefault="003907E8" w:rsidP="003907E8">
      <w:pPr>
        <w:pStyle w:val="ControllingSeminarText"/>
      </w:pPr>
      <w:r>
        <w:t xml:space="preserve">Als Kreditsicherheiten bezeichnet man Vermögensgegenstände </w:t>
      </w:r>
      <w:proofErr w:type="gramStart"/>
      <w:r>
        <w:t>bzw.Rechte</w:t>
      </w:r>
      <w:proofErr w:type="gramEnd"/>
      <w:r>
        <w:t>, die den Gläubiger gegen einen Kreditausfall absichern sollen bzw. die Wahrscheinlichkeit und das Ausmaß eines Kreditausfalls weitestgehend reduzieren sollen.</w:t>
      </w:r>
      <w:r>
        <w:rPr>
          <w:rStyle w:val="Funotenzeichen"/>
        </w:rPr>
        <w:footnoteReference w:id="11"/>
      </w:r>
      <w:r>
        <w:t xml:space="preserve"> </w:t>
      </w:r>
    </w:p>
    <w:p w14:paraId="0BD830B3" w14:textId="5B56FBF9" w:rsidR="003907E8" w:rsidRDefault="003907E8" w:rsidP="003907E8">
      <w:pPr>
        <w:pStyle w:val="ControllingSeminarText"/>
      </w:pPr>
      <w:r>
        <w:t>Grundsätzlich kann man zwischen Sachsicherheiten und Personensicherheiten unterscheiden. Im Falle von Sachsicherheiten stehen dem Gläubiger neben Gegenständen auch Rechte, wie z. B. Pfandrechte, zu. Bei Personensicherheiten wird hingegen das Vermögen einer Person in Anspruch genommen, bspw</w:t>
      </w:r>
      <w:r w:rsidR="008E4D82">
        <w:t/>
      </w:r>
      <w:r>
        <w:t xml:space="preserve">. über eine Bürgschaft. </w:t>
      </w:r>
      <w:r>
        <w:rPr>
          <w:rStyle w:val="Funotenzeichen"/>
        </w:rPr>
        <w:footnoteReference w:id="12"/>
      </w:r>
    </w:p>
    <w:p w14:paraId="7FD0F29A" w14:textId="77777777" w:rsidR="00F654ED" w:rsidRDefault="00F654ED" w:rsidP="00F654ED">
      <w:pPr>
        <w:pStyle w:val="ControllingSeminarText"/>
      </w:pPr>
    </w:p>
    <w:p w14:paraId="0DF80B43" w14:textId="77777777" w:rsidR="00F654ED" w:rsidRDefault="00F654ED" w:rsidP="00F654ED">
      <w:pPr>
        <w:pStyle w:val="ControllingSeminarUnterabsatz"/>
      </w:pPr>
      <w:bookmarkStart w:id="14" w:name="_Toc534205687"/>
      <w:bookmarkStart w:id="15" w:name="_Toc534620112"/>
      <w:r>
        <w:t>Covenants</w:t>
      </w:r>
      <w:bookmarkEnd w:id="14"/>
      <w:bookmarkEnd w:id="15"/>
      <w:r>
        <w:t xml:space="preserve"> </w:t>
      </w:r>
    </w:p>
    <w:p w14:paraId="7FD4D2D7" w14:textId="77777777" w:rsidR="00F654ED" w:rsidRDefault="00F654ED" w:rsidP="00F654ED">
      <w:pPr>
        <w:pStyle w:val="ControllingSeminarText"/>
      </w:pPr>
    </w:p>
    <w:p w14:paraId="7AC160AB" w14:textId="3FCE7E28" w:rsidR="00C813B1" w:rsidRDefault="00C813B1" w:rsidP="00C813B1">
      <w:pPr>
        <w:pStyle w:val="ControllingSeminarText"/>
      </w:pPr>
      <w:r>
        <w:t>Unter dem Begriff Covenants versteht man vertraglich festgelegte Zusatzvereinbarungen, die im Rahmen eines Kreditvertrags zwischen dem Kreditgeber und dem Kreditnehmer getroffen werden. Sie gehen über die reine Verpflichtung zur Rückzahlung von Zins und Tilgung hinaus und regeln bestimmte Verhaltensweisen oder finanzielle Kennzahlen, die während der Kreditlaufzeit eingehalten werden müssen.</w:t>
      </w:r>
    </w:p>
    <w:p w14:paraId="77E0D58E" w14:textId="6FCAA64F" w:rsidR="00C813B1" w:rsidRDefault="00C813B1" w:rsidP="00C813B1">
      <w:pPr>
        <w:pStyle w:val="ControllingSeminarText"/>
      </w:pPr>
      <w:r>
        <w:t xml:space="preserve">Diese Klauseln dienen dazu, das Risiko für den Kreditgeber zu begrenzen, indem sie einen gewissen Einfluss auf die wirtschaftliche Entwicklung des Kreditnehmers ermöglichen. Man unterscheidet dabei grundsätzlich zwischen positiven Covenants – also Pflichten, zu denen sich der Kreditnehmer aktiv verpflichtet (z. B. regelmäßige Berichterstattung) – und negativen Covenants, </w:t>
      </w:r>
      <w:proofErr w:type="gramStart"/>
      <w:r>
        <w:t>die bestimmte Handlungen</w:t>
      </w:r>
      <w:proofErr w:type="gramEnd"/>
      <w:r>
        <w:t xml:space="preserve"> einschränken oder untersagen (z. B. keine weiteren Schulden ohne Zustimmung aufzunehmen).</w:t>
      </w:r>
    </w:p>
    <w:p w14:paraId="22A98994" w14:textId="076D9589" w:rsidR="00F654ED" w:rsidRDefault="00C813B1" w:rsidP="00C813B1">
      <w:pPr>
        <w:pStyle w:val="ControllingSeminarText"/>
      </w:pPr>
      <w:r>
        <w:t xml:space="preserve">Die Einhaltung der Covenants wird regelmäßig überprüft. Werden sie verletzt, kann das schwerwiegende Folgen haben – von Nachverhandlungen über höhere Zinsen bis hin zur vorzeitigen Kündigung des Kredits. Daher sind Covenants ein zentrales Instrument im Risikomanagement von Kreditgebern und sollten von Kreditnehmenden sorgfältig beachtet </w:t>
      </w:r>
      <w:proofErr w:type="gramStart"/>
      <w:r>
        <w:t>werden.</w:t>
      </w:r>
      <w:r w:rsidR="00F654ED">
        <w:t>Covenants</w:t>
      </w:r>
      <w:proofErr w:type="gramEnd"/>
      <w:r w:rsidR="00F654ED">
        <w:t xml:space="preserve"> können sowohl für </w:t>
      </w:r>
      <w:proofErr w:type="gramStart"/>
      <w:r w:rsidR="00F654ED">
        <w:t>Bankkredite,</w:t>
      </w:r>
      <w:proofErr w:type="gramEnd"/>
      <w:r w:rsidR="00F654ED">
        <w:t xml:space="preserve"> als auch für Anleihenverträge vereinbart werden.</w:t>
      </w:r>
      <w:r w:rsidR="00F654ED">
        <w:rPr>
          <w:rStyle w:val="Funotenzeichen"/>
        </w:rPr>
        <w:footnoteReference w:id="13"/>
      </w:r>
    </w:p>
    <w:p w14:paraId="5D0FB5D3" w14:textId="77777777" w:rsidR="003B392C" w:rsidRDefault="003B392C" w:rsidP="003B392C">
      <w:pPr>
        <w:pStyle w:val="ControllingKapitelberschrift"/>
      </w:pPr>
      <w:bookmarkStart w:id="16" w:name="_Toc534620113"/>
      <w:r>
        <w:lastRenderedPageBreak/>
        <w:t>Bilanzierungsqualität</w:t>
      </w:r>
      <w:bookmarkEnd w:id="16"/>
    </w:p>
    <w:p w14:paraId="3EBF4F4C" w14:textId="77777777" w:rsidR="003B392C" w:rsidRDefault="003B392C" w:rsidP="003B392C">
      <w:pPr>
        <w:pStyle w:val="ControllingKapitelberschrift"/>
        <w:numPr>
          <w:ilvl w:val="0"/>
          <w:numId w:val="0"/>
        </w:numPr>
        <w:ind w:left="432" w:hanging="432"/>
      </w:pPr>
    </w:p>
    <w:p w14:paraId="4C51E2D0" w14:textId="77777777" w:rsidR="003B392C" w:rsidRDefault="003B392C" w:rsidP="003B392C">
      <w:pPr>
        <w:pStyle w:val="ControllingAbsatzberschrift"/>
      </w:pPr>
      <w:bookmarkStart w:id="17" w:name="_Toc534620114"/>
      <w:r>
        <w:t>Finanzberichterstattung als Mechanismus zur Reduzierung von Informationsasymmetrien</w:t>
      </w:r>
      <w:bookmarkEnd w:id="17"/>
    </w:p>
    <w:p w14:paraId="7C7714FC" w14:textId="77777777" w:rsidR="003B392C" w:rsidRDefault="003B392C" w:rsidP="003B392C">
      <w:pPr>
        <w:pStyle w:val="ControllingSeminarText"/>
      </w:pPr>
    </w:p>
    <w:p w14:paraId="7F6CF610" w14:textId="031F5164" w:rsidR="003B392C" w:rsidRDefault="003B392C" w:rsidP="003B392C">
      <w:pPr>
        <w:pStyle w:val="ControllingSeminarText"/>
      </w:pPr>
      <w:r>
        <w:t>Die externe Rechnungslegung</w:t>
      </w:r>
      <w:r w:rsidRPr="00C00A36">
        <w:t xml:space="preserve"> dient der Produktion und Offenlegung von Informationen über die Vermögens-, Ertrags- und Finanzlage des Unternehmens an </w:t>
      </w:r>
      <w:r>
        <w:t xml:space="preserve">Adressaten außerhalb des Unternehmens. Notwendig wird sie aufgrund </w:t>
      </w:r>
      <w:r w:rsidRPr="00C00A36">
        <w:t>eine</w:t>
      </w:r>
      <w:r>
        <w:t>r</w:t>
      </w:r>
      <w:r w:rsidRPr="00C00A36">
        <w:t xml:space="preserve"> Ungleichverteilung von Informationen zwischen dem Unternehmen (z. B. Managern) und verschiedenen Stakeholdern (z. B. Kapitalgebern).</w:t>
      </w:r>
      <w:r>
        <w:t xml:space="preserve"> </w:t>
      </w:r>
      <w:r w:rsidRPr="00C00A36">
        <w:t>Unternehmensinterne besitzen hier</w:t>
      </w:r>
      <w:r>
        <w:t>bei</w:t>
      </w:r>
      <w:r w:rsidRPr="00C00A36">
        <w:t xml:space="preserve"> einen tätigkeitsbedingten Informationsvorsprung, sowohl in zeitlicher als auch in quantitativer und qualitativer Hinsicht. Dies führt zu Prinzipal-Agent-Problemen</w:t>
      </w:r>
      <w:r>
        <w:t xml:space="preserve"> zwischen einem Prinzipal (z. B. Kapitalgeber) und einem Agenten (z. B. Vorstand einer Aktiengesellschaft).</w:t>
      </w:r>
      <w:r>
        <w:rPr>
          <w:rStyle w:val="Funotenzeichen"/>
        </w:rPr>
        <w:footnoteReference w:id="14"/>
      </w:r>
      <w:r>
        <w:t xml:space="preserve"> </w:t>
      </w:r>
      <w:r w:rsidR="006161B0" w:rsidRPr="006161B0">
        <w:t>Diese</w:t>
      </w:r>
      <w:r w:rsidR="008E4D82">
        <w:t/>
      </w:r>
      <w:r w:rsidR="006161B0" w:rsidRPr="006161B0">
        <w:t xml:space="preserve"> Prinzipal-Agenten-Beziehung ist vor allem durch Zweierlei gekennzeichnet</w:t>
      </w:r>
      <w:r w:rsidR="006161B0">
        <w:t xml:space="preserve">. </w:t>
      </w:r>
      <w:r>
        <w:t>Verfügt der Vorstand über bessere Informationen über das Unternehmen und dessen Zukunftsaussichten, kann er diese Informationsvorsprünge nutzen, um beispielsweise unangenehme Informationen über die Finanzlage des Unternehmens gegenüber den Fremdkapitalgebern zu verschleiern (Problem der adversen Selektion). Können eine oder mehrere Vertragsparteien die Handlungen zur Erfüllung des Vertrages beobachten, andere jedoch nicht, liegt ein Moral-Hazard-Problem vor.</w:t>
      </w:r>
      <w:r>
        <w:rPr>
          <w:rStyle w:val="Funotenzeichen"/>
        </w:rPr>
        <w:footnoteReference w:id="15"/>
      </w:r>
      <w:r>
        <w:t xml:space="preserve"> So könnte </w:t>
      </w:r>
      <w:r w:rsidRPr="00142507">
        <w:t xml:space="preserve">das Management </w:t>
      </w:r>
      <w:proofErr w:type="gramStart"/>
      <w:r w:rsidRPr="00142507">
        <w:t>eine Verschlechterung</w:t>
      </w:r>
      <w:r w:rsidR="008E4D82">
        <w:t/>
      </w:r>
      <w:proofErr w:type="gramEnd"/>
      <w:r w:rsidR="008E4D82">
        <w:t xml:space="preserve"> </w:t>
      </w:r>
      <w:r w:rsidRPr="00142507">
        <w:t>der Unternehmensleistung auf unglückliche Umweltzustände oder andere Faktoren zurückführen</w:t>
      </w:r>
      <w:r>
        <w:t>, obwohl es sich faktisch nicht für die Interessen der Fremdkapitalgeber einsetzt.</w:t>
      </w:r>
      <w:r>
        <w:rPr>
          <w:rStyle w:val="Funotenzeichen"/>
        </w:rPr>
        <w:footnoteReference w:id="16"/>
      </w:r>
      <w:r>
        <w:t xml:space="preserve"> </w:t>
      </w:r>
    </w:p>
    <w:p w14:paraId="1228C105" w14:textId="462C3256" w:rsidR="003B392C" w:rsidRDefault="003B392C" w:rsidP="003B392C">
      <w:pPr>
        <w:pStyle w:val="ControllingSeminarText"/>
      </w:pPr>
      <w:r w:rsidRPr="00C00A36">
        <w:t xml:space="preserve">Um dennoch eine Entscheidung über die </w:t>
      </w:r>
      <w:proofErr w:type="gramStart"/>
      <w:r w:rsidRPr="00C00A36">
        <w:t>potenzielle</w:t>
      </w:r>
      <w:proofErr w:type="gramEnd"/>
      <w:r w:rsidRPr="00C00A36">
        <w:t xml:space="preserve"> Aufnahme eines Geschäftsverhältnisses </w:t>
      </w:r>
      <w:r>
        <w:t>fällen</w:t>
      </w:r>
      <w:r w:rsidRPr="00C00A36">
        <w:t xml:space="preserve"> zu können, brauchen </w:t>
      </w:r>
      <w:r>
        <w:t xml:space="preserve">Kapitalgeber </w:t>
      </w:r>
      <w:r w:rsidRPr="00C00A36">
        <w:t xml:space="preserve">umfangreiche Kenntnisse zur </w:t>
      </w:r>
      <w:r>
        <w:t xml:space="preserve">wirtschaftlichen </w:t>
      </w:r>
      <w:r w:rsidRPr="00C00A36">
        <w:t xml:space="preserve">Situation des Unternehmens.  Finanzberichterstattung kann als </w:t>
      </w:r>
      <w:proofErr w:type="gramStart"/>
      <w:r>
        <w:t>ein</w:t>
      </w:r>
      <w:r w:rsidR="008E4D82">
        <w:t xml:space="preserve"> </w:t>
      </w:r>
      <w:r w:rsidRPr="00C00A36">
        <w:t>Mechanismus</w:t>
      </w:r>
      <w:proofErr w:type="gramEnd"/>
      <w:r w:rsidRPr="00C00A36">
        <w:t xml:space="preserve"> angesehen werden, um diese Informationsasymmetrien zu reduzieren.</w:t>
      </w:r>
      <w:r>
        <w:rPr>
          <w:rStyle w:val="Funotenzeichen"/>
        </w:rPr>
        <w:footnoteReference w:id="17"/>
      </w:r>
      <w:r w:rsidRPr="00C00A36">
        <w:t xml:space="preserve"> </w:t>
      </w:r>
      <w:r>
        <w:t>Damit bieten sie den Kapitalgebern die Möglichkeit</w:t>
      </w:r>
      <w:r w:rsidR="003B4E9F">
        <w:t>,</w:t>
      </w:r>
      <w:r>
        <w:t xml:space="preserve"> Renditeerwartungen von Investitionen abzuschätzen und die Verwendung des zur Verfügung gestellten Kapitals zu kontrollieren.</w:t>
      </w:r>
      <w:r>
        <w:rPr>
          <w:rStyle w:val="Funotenzeichen"/>
        </w:rPr>
        <w:footnoteReference w:id="18"/>
      </w:r>
    </w:p>
    <w:p w14:paraId="4081A460" w14:textId="77777777" w:rsidR="003B392C" w:rsidRPr="00C00A36" w:rsidRDefault="003B392C" w:rsidP="003B392C">
      <w:pPr>
        <w:pStyle w:val="ControllingSeminarText"/>
      </w:pPr>
    </w:p>
    <w:p w14:paraId="488BBC42" w14:textId="77777777" w:rsidR="003B392C" w:rsidRDefault="003B392C" w:rsidP="003B392C">
      <w:pPr>
        <w:pStyle w:val="ControllingAbsatzberschrift"/>
      </w:pPr>
      <w:bookmarkStart w:id="20" w:name="_Toc534620115"/>
      <w:r>
        <w:lastRenderedPageBreak/>
        <w:t>Eingrenzung des Begriffs der Bilanzierungsqualität</w:t>
      </w:r>
      <w:bookmarkEnd w:id="20"/>
    </w:p>
    <w:p w14:paraId="33C21176" w14:textId="77777777" w:rsidR="003B392C" w:rsidRPr="00C00A36" w:rsidRDefault="003B392C" w:rsidP="003B392C">
      <w:pPr>
        <w:pStyle w:val="ControllingSeminarText"/>
      </w:pPr>
    </w:p>
    <w:p w14:paraId="37249B68" w14:textId="768981E1" w:rsidR="003B392C" w:rsidRDefault="003B392C" w:rsidP="00AA2E40">
      <w:pPr>
        <w:pStyle w:val="ControllingSeminarText"/>
      </w:pPr>
      <w:r>
        <w:t xml:space="preserve">Für Kapitalgeber sind zuverlässige Informationen über den aktuellen bzw. zukünftigen wirtschaftlichen Erfolg eines Unternehmens von großer Wichtigkeit, da sie die Grundlage für Investitionsentscheidungen darstellen. Die ihnen von potenziellen Kreditnehmern zur Verfügung gestellten Informationen, müssen somit vor allem entscheidungsnützlich sein. Laut Scott (2015) stehen </w:t>
      </w:r>
      <w:r w:rsidRPr="00C00A36">
        <w:t>Entscheidungsnützlichkeit und Bilanzierungsqualität in einem engen Zusammenhang</w:t>
      </w:r>
      <w:r>
        <w:t xml:space="preserve">. </w:t>
      </w:r>
      <w:r w:rsidRPr="003B392C">
        <w:rPr>
          <w:lang w:val="en-US"/>
        </w:rPr>
        <w:t xml:space="preserve">Bilanzierungsqualität lässt sich dazu als </w:t>
      </w:r>
      <w:proofErr w:type="gramStart"/>
      <w:r w:rsidRPr="003B392C">
        <w:rPr>
          <w:lang w:val="en-US"/>
        </w:rPr>
        <w:t>„</w:t>
      </w:r>
      <w:r w:rsidR="003E6540">
        <w:rPr>
          <w:lang w:val="en-US"/>
        </w:rPr>
        <w:t>[</w:t>
      </w:r>
      <w:proofErr w:type="gramEnd"/>
      <w:r w:rsidR="002D77E0">
        <w:rPr>
          <w:lang w:val="en-US"/>
        </w:rPr>
        <w:t>…</w:t>
      </w:r>
      <w:r w:rsidR="003E6540">
        <w:rPr>
          <w:lang w:val="en-US"/>
        </w:rPr>
        <w:t>]</w:t>
      </w:r>
      <w:r w:rsidRPr="003B392C">
        <w:rPr>
          <w:lang w:val="en-US"/>
        </w:rPr>
        <w:t xml:space="preserve"> the ability of financial accounting information to help users make good </w:t>
      </w:r>
      <w:proofErr w:type="gramStart"/>
      <w:r w:rsidR="003E6540">
        <w:rPr>
          <w:lang w:val="en-US"/>
        </w:rPr>
        <w:t>decisions</w:t>
      </w:r>
      <w:r w:rsidRPr="003B392C">
        <w:rPr>
          <w:lang w:val="en-US"/>
        </w:rPr>
        <w:t>“ definieren</w:t>
      </w:r>
      <w:proofErr w:type="gramEnd"/>
      <w:r w:rsidRPr="003B392C">
        <w:rPr>
          <w:lang w:val="en-US"/>
        </w:rPr>
        <w:t>.</w:t>
      </w:r>
      <w:r w:rsidR="00BA3A9E">
        <w:rPr>
          <w:rStyle w:val="Funotenzeichen"/>
          <w:lang w:val="en-US"/>
        </w:rPr>
        <w:footnoteReference w:id="19"/>
      </w:r>
      <w:r w:rsidRPr="003B392C">
        <w:rPr>
          <w:lang w:val="en-US"/>
        </w:rPr>
        <w:t xml:space="preserve"> </w:t>
      </w:r>
      <w:r w:rsidRPr="00756FC1">
        <w:t>Weiterhin</w:t>
      </w:r>
      <w:r w:rsidR="008E4D82">
        <w:t xml:space="preserve"/>
      </w:r>
      <w:r w:rsidRPr="00756FC1">
        <w:t/>
      </w:r>
      <w:r>
        <w:t xml:space="preserve"> sind Rechnungslegungsinformationen </w:t>
      </w:r>
      <w:r w:rsidRPr="00C00A36">
        <w:t xml:space="preserve">umso </w:t>
      </w:r>
      <w:r>
        <w:t>e</w:t>
      </w:r>
      <w:r w:rsidRPr="00C00A36">
        <w:t>ntscheidungsnützliche</w:t>
      </w:r>
      <w:r>
        <w:t>r</w:t>
      </w:r>
      <w:r w:rsidRPr="00C00A36">
        <w:t>, je informat</w:t>
      </w:r>
      <w:r>
        <w:t>iver sie sind</w:t>
      </w:r>
      <w:r w:rsidRPr="00C00A36">
        <w:t xml:space="preserve">. </w:t>
      </w:r>
      <w:r>
        <w:t xml:space="preserve">Unter „informativ“ werden vor allem </w:t>
      </w:r>
      <w:r w:rsidRPr="00C00A36">
        <w:t>hochwertige,</w:t>
      </w:r>
      <w:r>
        <w:t/>
      </w:r>
      <w:r w:rsidR="008E4D82">
        <w:t xml:space="preserve"> </w:t>
      </w:r>
      <w:r w:rsidRPr="00C00A36">
        <w:t>transparent</w:t>
      </w:r>
      <w:r>
        <w:t>e</w:t>
      </w:r>
      <w:r w:rsidRPr="00C00A36">
        <w:t xml:space="preserve"> und präzise</w:t>
      </w:r>
      <w:r>
        <w:t xml:space="preserve"> Abschlussinformationen verstanden.</w:t>
      </w:r>
      <w:r>
        <w:rPr>
          <w:rStyle w:val="Funotenzeichen"/>
        </w:rPr>
        <w:footnoteReference w:id="20"/>
      </w:r>
      <w:r w:rsidRPr="00C00A36">
        <w:t xml:space="preserve"> </w:t>
      </w:r>
      <w:r w:rsidR="006161B0" w:rsidRPr="006161B0">
        <w:t xml:space="preserve">Somit gehen </w:t>
      </w:r>
      <w:r w:rsidR="008E4D82">
        <w:t>hohe</w:t>
      </w:r>
      <w:r w:rsidR="006161B0" w:rsidRPr="006161B0">
        <w:t> Bilanzierungsqualität und verbesserte Entscheidungsnützlichkeit einher</w:t>
      </w:r>
      <w:r w:rsidR="006161B0">
        <w:t>.</w:t>
      </w:r>
      <w:r w:rsidRPr="00C00A36">
        <w:t xml:space="preserve"> </w:t>
      </w:r>
      <w:r>
        <w:t xml:space="preserve">Rechnungslegungsinformationen sollten bei </w:t>
      </w:r>
      <w:r w:rsidRPr="00C00A36">
        <w:t xml:space="preserve">der Bewertung der Vermögens-, Finanz- und Ertragslage des Unternehmens </w:t>
      </w:r>
      <w:r>
        <w:t xml:space="preserve">hilfreich sein. </w:t>
      </w:r>
      <w:r w:rsidR="0052333E">
        <w:t xml:space="preserve">Kreditgeber </w:t>
      </w:r>
      <w:r>
        <w:t>sind</w:t>
      </w:r>
      <w:r w:rsidRPr="007432D8">
        <w:t xml:space="preserve"> insbesondere an Informationen bezüglich der </w:t>
      </w:r>
      <w:r>
        <w:t xml:space="preserve">Kreditwürdigkeit </w:t>
      </w:r>
      <w:r w:rsidRPr="007432D8">
        <w:t>des Unternehmens</w:t>
      </w:r>
      <w:r>
        <w:t xml:space="preserve">, </w:t>
      </w:r>
      <w:r w:rsidRPr="007432D8">
        <w:t>d.h. der Fähigkeit, vereinbarte</w:t>
      </w:r>
      <w:r w:rsidR="003B3496">
        <w:t>n</w:t>
      </w:r>
      <w:r w:rsidRPr="007432D8">
        <w:t xml:space="preserve"> Zins- und Tilgungszahlungen fristgerecht nachzukommen, interessiert</w:t>
      </w:r>
      <w:r>
        <w:t>.</w:t>
      </w:r>
      <w:r>
        <w:rPr>
          <w:rStyle w:val="Funotenzeichen"/>
        </w:rPr>
        <w:footnoteReference w:id="21"/>
      </w:r>
      <w:r>
        <w:t xml:space="preserve"> Eine präzise Einschätzung </w:t>
      </w:r>
      <w:r w:rsidRPr="007432D8">
        <w:t xml:space="preserve">gelingt allerdings nur, wenn die veröffentlichten Informationen von hoher Qualität sind </w:t>
      </w:r>
      <w:r>
        <w:t>und damit e</w:t>
      </w:r>
      <w:r w:rsidRPr="007432D8">
        <w:t>ntscheidungsnützlich s</w:t>
      </w:r>
      <w:r w:rsidR="003B3496">
        <w:t xml:space="preserve">ind. </w:t>
      </w:r>
    </w:p>
    <w:p w14:paraId="126ABFD2" w14:textId="5FDEEFC5" w:rsidR="003B392C" w:rsidRPr="00C00A36" w:rsidRDefault="003B392C" w:rsidP="00AA2E40">
      <w:pPr>
        <w:pStyle w:val="ControllingSeminarText"/>
      </w:pPr>
      <w:r>
        <w:t>D</w:t>
      </w:r>
      <w:r w:rsidRPr="00C00A36">
        <w:t>as Konzept</w:t>
      </w:r>
      <w:r w:rsidR="008E4D82">
        <w:t/>
      </w:r>
      <w:r w:rsidRPr="00C00A36">
        <w:t xml:space="preserve"> der Entscheidungsnützlichkeit </w:t>
      </w:r>
      <w:r>
        <w:t>wurde auch a</w:t>
      </w:r>
      <w:r w:rsidRPr="00C00A36">
        <w:t>uf internationaler Ebene adaptiert.</w:t>
      </w:r>
      <w:r>
        <w:t xml:space="preserve"> </w:t>
      </w:r>
      <w:r w:rsidRPr="00C00A36">
        <w:t>Unternehmen, die nach IFRS</w:t>
      </w:r>
      <w:r w:rsidR="008E4D82">
        <w:t xml:space="preserve"> </w:t>
      </w:r>
      <w:r w:rsidRPr="00C00A36">
        <w:t>bilanzieren,</w:t>
      </w:r>
      <w:r w:rsidR="008E4D82">
        <w:t xml:space="preserve"> </w:t>
      </w:r>
      <w:proofErr w:type="gramStart"/>
      <w:r w:rsidRPr="00C00A36">
        <w:t>müssen</w:t>
      </w:r>
      <w:proofErr w:type="gramEnd"/>
      <w:r w:rsidRPr="00C00A36">
        <w:t xml:space="preserve"> die Standards (IAS und IFRS), die Interpretationen zu den Standards (</w:t>
      </w:r>
      <w:r w:rsidR="002D77E0">
        <w:t xml:space="preserve">im Sinne von </w:t>
      </w:r>
      <w:r w:rsidRPr="00C00A36">
        <w:t>SIC und IFRIC) sowie das vom I</w:t>
      </w:r>
      <w:r>
        <w:t>AS</w:t>
      </w:r>
      <w:r w:rsidRPr="00C00A36">
        <w:t xml:space="preserve">B verabschiedete theoretische Rahmenkonzept (Conceptual Framework 2018) </w:t>
      </w:r>
      <w:r w:rsidRPr="00AA2E40">
        <w:t xml:space="preserve">als Grundlage für alle Veröffentlichungen beachten. So heißt es im </w:t>
      </w:r>
      <w:proofErr w:type="gramStart"/>
      <w:r w:rsidRPr="00AA2E40">
        <w:t>Rahmenkonzept</w:t>
      </w:r>
      <w:r w:rsidR="00417802" w:rsidRPr="00AA2E40">
        <w:t xml:space="preserve"> </w:t>
      </w:r>
      <w:r w:rsidRPr="00AA2E40">
        <w:t>:</w:t>
      </w:r>
      <w:proofErr w:type="gramEnd"/>
      <w:r w:rsidRPr="00AA2E40">
        <w:t xml:space="preserve">   </w:t>
      </w:r>
      <w:r w:rsidR="00AA2E40" w:rsidRPr="00AA2E40">
        <w:t xml:space="preserve">„Die Zielsetzung der Rechnungslegung für allgemeine Zwecke besteht darin, Finanzinformationen über </w:t>
      </w:r>
      <w:proofErr w:type="gramStart"/>
      <w:r w:rsidR="00AA2E40" w:rsidRPr="00AA2E40">
        <w:t>das berichtende</w:t>
      </w:r>
      <w:r w:rsidR="008E4D82">
        <w:t xml:space="preserve">n </w:t>
      </w:r>
      <w:r w:rsidR="00AA2E40" w:rsidRPr="00AA2E40">
        <w:t>Unternehmen</w:t>
      </w:r>
      <w:proofErr w:type="gramEnd"/>
      <w:r w:rsidR="00AA2E40" w:rsidRPr="00AA2E40">
        <w:t xml:space="preserve"> zur Verfügung zu stellen, die für bestehende und potenzielle Investoren, Kreditgeber und andere Gläubiger nützlich sind, um Entscheidungen für die Bereitstellung von Ressourcen an das Unternehmen zu tr„Zu dZdZudZu dZu dZu dZu denfen. Zu Entscheidungshörensggehören Kdas kVerkkkkkkkkkkkaufen, </w:t>
      </w:r>
      <w:proofErr w:type="gramStart"/>
      <w:r w:rsidR="00AA2E40" w:rsidRPr="00AA2E40">
        <w:t xml:space="preserve"/>
      </w:r>
      <w:r w:rsidR="008E4D82">
        <w:t/>
      </w:r>
      <w:r w:rsidR="00AA2E40" w:rsidRPr="00AA2E40">
        <w:t xml:space="preserve">kaufen,</w:t>
      </w:r>
      <w:r w:rsidR="008E4D82">
        <w:t/>
      </w:r>
      <w:r w:rsidR="00AA2E40" w:rsidRPr="00AA2E40">
        <w:t xml:space="preserve">HHalten </w:t>
      </w:r>
      <w:r w:rsidR="008E4D82">
        <w:t>h</w:t>
      </w:r>
      <w:r w:rsidR="00AA2E40" w:rsidRPr="00AA2E40">
        <w:t>alten</w:t>
      </w:r>
      <w:proofErr w:type="gramEnd"/>
      <w:r w:rsidR="00AA2E40" w:rsidRPr="00AA2E40">
        <w:t xml:space="preserve"> von Eigenkapitalinstrumenten und Schuldinstrumenten sowBereitstellenstellen oder Valutieren von Darlehen und anderen Krediformen</w:t>
      </w:r>
      <w:r w:rsidR="00AA2E40">
        <w:t>.</w:t>
      </w:r>
      <w:r w:rsidR="00AA2E40" w:rsidRPr="00AA2E40">
        <w:t>“</w:t>
      </w:r>
      <w:r>
        <w:rPr>
          <w:rStyle w:val="Funotenzeichen"/>
        </w:rPr>
        <w:footnoteReference w:id="22"/>
      </w:r>
      <w:r w:rsidR="00ED221D">
        <w:t xml:space="preserve"> </w:t>
      </w:r>
    </w:p>
    <w:p w14:paraId="244DA95E" w14:textId="55537604" w:rsidR="003B392C" w:rsidRPr="00C00A36" w:rsidRDefault="003B392C" w:rsidP="003B392C">
      <w:pPr>
        <w:pStyle w:val="ControllingSeminarText"/>
      </w:pPr>
      <w:r w:rsidRPr="00C00A36">
        <w:lastRenderedPageBreak/>
        <w:t xml:space="preserve">Die Rechnungslegung nach IFRS adressiert </w:t>
      </w:r>
      <w:r>
        <w:t xml:space="preserve">vor allem </w:t>
      </w:r>
      <w:r w:rsidRPr="00C00A36">
        <w:t>Kapitalgeber</w:t>
      </w:r>
      <w:r>
        <w:t xml:space="preserve">, denen </w:t>
      </w:r>
      <w:r w:rsidRPr="00C00A36">
        <w:t>durch die Rechnungslegung</w:t>
      </w:r>
      <w:r>
        <w:t xml:space="preserve"> </w:t>
      </w:r>
      <w:r w:rsidRPr="00C00A36">
        <w:t xml:space="preserve">möglichst nützliche Informationen für eine Ressourcenallokation </w:t>
      </w:r>
      <w:r>
        <w:t>zur Verfügung gestellt</w:t>
      </w:r>
      <w:r w:rsidRPr="00C00A36">
        <w:t>werden.</w:t>
      </w:r>
      <w:r>
        <w:rPr>
          <w:rStyle w:val="Funotenzeichen"/>
        </w:rPr>
        <w:footnoteReference w:id="23"/>
      </w:r>
      <w:r>
        <w:t xml:space="preserve"> Weiterhin definiert das Rahmenkonzept</w:t>
      </w:r>
      <w:r w:rsidRPr="00C00A36">
        <w:t xml:space="preserve"> </w:t>
      </w:r>
      <w:r>
        <w:t xml:space="preserve">zur Bestimmung der Entscheidungsnützlichkeit </w:t>
      </w:r>
      <w:r w:rsidRPr="00C00A36">
        <w:t>grundlegende qualitative Merkmale</w:t>
      </w:r>
      <w:r>
        <w:t>, nämlich</w:t>
      </w:r>
      <w:r w:rsidRPr="00C00A36">
        <w:t xml:space="preserve"> Relevanz und Verlässlichkeit. Relevanz einer InformatigewinnrdesdassgesdassgdassgAdrein Entscheidungen von Adrezusatenzu beein</w:t>
      </w:r>
      <w:r>
        <w:t xml:space="preserve"/>
      </w:r>
      <w:r w:rsidRPr="00C00A36">
        <w:t xml:space="preserve"/>
      </w:r>
      <w:r w:rsidR="008E4D82">
        <w:t>lussen.</w:t>
      </w:r>
      <w:r w:rsidRPr="00C00A36">
        <w:t> haben. Wesentlichkeit ist ein spezifischer Aspekt von Relevanz. InformavontBedeutungazuBedeutungangaben und zur Entscheidungshauptnutzfinanzberichten können sie beeinflussen.</w:t>
      </w:r>
      <w:r w:rsidR="00270A07">
        <w:t xml:space="preserve"/>
      </w:r>
      <w:r w:rsidRPr="00C00A36">
        <w:t xml:space="preserve"/>
      </w:r>
      <w:r w:rsidR="008E4D82">
        <w:t>kannte</w:t>
      </w:r>
      <w:r w:rsidRPr="00C00A36">
        <w:t>.</w:t>
      </w:r>
      <w:r>
        <w:t xml:space="preserve"> </w:t>
      </w:r>
      <w:r w:rsidR="00270A07">
        <w:t xml:space="preserve">Rechnungslegungsinformationen </w:t>
      </w:r>
      <w:r w:rsidRPr="00C00A36">
        <w:t>müssen, um nützlich zu sein, nicht nur relevante Phänomene repräsentieren, sondern auch den Inhalt der Phänomene, die sie repräsentieren will, treu darstellen. Dazu m</w:t>
      </w:r>
      <w:r w:rsidR="00270A07">
        <w:t>ü</w:t>
      </w:r>
      <w:r w:rsidRPr="00C00A36">
        <w:t>ss</w:t>
      </w:r>
      <w:r w:rsidR="00270A07">
        <w:t>en</w:t>
      </w:r>
      <w:r w:rsidRPr="00C00A36">
        <w:t xml:space="preserve"> sie </w:t>
      </w:r>
      <w:r>
        <w:t>v</w:t>
      </w:r>
      <w:r w:rsidRPr="00C00A36">
        <w:t>ollständig, neutral und fehlerfrei sein. Das Framework definiert außerdem weitere qualitative</w:t>
      </w:r>
      <w:r>
        <w:t xml:space="preserve"> </w:t>
      </w:r>
      <w:r w:rsidRPr="00C00A36">
        <w:t>Merkmale, die den Nutzen relevanter und verlässlicher Informationen erVergleichbarkeitberprüf, Überprüfbarkeit,arkeit, gemischte Litteratur</w:t>
      </w:r>
      <w:r>
        <w:rPr>
          <w:rStyle w:val="Funotenzeichen"/>
        </w:rPr>
        <w:footnoteReference w:id="24"/>
      </w:r>
    </w:p>
    <w:p w14:paraId="526738F7" w14:textId="3C7B8576" w:rsidR="003B392C" w:rsidRDefault="003B392C" w:rsidP="00F654ED">
      <w:pPr>
        <w:pStyle w:val="ControllingSeminarText"/>
      </w:pPr>
      <w:r>
        <w:t>teraBilanzierung: Literat</w:t>
      </w:r>
      <w:r w:rsidRPr="00C00A36">
        <w:t xml:space="preserve"/>
      </w:r>
      <w:r w:rsidR="008E4D82">
        <w:t>Literat</w:t>
      </w:r>
      <w:r>
        <w:t xml:space="preserve"> hat sich bisher</w:t>
      </w:r>
      <w:r w:rsidRPr="00C00A36">
        <w:t xml:space="preserve"> keine einheitliche, allgemein akzeptierte Definition des Begriffs der Bilanzierungsqualität</w:t>
      </w:r>
      <w:r>
        <w:t xml:space="preserve"> herausgebildet</w:t>
      </w:r>
      <w:r w:rsidRPr="00C00A36">
        <w:t>.</w:t>
      </w:r>
      <w:r>
        <w:rPr>
          <w:rStyle w:val="Funotenzeichen"/>
        </w:rPr>
        <w:footnoteReference w:id="25"/>
      </w:r>
      <w:r>
        <w:t xml:space="preserve"> Beispielsweise wird unter Bilanzierungsqualität auch </w:t>
      </w:r>
      <w:r w:rsidRPr="00C00A36">
        <w:t>„</w:t>
      </w:r>
      <w:r w:rsidR="003049A0">
        <w:t>[</w:t>
      </w:r>
      <w:r>
        <w:t>…</w:t>
      </w:r>
      <w:r w:rsidR="003049A0">
        <w:t xml:space="preserve">] </w:t>
      </w:r>
      <w:r w:rsidRPr="00C00A36">
        <w:t>the extent to which the financial statement information reflects the underlying economic situation“</w:t>
      </w:r>
      <w:r>
        <w:t xml:space="preserve"> verstanden, wobei der Begriff der Entscheidungsnützlichkeit nicht explizit verwendetDefinitionen:</w:t>
      </w:r>
      <w:r>
        <w:rPr>
          <w:rStyle w:val="Funotenzeichen"/>
        </w:rPr>
        <w:footnoteReference w:id="26"/>
      </w:r>
      <w:r>
        <w:t xml:space="preserve"/>
      </w:r>
      <w:r w:rsidRPr="002E5F10">
        <w:rPr>
          <w:lang w:val="en-US"/>
        </w:rPr>
        <w:t>geber</w:t>
      </w:r>
      <w:r w:rsidR="003E6540" w:rsidRPr="002E5F10">
        <w:rPr>
          <w:lang w:val="en-US"/>
        </w:rPr>
        <w:t xml:space="preserve"> </w:t>
      </w:r>
      <w:r w:rsidRPr="002E5F10">
        <w:rPr>
          <w:lang w:val="en-US"/>
        </w:rPr>
        <w:t>: „</w:t>
      </w:r>
      <w:r w:rsidR="00564985" w:rsidRPr="002E5F10">
        <w:rPr>
          <w:lang w:val="en-US"/>
        </w:rPr>
        <w:t>[</w:t>
      </w:r>
      <w:r w:rsidRPr="002E5F10">
        <w:rPr>
          <w:lang w:val="en-US"/>
        </w:rPr>
        <w:t>…</w:t>
      </w:r>
      <w:r w:rsidR="00564985" w:rsidRPr="002E5F10">
        <w:rPr>
          <w:lang w:val="en-US"/>
        </w:rPr>
        <w:t>]</w:t>
      </w:r>
      <w:r w:rsidRPr="002E5F10">
        <w:rPr>
          <w:lang w:val="en-US"/>
        </w:rPr>
        <w:t xml:space="preserve"> the precision with which financial report</w:t>
      </w:r>
      <w:r w:rsidR="002E5F10">
        <w:rPr>
          <w:lang w:val="en-US"/>
        </w:rPr>
        <w:t>s</w:t>
      </w:r>
      <w:r w:rsidR="002E5F10" w:rsidRPr="002E5F10">
        <w:rPr>
          <w:lang w:val="en-US"/>
        </w:rPr>
        <w:t xml:space="preserve"> convey </w:t>
      </w:r>
      <w:r w:rsidRPr="002E5F10">
        <w:rPr>
          <w:lang w:val="en-US"/>
        </w:rPr>
        <w:t>inform</w:t>
      </w:r>
      <w:r w:rsidR="002E5F10" w:rsidRPr="002E5F10">
        <w:rPr>
          <w:lang w:val="en-US"/>
        </w:rPr>
        <w:t>ation to</w:t>
      </w:r>
      <w:r w:rsidRPr="002E5F10">
        <w:rPr>
          <w:lang w:val="en-US"/>
        </w:rPr>
        <w:t xml:space="preserve"> equity investors about </w:t>
      </w:r>
      <w:r w:rsidR="002E5F10" w:rsidRPr="002E5F10">
        <w:rPr>
          <w:lang w:val="en-US"/>
        </w:rPr>
        <w:t>the fir</w:t>
      </w:r>
      <w:r w:rsidR="002E5F10">
        <w:rPr>
          <w:lang w:val="en-US"/>
        </w:rPr>
        <w:t xml:space="preserve">m´s expecteflow.“</w:t>
      </w:r>
      <w:r w:rsidRPr="002E5F10">
        <w:rPr>
          <w:lang w:val="en-US"/>
        </w:rPr>
        <w:t> versuchtet mithilfe von</w:t>
      </w:r>
      <w:r>
        <w:rPr>
          <w:rStyle w:val="Funotenzeichen"/>
        </w:rPr>
        <w:footnoteReference w:id="27"/>
      </w:r>
      <w:r w:rsidRPr="002E5F10">
        <w:rPr>
          <w:lang w:val="en-US"/>
        </w:rPr>
        <w:t xml:space="preserve"/>
      </w:r>
      <w:r w:rsidR="008A6D7A" w:rsidRPr="008A6D7A">
        <w:t xml:space="preserve"/>
      </w:r>
      <w:r w:rsidR="008A6D7A">
        <w:t xml:space="preserve"/>
      </w:r>
      <w:r w:rsidR="0048168D">
        <w:t xml:space="preserve">lfe</w:t>
      </w:r>
      <w:r w:rsidR="008A6D7A">
        <w:t/>
      </w:r>
      <w:r w:rsidR="008E4D82">
        <w:t xml:space="preserve">ovon Hilfsmodellen</w:t>
      </w:r>
      <w:r w:rsidR="008A6D7A">
        <w:t xml:space="preserve"/>
      </w:r>
      <w:r>
        <w:t> Modell</w:t>
      </w:r>
      <w:r w:rsidR="008E4D82">
        <w:t xml:space="preserve"> </w:t>
      </w:r>
      <w:r>
        <w:t xml:space="preserve">auf Bilanzierungsqualität zu schließen oder </w:t>
      </w:r>
      <w:r w:rsidR="0048168D">
        <w:t xml:space="preserve">sie </w:t>
      </w:r>
      <w:r>
        <w:t>anhand ausgewKriterschätzencchätzen,</w:t>
      </w:r>
      <w:r w:rsidR="0048168D">
        <w:t xml:space="preserve">chätzen</w:t>
      </w:r>
      <w:r w:rsidR="008E4D82">
        <w:t xml:space="preserve"> da</w:t>
      </w:r>
      <w:r>
        <w:t xml:space="preserve"> sie nicht an bestimmten Kennzahlen festgemacht werden kann.</w:t>
      </w:r>
      <w:r>
        <w:rPr>
          <w:rStyle w:val="Funotenzeichen"/>
        </w:rPr>
        <w:footnoteReference w:id="28"/>
      </w:r>
      <w:r>
        <w:t xml:space="preserve"> </w:t>
      </w:r>
    </w:p>
    <w:p w14:paraId="5D012FF3" w14:textId="77777777" w:rsidR="003B392C" w:rsidRDefault="003B392C" w:rsidP="00F654ED">
      <w:pPr>
        <w:pStyle w:val="ControllingSeminarText"/>
      </w:pPr>
    </w:p>
    <w:p w14:paraId="11995D6A" w14:textId="77777777" w:rsidR="00F654ED" w:rsidRDefault="00F654ED" w:rsidP="003B392C">
      <w:pPr>
        <w:pStyle w:val="ControllingAbsatzberschrift"/>
      </w:pPr>
      <w:bookmarkStart w:id="23" w:name="_Toc534205688"/>
      <w:bookmarkStart w:id="24" w:name="_Toc534620116"/>
      <w:r>
        <w:t>Informationsasymmetrien</w:t>
      </w:r>
      <w:bookmarkEnd w:id="23"/>
      <w:r>
        <w:t xml:space="preserve"> zwischen Kapitalgebern</w:t>
      </w:r>
      <w:bookmarkEnd w:id="24"/>
      <w:r>
        <w:t xml:space="preserve"> </w:t>
      </w:r>
    </w:p>
    <w:p w14:paraId="43A160B5" w14:textId="77777777" w:rsidR="00F654ED" w:rsidRDefault="00F654ED" w:rsidP="00F654ED">
      <w:pPr>
        <w:pStyle w:val="ControllingSeminarText"/>
      </w:pPr>
    </w:p>
    <w:p w14:paraId="2107D83F" w14:textId="77777777" w:rsidR="00F654ED" w:rsidRDefault="00F654ED" w:rsidP="00F654ED">
      <w:pPr>
        <w:pStyle w:val="ControllingSeminarText"/>
      </w:pPr>
      <w:r>
        <w:t xml:space="preserve">Bilanzierungsqualität als entscheidungsunterstützendes Kriterium wird in erster Linie aus den vom Schuldner/Emittenten zur VergestelltenaInformationen gewichtetwiEsheißt,s </w:t>
      </w:r>
      <w:r>
        <w:lastRenderedPageBreak/>
        <w:t>heißt deren Umfang kann entscheidend sein. Bezüglich der hier erwähnten Finanzierungsmöglichkeiten lässzwischenisich zwischen den Lässigkeit und die Art undeitaund der InformationAuswertungsfähigkeKapitalgeberswerten, differenzieren.</w:t>
      </w:r>
      <w:r>
        <w:rPr>
          <w:rStyle w:val="Funotenzeichen"/>
        </w:rPr>
        <w:footnoteReference w:id="29"/>
      </w:r>
    </w:p>
    <w:p w14:paraId="44FFB038" w14:textId="3D16DDAC" w:rsidR="00F654ED" w:rsidRPr="00A76E19" w:rsidRDefault="00F654ED" w:rsidP="00F654ED">
      <w:pPr>
        <w:pStyle w:val="ControllingSeminarText"/>
      </w:pPr>
      <w:r>
        <w:t>Banken haben gegenüber den Investoren am Kapitalmarkt den Vorteil, dass sie nicht nur Zugang zu öffentlichen Unternehmensinformationen haben, sondern auch zu privaten/internen InformationUnternehmens psprich:</w:t>
      </w:r>
      <w:r>
        <w:rPr>
          <w:rStyle w:val="Funotenzeichen"/>
        </w:rPr>
        <w:footnoteReference w:id="30"/>
      </w:r>
      <w:r>
        <w:t xml:space="preserve">rich:ch au…n information“)</w:t>
      </w:r>
      <w:r w:rsidR="00E1508A">
        <w:t xml:space="preserve"/>
      </w:r>
      <w:r>
        <w:t>rm…on</w:t>
      </w:r>
      <w:r w:rsidR="00E1508A">
        <w:t xml:space="preserve"> [...]</w:t>
      </w:r>
      <w:r>
        <w:t>“.</w:t>
      </w:r>
      <w:r w:rsidR="00AD7925">
        <w:rPr>
          <w:rStyle w:val="Funotenzeichen"/>
        </w:rPr>
        <w:footnoteReference w:id="31"/>
      </w:r>
      <w:r>
        <w:t xml:space="preserve"> Investoren am Kapitalmarkt stehen neben ledöffentlich zugänglichenngliche, vom Unternehmen publiziertenizierte Informationen, sowie Kredit-Ratings zahlreicher Agenturen zur Verfügungg-Agenz. renStandard &amp; Poor’s&amp;Poor´Moody’sMoody´s) zur VerfDadurch</w:t>
      </w:r>
      <w:r>
        <w:rPr>
          <w:rStyle w:val="Funotenzeichen"/>
        </w:rPr>
        <w:footnoteReference w:id="32"/>
      </w:r>
      <w:r>
        <w:t xml:space="preserve">a</w:t>
      </w:r>
      <w:r w:rsidR="008E4D82">
        <w:t xml:space="preserve"> </w:t>
      </w:r>
      <w:r>
        <w:t xml:space="preserve">durch sind Banken hinsichtlich der Informationsverarbeitung überlegen und können ihre Beurteilung der Bilanzierungsqualität in diverse Vertragskonditionen einfließen lassen. Vor allem währekostenintensiven</w:t>
      </w:r>
      <w:r w:rsidR="008E4D82">
        <w:t/>
      </w:r>
      <w:r>
        <w:t xml:space="preserve">ensiven Kreditwürdigkeitsprüfung vor Vertragsabschluanteex </w:t>
      </w:r>
      <w:r w:rsidR="008E4D82">
        <w:t>A</w:t>
      </w:r>
      <w:r>
        <w:t xml:space="preserve">nte) oder </w:t>
      </w:r>
      <w:r w:rsidR="008E4D82">
        <w:t>dem</w:t>
      </w:r>
      <w:r>
        <w:t xml:space="preserve"> kontinuierlichen Monitoring gewinnt insbesondere die Bank </w:t>
      </w:r>
      <w:proofErr w:type="gramStart"/>
      <w:r>
        <w:t>als  Kreditgeber</w:t>
      </w:r>
      <w:proofErr w:type="gramEnd"/>
      <w:r>
        <w:t xml:space="preserve"> „private“ Informationen über die Management-Qualifikation des Unternehmens, aber auch über Investitionschancen.</w:t>
      </w:r>
      <w:r w:rsidR="00152CD8">
        <w:rPr>
          <w:rStyle w:val="Funotenzeichen"/>
        </w:rPr>
        <w:footnoteReference w:id="33"/>
      </w:r>
    </w:p>
    <w:p w14:paraId="20182B30" w14:textId="77777777" w:rsidR="0048168D" w:rsidRDefault="00F654ED" w:rsidP="003B392C">
      <w:pPr>
        <w:pStyle w:val="ControllingSeminarText"/>
      </w:pPr>
      <w:r>
        <w:t xml:space="preserve">Die Informationsasymmetrie zwischen den Kapitalgebern soll sich </w:t>
      </w:r>
      <w:r w:rsidR="00AD3177">
        <w:t xml:space="preserve">im </w:t>
      </w:r>
      <w:r w:rsidR="007C1EFA">
        <w:t>Nachhinein</w:t>
      </w:r>
      <w:r>
        <w:t xml:space="preserve"> noch als entscheidender Faktor bei der Wahl der Quelle der Fremdfinanzierung herausstellen und sich damit auch auf Kreditkonditionen auswirken. </w:t>
      </w:r>
    </w:p>
    <w:p w14:paraId="228915A4" w14:textId="482F99A3" w:rsidR="004120BC" w:rsidRDefault="004120BC" w:rsidP="004120BC">
      <w:pPr>
        <w:pStyle w:val="ControllingSeminarText"/>
      </w:pPr>
      <w:r>
        <w:t>Der Begriff ESG bedeutet Environment, Social and Governance und ist mit CSR eng verbunden.</w:t>
      </w:r>
      <w:r>
        <w:t xml:space="preserve"> </w:t>
      </w:r>
      <w:r>
        <w:t>ESG beinhaltet konkrete Kriterien, an denen sich Firmen orientieren und messen können und</w:t>
      </w:r>
      <w:r>
        <w:t xml:space="preserve"> </w:t>
      </w:r>
      <w:r>
        <w:t>kapitalmarktorientierte Unternehmen von Dritten gemessen werden. In Folge der</w:t>
      </w:r>
      <w:r>
        <w:t xml:space="preserve"> </w:t>
      </w:r>
      <w:r>
        <w:t>Kapitalmarktorientierung wird ESG vor allem bei nachhaltigen Investmentansätzen in der</w:t>
      </w:r>
      <w:r>
        <w:t xml:space="preserve"> </w:t>
      </w:r>
      <w:r>
        <w:t>Investmentbranche verwendet. ESG beschreibt, inwieweit Unternehmen Aspekte in den</w:t>
      </w:r>
      <w:r>
        <w:t xml:space="preserve"> </w:t>
      </w:r>
      <w:r>
        <w:t>Bereichen Umwelt, Soziales und Unternehmensführung berücksichtigen und integrieren. Die</w:t>
      </w:r>
      <w:r>
        <w:t xml:space="preserve"> </w:t>
      </w:r>
      <w:r>
        <w:t>Firmen müssen ihrer wirtschaftlichen Verantwortung im Einklang mit den Dimensionen</w:t>
      </w:r>
      <w:r>
        <w:t xml:space="preserve"> </w:t>
      </w:r>
      <w:r>
        <w:t>nachkommen. Die Beurteilung der ESG-Kriterien bildet die Basis, ob die Voraussetzungen für</w:t>
      </w:r>
      <w:r>
        <w:t xml:space="preserve"> </w:t>
      </w:r>
      <w:r>
        <w:t>ein Investment erfüllt werden und das Unternehmen Kapital von den Investoren erhält.</w:t>
      </w:r>
    </w:p>
    <w:p w14:paraId="71EC2523" w14:textId="77777777" w:rsidR="00345847" w:rsidRDefault="00345847" w:rsidP="00F654ED">
      <w:pPr>
        <w:pStyle w:val="ControllingSeminarText"/>
      </w:pPr>
    </w:p>
    <w:p w14:paraId="0B59AB47" w14:textId="77777777" w:rsidR="00345847" w:rsidRDefault="00345847" w:rsidP="00F654ED">
      <w:pPr>
        <w:pStyle w:val="ControllingSeminarText"/>
      </w:pPr>
    </w:p>
    <w:p w14:paraId="0A0C7B11" w14:textId="77777777" w:rsidR="00345847" w:rsidRDefault="00345847" w:rsidP="00F654ED">
      <w:pPr>
        <w:pStyle w:val="ControllingSeminarText"/>
      </w:pPr>
    </w:p>
    <w:p w14:paraId="1BD9FE77" w14:textId="77777777" w:rsidR="0060392A" w:rsidRDefault="0060392A"/>
    <w:sectPr w:rsidR="0060392A" w:rsidSect="003B392C">
      <w:pgSz w:w="11906" w:h="16838" w:code="9"/>
      <w:pgMar w:top="1134" w:right="567" w:bottom="1134" w:left="283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B039" w14:textId="77777777" w:rsidR="00AB2D6F" w:rsidRDefault="00AB2D6F" w:rsidP="00185110">
      <w:r>
        <w:separator/>
      </w:r>
    </w:p>
  </w:endnote>
  <w:endnote w:type="continuationSeparator" w:id="0">
    <w:p w14:paraId="46E7CBD2" w14:textId="77777777" w:rsidR="00AB2D6F" w:rsidRDefault="00AB2D6F" w:rsidP="0018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2AFF" w:usb1="D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1184388"/>
      <w:docPartObj>
        <w:docPartGallery w:val="Page Numbers (Bottom of Page)"/>
        <w:docPartUnique/>
      </w:docPartObj>
    </w:sdtPr>
    <w:sdtContent>
      <w:p w14:paraId="7D219647" w14:textId="587404DD" w:rsidR="00D740FB" w:rsidRDefault="00D740FB" w:rsidP="00236674">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sidR="008E4D82">
          <w:rPr>
            <w:rStyle w:val="Seitenzahl"/>
            <w:noProof/>
          </w:rPr>
          <w:t>III</w:t>
        </w:r>
        <w:r>
          <w:rPr>
            <w:rStyle w:val="Seitenzahl"/>
          </w:rPr>
          <w:fldChar w:fldCharType="end"/>
        </w:r>
      </w:p>
    </w:sdtContent>
  </w:sdt>
  <w:p w14:paraId="0C8F236C" w14:textId="77777777" w:rsidR="00D740FB" w:rsidRDefault="00D740FB" w:rsidP="00236674">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86628128"/>
      <w:docPartObj>
        <w:docPartGallery w:val="Page Numbers (Bottom of Page)"/>
        <w:docPartUnique/>
      </w:docPartObj>
    </w:sdtPr>
    <w:sdtContent>
      <w:p w14:paraId="65CA5D02" w14:textId="77777777" w:rsidR="00D740FB" w:rsidRDefault="00D740FB" w:rsidP="00236674">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F5F116F" w14:textId="77777777" w:rsidR="00D740FB" w:rsidRDefault="00D740FB" w:rsidP="00236674">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E587" w14:textId="77777777" w:rsidR="00AB2D6F" w:rsidRDefault="00AB2D6F" w:rsidP="00185110">
      <w:r>
        <w:separator/>
      </w:r>
    </w:p>
  </w:footnote>
  <w:footnote w:type="continuationSeparator" w:id="0">
    <w:p w14:paraId="0732CF35" w14:textId="77777777" w:rsidR="00AB2D6F" w:rsidRDefault="00AB2D6F" w:rsidP="00185110">
      <w:r>
        <w:continuationSeparator/>
      </w:r>
    </w:p>
  </w:footnote>
  <w:footnote w:id="1">
    <w:p w14:paraId="3171CD15" w14:textId="77777777" w:rsidR="00D740FB" w:rsidRPr="0086578E" w:rsidRDefault="00D740FB" w:rsidP="00F654ED">
      <w:pPr>
        <w:pStyle w:val="ControllingFunote"/>
        <w:rPr>
          <w:lang w:val="en-US"/>
        </w:rPr>
      </w:pPr>
      <w:r>
        <w:rPr>
          <w:rStyle w:val="Funotenzeichen"/>
        </w:rPr>
        <w:footnoteRef/>
      </w:r>
      <w:r w:rsidRPr="0086578E">
        <w:rPr>
          <w:lang w:val="en-US"/>
        </w:rPr>
        <w:t xml:space="preserve"> </w:t>
      </w:r>
      <w:r>
        <w:rPr>
          <w:lang w:val="en-US"/>
        </w:rPr>
        <w:t>V</w:t>
      </w:r>
      <w:r w:rsidRPr="0086578E">
        <w:rPr>
          <w:lang w:val="en-US"/>
        </w:rPr>
        <w:t>gl. Cascino et al. (2014), S.</w:t>
      </w:r>
      <w:r>
        <w:rPr>
          <w:lang w:val="en-US"/>
        </w:rPr>
        <w:t>187.</w:t>
      </w:r>
    </w:p>
  </w:footnote>
  <w:footnote w:id="2">
    <w:p w14:paraId="75D57DDC" w14:textId="77777777" w:rsidR="00D740FB" w:rsidRPr="00152CD8" w:rsidRDefault="00D740FB" w:rsidP="00F654ED">
      <w:pPr>
        <w:pStyle w:val="ControllingFunote"/>
        <w:rPr>
          <w:lang w:val="en-US"/>
        </w:rPr>
      </w:pPr>
      <w:r>
        <w:rPr>
          <w:rStyle w:val="Funotenzeichen"/>
        </w:rPr>
        <w:footnoteRef/>
      </w:r>
      <w:r w:rsidRPr="00152CD8">
        <w:rPr>
          <w:lang w:val="en-US"/>
        </w:rPr>
        <w:t xml:space="preserve"> vgl. Yosha</w:t>
      </w:r>
      <w:r>
        <w:rPr>
          <w:lang w:val="en-US"/>
        </w:rPr>
        <w:t xml:space="preserve"> </w:t>
      </w:r>
      <w:r w:rsidRPr="00152CD8">
        <w:rPr>
          <w:lang w:val="en-US"/>
        </w:rPr>
        <w:t>(1995), S.13.</w:t>
      </w:r>
    </w:p>
  </w:footnote>
  <w:footnote w:id="3">
    <w:p w14:paraId="1A4A5BF5" w14:textId="77777777" w:rsidR="00D740FB" w:rsidRPr="00B57154" w:rsidRDefault="00D740FB" w:rsidP="00F654ED">
      <w:pPr>
        <w:pStyle w:val="ControllingFunote"/>
      </w:pPr>
      <w:r>
        <w:rPr>
          <w:rStyle w:val="Funotenzeichen"/>
        </w:rPr>
        <w:footnoteRef/>
      </w:r>
      <w:r w:rsidRPr="00152CD8">
        <w:rPr>
          <w:lang w:val="en-US"/>
        </w:rPr>
        <w:t xml:space="preserve"> vgl. Borries</w:t>
      </w:r>
      <w:r>
        <w:rPr>
          <w:lang w:val="en-US"/>
        </w:rPr>
        <w:t xml:space="preserve"> </w:t>
      </w:r>
      <w:r w:rsidRPr="00152CD8">
        <w:rPr>
          <w:lang w:val="en-US"/>
        </w:rPr>
        <w:t xml:space="preserve">(1998). </w:t>
      </w:r>
      <w:r w:rsidRPr="00B57154">
        <w:t>S.24.</w:t>
      </w:r>
    </w:p>
  </w:footnote>
  <w:footnote w:id="4">
    <w:p w14:paraId="31B68339" w14:textId="77777777" w:rsidR="00D740FB" w:rsidRPr="00E66324" w:rsidRDefault="00D740FB" w:rsidP="00F654ED">
      <w:pPr>
        <w:pStyle w:val="ControllingFunote"/>
      </w:pPr>
      <w:r>
        <w:rPr>
          <w:rStyle w:val="Funotenzeichen"/>
        </w:rPr>
        <w:footnoteRef/>
      </w:r>
      <w:r>
        <w:t xml:space="preserve"> vgl. </w:t>
      </w:r>
      <w:r w:rsidRPr="00C8603F">
        <w:t xml:space="preserve">für den vorangegangenen Absatz </w:t>
      </w:r>
      <w:r>
        <w:t xml:space="preserve">Hartmann-Wendels et al. </w:t>
      </w:r>
      <w:r w:rsidRPr="00E66324">
        <w:t>(2015), S. 166.</w:t>
      </w:r>
    </w:p>
  </w:footnote>
  <w:footnote w:id="5">
    <w:p w14:paraId="41D4E48B" w14:textId="77777777" w:rsidR="00D740FB" w:rsidRDefault="00D740FB" w:rsidP="00152CD8">
      <w:pPr>
        <w:pStyle w:val="ControllingFunote"/>
      </w:pPr>
      <w:r>
        <w:rPr>
          <w:rStyle w:val="Funotenzeichen"/>
        </w:rPr>
        <w:footnoteRef/>
      </w:r>
      <w:r>
        <w:t xml:space="preserve"> Vgl. Guserl / Pernsteiner (2015), S. 350.</w:t>
      </w:r>
    </w:p>
  </w:footnote>
  <w:footnote w:id="6">
    <w:p w14:paraId="1F50833D" w14:textId="77777777" w:rsidR="00D740FB" w:rsidRDefault="00D740FB" w:rsidP="00152CD8">
      <w:pPr>
        <w:pStyle w:val="ControllingFunote"/>
      </w:pPr>
      <w:r>
        <w:rPr>
          <w:rStyle w:val="Funotenzeichen"/>
        </w:rPr>
        <w:footnoteRef/>
      </w:r>
      <w:r>
        <w:t xml:space="preserve"> Vgl. Guserl / Pernsteiner (2015), S. 276.</w:t>
      </w:r>
    </w:p>
  </w:footnote>
  <w:footnote w:id="7">
    <w:p w14:paraId="6EC76D5C" w14:textId="77777777" w:rsidR="00D740FB" w:rsidRDefault="00D740FB" w:rsidP="00152CD8">
      <w:pPr>
        <w:pStyle w:val="ControllingFunote"/>
      </w:pPr>
      <w:r>
        <w:rPr>
          <w:rStyle w:val="Funotenzeichen"/>
        </w:rPr>
        <w:footnoteRef/>
      </w:r>
      <w:r>
        <w:t xml:space="preserve"> Weitere Vertragsbestandteile </w:t>
      </w:r>
      <w:proofErr w:type="gramStart"/>
      <w:r>
        <w:t>sind :</w:t>
      </w:r>
      <w:proofErr w:type="gramEnd"/>
      <w:r>
        <w:t xml:space="preserve"> Kreditbetrag, Modalitäten der Kreditbereitstellung- und Rückzahlung, </w:t>
      </w:r>
      <w:proofErr w:type="gramStart"/>
      <w:r>
        <w:t>Kündigungsmöglichkeiten,  Allgemeine</w:t>
      </w:r>
      <w:proofErr w:type="gramEnd"/>
      <w:r>
        <w:t xml:space="preserve"> Geschäftsbedingungen (AGB</w:t>
      </w:r>
      <w:proofErr w:type="gramStart"/>
      <w:r>
        <w:t>) ,</w:t>
      </w:r>
      <w:proofErr w:type="gramEnd"/>
      <w:r>
        <w:t xml:space="preserve"> vgl. Hartmann-Wendels et al. (2015), S. 167.</w:t>
      </w:r>
    </w:p>
  </w:footnote>
  <w:footnote w:id="8">
    <w:p w14:paraId="73BB5715" w14:textId="77777777" w:rsidR="00D740FB" w:rsidRDefault="00D740FB" w:rsidP="00152CD8">
      <w:pPr>
        <w:pStyle w:val="ControllingFunote"/>
      </w:pPr>
      <w:r>
        <w:rPr>
          <w:rStyle w:val="Funotenzeichen"/>
        </w:rPr>
        <w:footnoteRef/>
      </w:r>
      <w:r>
        <w:t xml:space="preserve"> V</w:t>
      </w:r>
      <w:r w:rsidRPr="00425EBA">
        <w:t>gl. für den vorangegangenen Absatz Stohs</w:t>
      </w:r>
      <w:r>
        <w:t xml:space="preserve"> </w:t>
      </w:r>
      <w:r w:rsidRPr="00425EBA">
        <w:t>/ Mauer (1996), S. 281, 309</w:t>
      </w:r>
      <w:r>
        <w:t>.</w:t>
      </w:r>
    </w:p>
  </w:footnote>
  <w:footnote w:id="9">
    <w:p w14:paraId="7508B9C9" w14:textId="77777777" w:rsidR="00D740FB" w:rsidRDefault="00D740FB" w:rsidP="00F654ED">
      <w:pPr>
        <w:pStyle w:val="ControllingFunote"/>
      </w:pPr>
      <w:r>
        <w:rPr>
          <w:rStyle w:val="Funotenzeichen"/>
        </w:rPr>
        <w:footnoteRef/>
      </w:r>
      <w:r>
        <w:t xml:space="preserve"> Vgl. Guserl, R. / Pernsteiner, H. (2015), S. 474.</w:t>
      </w:r>
    </w:p>
  </w:footnote>
  <w:footnote w:id="10">
    <w:p w14:paraId="6ACC4948" w14:textId="77777777" w:rsidR="00D740FB" w:rsidRPr="007964BE" w:rsidRDefault="00D740FB" w:rsidP="00F654ED">
      <w:pPr>
        <w:pStyle w:val="ControllingFunote"/>
      </w:pPr>
      <w:r>
        <w:rPr>
          <w:rStyle w:val="Funotenzeichen"/>
        </w:rPr>
        <w:footnoteRef/>
      </w:r>
      <w:r w:rsidRPr="007D2CF5">
        <w:t xml:space="preserve"> </w:t>
      </w:r>
      <w:r>
        <w:t>V</w:t>
      </w:r>
      <w:r w:rsidRPr="007D2CF5">
        <w:t xml:space="preserve">gl. </w:t>
      </w:r>
      <w:r>
        <w:t xml:space="preserve">für den vorangegangenen Absatz </w:t>
      </w:r>
      <w:r w:rsidRPr="007D2CF5">
        <w:t xml:space="preserve">Palepu et al. </w:t>
      </w:r>
      <w:r w:rsidRPr="007964BE">
        <w:t>(2007), S. 411f.</w:t>
      </w:r>
    </w:p>
  </w:footnote>
  <w:footnote w:id="11">
    <w:p w14:paraId="3A243356" w14:textId="77777777" w:rsidR="00D740FB" w:rsidRDefault="00D740FB" w:rsidP="003907E8">
      <w:pPr>
        <w:pStyle w:val="ControllingFunote"/>
      </w:pPr>
      <w:r>
        <w:rPr>
          <w:rStyle w:val="Funotenzeichen"/>
        </w:rPr>
        <w:footnoteRef/>
      </w:r>
      <w:r>
        <w:t xml:space="preserve"> Vgl. im </w:t>
      </w:r>
      <w:proofErr w:type="gramStart"/>
      <w:r>
        <w:t>Internet :</w:t>
      </w:r>
      <w:proofErr w:type="gramEnd"/>
      <w:r>
        <w:t xml:space="preserve"> Winter (2018)</w:t>
      </w:r>
    </w:p>
  </w:footnote>
  <w:footnote w:id="12">
    <w:p w14:paraId="19D23E8A" w14:textId="77777777" w:rsidR="00D740FB" w:rsidRDefault="00D740FB" w:rsidP="003907E8">
      <w:pPr>
        <w:pStyle w:val="ControllingFunote"/>
      </w:pPr>
      <w:r>
        <w:rPr>
          <w:rStyle w:val="Funotenzeichen"/>
        </w:rPr>
        <w:footnoteRef/>
      </w:r>
      <w:r>
        <w:t xml:space="preserve"> V</w:t>
      </w:r>
      <w:r w:rsidRPr="007D2CF5">
        <w:t xml:space="preserve">gl. </w:t>
      </w:r>
      <w:r>
        <w:t>für den vorangegangenen Absatz Hartmann-Wendels et al. (2015), S. 169-171</w:t>
      </w:r>
    </w:p>
  </w:footnote>
  <w:footnote w:id="13">
    <w:p w14:paraId="31B5F4DF" w14:textId="77777777" w:rsidR="00D740FB" w:rsidRPr="00C539B2" w:rsidRDefault="00D740FB" w:rsidP="003B392C">
      <w:pPr>
        <w:pStyle w:val="ControllingFunote"/>
      </w:pPr>
      <w:r>
        <w:rPr>
          <w:rStyle w:val="Funotenzeichen"/>
        </w:rPr>
        <w:footnoteRef/>
      </w:r>
      <w:r>
        <w:t xml:space="preserve"> </w:t>
      </w:r>
      <w:r w:rsidRPr="00315C1A">
        <w:t xml:space="preserve">Vgl. für den vorangegangenen Absatz </w:t>
      </w:r>
      <w:r>
        <w:t xml:space="preserve">im </w:t>
      </w:r>
      <w:proofErr w:type="gramStart"/>
      <w:r>
        <w:t>Internet :</w:t>
      </w:r>
      <w:proofErr w:type="gramEnd"/>
      <w:r>
        <w:t xml:space="preserve"> </w:t>
      </w:r>
      <w:r w:rsidRPr="00315C1A">
        <w:t xml:space="preserve">Haghani et al. </w:t>
      </w:r>
      <w:r w:rsidRPr="00C539B2">
        <w:t xml:space="preserve">(2014), </w:t>
      </w:r>
      <w:proofErr w:type="gramStart"/>
      <w:r w:rsidRPr="00C539B2">
        <w:t xml:space="preserve">S.8f. </w:t>
      </w:r>
      <w:r>
        <w:t>;</w:t>
      </w:r>
      <w:proofErr w:type="gramEnd"/>
      <w:r>
        <w:t xml:space="preserve"> Hartmann-Wendels et al. (2015), S. 173-176.</w:t>
      </w:r>
    </w:p>
  </w:footnote>
  <w:footnote w:id="14">
    <w:p w14:paraId="2C7FE674" w14:textId="77777777" w:rsidR="00D740FB" w:rsidRPr="00351958" w:rsidRDefault="00D740FB" w:rsidP="003B392C">
      <w:pPr>
        <w:pStyle w:val="ControllingFunote"/>
        <w:rPr>
          <w:lang w:val="en-US"/>
        </w:rPr>
      </w:pPr>
      <w:r>
        <w:rPr>
          <w:rStyle w:val="Funotenzeichen"/>
        </w:rPr>
        <w:footnoteRef/>
      </w:r>
      <w:r w:rsidRPr="00351958">
        <w:rPr>
          <w:lang w:val="en-US"/>
        </w:rPr>
        <w:t xml:space="preserve"> </w:t>
      </w:r>
      <w:bookmarkStart w:id="18" w:name="_Hlk534393154"/>
      <w:r w:rsidRPr="00351958">
        <w:rPr>
          <w:lang w:val="en-US"/>
        </w:rPr>
        <w:t>Vgl. Ruhnke/Simons (2018), S 76</w:t>
      </w:r>
      <w:bookmarkEnd w:id="18"/>
      <w:r w:rsidRPr="00351958">
        <w:rPr>
          <w:lang w:val="en-US"/>
        </w:rPr>
        <w:t>-78.</w:t>
      </w:r>
    </w:p>
  </w:footnote>
  <w:footnote w:id="15">
    <w:p w14:paraId="41B8C901" w14:textId="77777777" w:rsidR="00D740FB" w:rsidRPr="003B392C" w:rsidRDefault="00D740FB" w:rsidP="003B392C">
      <w:pPr>
        <w:pStyle w:val="ControllingFunote"/>
        <w:rPr>
          <w:lang w:val="en-US"/>
        </w:rPr>
      </w:pPr>
      <w:r>
        <w:rPr>
          <w:rStyle w:val="Funotenzeichen"/>
        </w:rPr>
        <w:footnoteRef/>
      </w:r>
      <w:r w:rsidRPr="003B392C">
        <w:rPr>
          <w:lang w:val="en-US"/>
        </w:rPr>
        <w:t xml:space="preserve"> </w:t>
      </w:r>
      <w:r>
        <w:rPr>
          <w:lang w:val="en-US"/>
        </w:rPr>
        <w:t>V</w:t>
      </w:r>
      <w:r w:rsidRPr="003B392C">
        <w:rPr>
          <w:lang w:val="en-US"/>
        </w:rPr>
        <w:t>gl. Scott (2015), S.2</w:t>
      </w:r>
      <w:r>
        <w:rPr>
          <w:lang w:val="en-US"/>
        </w:rPr>
        <w:t>2f</w:t>
      </w:r>
      <w:r w:rsidRPr="003B392C">
        <w:rPr>
          <w:lang w:val="en-US"/>
        </w:rPr>
        <w:t>.</w:t>
      </w:r>
    </w:p>
  </w:footnote>
  <w:footnote w:id="16">
    <w:p w14:paraId="69041589" w14:textId="77777777" w:rsidR="00D740FB" w:rsidRPr="003B392C" w:rsidRDefault="00D740FB" w:rsidP="003B392C">
      <w:pPr>
        <w:pStyle w:val="ControllingFunote"/>
        <w:rPr>
          <w:lang w:val="en-US"/>
        </w:rPr>
      </w:pPr>
      <w:r>
        <w:rPr>
          <w:rStyle w:val="Funotenzeichen"/>
        </w:rPr>
        <w:footnoteRef/>
      </w:r>
      <w:r w:rsidRPr="003B392C">
        <w:rPr>
          <w:lang w:val="en-US"/>
        </w:rPr>
        <w:t xml:space="preserve"> </w:t>
      </w:r>
      <w:r>
        <w:rPr>
          <w:lang w:val="en-US"/>
        </w:rPr>
        <w:t>V</w:t>
      </w:r>
      <w:r w:rsidRPr="003B392C">
        <w:rPr>
          <w:lang w:val="en-US"/>
        </w:rPr>
        <w:t>gl. Ruhnke/Simons (2018), S 76.</w:t>
      </w:r>
    </w:p>
  </w:footnote>
  <w:footnote w:id="17">
    <w:p w14:paraId="5CBB115E" w14:textId="77777777" w:rsidR="00D740FB" w:rsidRPr="003B392C" w:rsidRDefault="00D740FB" w:rsidP="003B392C">
      <w:pPr>
        <w:pStyle w:val="ControllingFunote"/>
        <w:rPr>
          <w:lang w:val="en-US"/>
        </w:rPr>
      </w:pPr>
      <w:r>
        <w:rPr>
          <w:rStyle w:val="Funotenzeichen"/>
        </w:rPr>
        <w:footnoteRef/>
      </w:r>
      <w:r w:rsidRPr="003B392C">
        <w:rPr>
          <w:lang w:val="en-US"/>
        </w:rPr>
        <w:t xml:space="preserve"> </w:t>
      </w:r>
      <w:r>
        <w:rPr>
          <w:lang w:val="en-US"/>
        </w:rPr>
        <w:t>V</w:t>
      </w:r>
      <w:r w:rsidRPr="003B392C">
        <w:rPr>
          <w:lang w:val="en-US"/>
        </w:rPr>
        <w:t>gl. Ruhnke/Simons (2018), S 87.</w:t>
      </w:r>
    </w:p>
  </w:footnote>
  <w:footnote w:id="18">
    <w:p w14:paraId="0F9632DF" w14:textId="77777777" w:rsidR="00D740FB" w:rsidRPr="003907E8" w:rsidRDefault="00D740FB" w:rsidP="003B392C">
      <w:pPr>
        <w:pStyle w:val="ControllingFunote"/>
        <w:rPr>
          <w:lang w:val="en-US"/>
        </w:rPr>
      </w:pPr>
      <w:r>
        <w:rPr>
          <w:rStyle w:val="Funotenzeichen"/>
        </w:rPr>
        <w:footnoteRef/>
      </w:r>
      <w:r w:rsidRPr="002D77E0">
        <w:rPr>
          <w:lang w:val="en-US"/>
        </w:rPr>
        <w:t xml:space="preserve"> </w:t>
      </w:r>
      <w:r>
        <w:rPr>
          <w:lang w:val="en-US"/>
        </w:rPr>
        <w:t>V</w:t>
      </w:r>
      <w:r w:rsidRPr="002D77E0">
        <w:rPr>
          <w:lang w:val="en-US"/>
        </w:rPr>
        <w:t xml:space="preserve">gl. </w:t>
      </w:r>
      <w:bookmarkStart w:id="19" w:name="_Hlk534446806"/>
      <w:r w:rsidRPr="002D77E0">
        <w:rPr>
          <w:lang w:val="en-US"/>
        </w:rPr>
        <w:t xml:space="preserve">Beyer et al. </w:t>
      </w:r>
      <w:r w:rsidRPr="003907E8">
        <w:rPr>
          <w:lang w:val="en-US"/>
        </w:rPr>
        <w:t>(2010), S.296.</w:t>
      </w:r>
      <w:bookmarkEnd w:id="19"/>
    </w:p>
  </w:footnote>
  <w:footnote w:id="19">
    <w:p w14:paraId="102A41D2" w14:textId="77777777" w:rsidR="00D740FB" w:rsidRPr="00BA3A9E" w:rsidRDefault="00D740FB" w:rsidP="00D724CA">
      <w:pPr>
        <w:pStyle w:val="ControllingFunote"/>
        <w:rPr>
          <w:lang w:val="en-US"/>
        </w:rPr>
      </w:pPr>
      <w:r>
        <w:rPr>
          <w:rStyle w:val="Funotenzeichen"/>
        </w:rPr>
        <w:footnoteRef/>
      </w:r>
      <w:r w:rsidRPr="00BA3A9E">
        <w:rPr>
          <w:lang w:val="en-US"/>
        </w:rPr>
        <w:t xml:space="preserve"> S</w:t>
      </w:r>
      <w:r>
        <w:rPr>
          <w:lang w:val="en-US"/>
        </w:rPr>
        <w:t>cott, W. (2015), S. 72.</w:t>
      </w:r>
    </w:p>
  </w:footnote>
  <w:footnote w:id="20">
    <w:p w14:paraId="402BE098" w14:textId="77777777" w:rsidR="00D740FB" w:rsidRPr="004E1E09" w:rsidRDefault="00D740FB" w:rsidP="003B392C">
      <w:pPr>
        <w:pStyle w:val="ControllingFunote"/>
      </w:pPr>
      <w:r>
        <w:rPr>
          <w:rStyle w:val="Funotenzeichen"/>
        </w:rPr>
        <w:footnoteRef/>
      </w:r>
      <w:r w:rsidRPr="004E1E09">
        <w:t xml:space="preserve"> Vgl. Scott (2015), S. 79f.</w:t>
      </w:r>
    </w:p>
  </w:footnote>
  <w:footnote w:id="21">
    <w:p w14:paraId="6E53EFBF" w14:textId="77777777" w:rsidR="00D740FB" w:rsidRDefault="00D740FB" w:rsidP="003B392C">
      <w:pPr>
        <w:pStyle w:val="ControllingFunote"/>
      </w:pPr>
      <w:r>
        <w:rPr>
          <w:rStyle w:val="Funotenzeichen"/>
        </w:rPr>
        <w:footnoteRef/>
      </w:r>
      <w:r>
        <w:t xml:space="preserve"> Vgl. </w:t>
      </w:r>
      <w:bookmarkStart w:id="21" w:name="_Hlk534447556"/>
      <w:r>
        <w:t>im Internet: Helms (2018</w:t>
      </w:r>
      <w:proofErr w:type="gramStart"/>
      <w:r>
        <w:t>) ;</w:t>
      </w:r>
      <w:proofErr w:type="gramEnd"/>
      <w:r>
        <w:t xml:space="preserve"> Grundmann/Rathner (2012), S. 119</w:t>
      </w:r>
      <w:bookmarkEnd w:id="21"/>
      <w:r>
        <w:t>.</w:t>
      </w:r>
    </w:p>
  </w:footnote>
  <w:footnote w:id="22">
    <w:p w14:paraId="25216BFF" w14:textId="77777777" w:rsidR="00D740FB" w:rsidRPr="00ED221D" w:rsidRDefault="00D740FB" w:rsidP="00863BF0">
      <w:pPr>
        <w:pStyle w:val="ControllingFunote"/>
      </w:pPr>
      <w:r>
        <w:rPr>
          <w:rStyle w:val="Funotenzeichen"/>
        </w:rPr>
        <w:footnoteRef/>
      </w:r>
      <w:r w:rsidRPr="00ED221D">
        <w:t xml:space="preserve"> Rahmenkonzept 2010, OB</w:t>
      </w:r>
      <w:proofErr w:type="gramStart"/>
      <w:r w:rsidRPr="00ED221D">
        <w:t>2 ,</w:t>
      </w:r>
      <w:proofErr w:type="gramEnd"/>
      <w:r w:rsidRPr="00ED221D">
        <w:t xml:space="preserve"> zit. nach Wagenhofer</w:t>
      </w:r>
      <w:r>
        <w:t xml:space="preserve"> A.</w:t>
      </w:r>
      <w:r w:rsidRPr="00ED221D">
        <w:t>/Ewert</w:t>
      </w:r>
      <w:r>
        <w:t xml:space="preserve"> R.</w:t>
      </w:r>
      <w:r w:rsidRPr="00ED221D">
        <w:t xml:space="preserve"> (2015), S.144</w:t>
      </w:r>
      <w:r>
        <w:t>.</w:t>
      </w:r>
    </w:p>
  </w:footnote>
  <w:footnote w:id="23">
    <w:p w14:paraId="0E38E7FC" w14:textId="77777777" w:rsidR="00D740FB" w:rsidRPr="003907E8" w:rsidRDefault="00D740FB" w:rsidP="00863BF0">
      <w:pPr>
        <w:pStyle w:val="ControllingFunote"/>
      </w:pPr>
      <w:r>
        <w:rPr>
          <w:rStyle w:val="Funotenzeichen"/>
        </w:rPr>
        <w:footnoteRef/>
      </w:r>
      <w:r w:rsidRPr="003907E8">
        <w:t xml:space="preserve"> </w:t>
      </w:r>
      <w:r>
        <w:t>V</w:t>
      </w:r>
      <w:r w:rsidRPr="003907E8">
        <w:t>gl. Wagenhofer/Ewert (2015), S.144.</w:t>
      </w:r>
    </w:p>
  </w:footnote>
  <w:footnote w:id="24">
    <w:p w14:paraId="382879ED" w14:textId="77777777" w:rsidR="00D740FB" w:rsidRDefault="00D740FB" w:rsidP="00863BF0">
      <w:pPr>
        <w:pStyle w:val="ControllingFunote"/>
      </w:pPr>
      <w:r>
        <w:rPr>
          <w:rStyle w:val="Funotenzeichen"/>
        </w:rPr>
        <w:footnoteRef/>
      </w:r>
      <w:r>
        <w:t xml:space="preserve"> V</w:t>
      </w:r>
      <w:r w:rsidRPr="00EB1AC0">
        <w:t>gl. IASB (2018), S.</w:t>
      </w:r>
      <w:r>
        <w:t>14f.</w:t>
      </w:r>
    </w:p>
  </w:footnote>
  <w:footnote w:id="25">
    <w:p w14:paraId="03DA489A" w14:textId="77777777" w:rsidR="00D740FB" w:rsidRDefault="00D740FB" w:rsidP="00863BF0">
      <w:pPr>
        <w:pStyle w:val="ControllingFunote"/>
      </w:pPr>
      <w:r>
        <w:rPr>
          <w:rStyle w:val="Funotenzeichen"/>
        </w:rPr>
        <w:footnoteRef/>
      </w:r>
      <w:r>
        <w:t xml:space="preserve"> Vgl. Pounder (2013), S. 18.</w:t>
      </w:r>
    </w:p>
  </w:footnote>
  <w:footnote w:id="26">
    <w:p w14:paraId="681FE4B4" w14:textId="77777777" w:rsidR="00D740FB" w:rsidRDefault="00D740FB" w:rsidP="00863BF0">
      <w:pPr>
        <w:pStyle w:val="ControllingFunote"/>
      </w:pPr>
      <w:r>
        <w:rPr>
          <w:rStyle w:val="Funotenzeichen"/>
        </w:rPr>
        <w:footnoteRef/>
      </w:r>
      <w:r>
        <w:t xml:space="preserve"> Chen et al. (2010), S. 2.</w:t>
      </w:r>
    </w:p>
  </w:footnote>
  <w:footnote w:id="27">
    <w:p w14:paraId="2A95C667" w14:textId="77777777" w:rsidR="00D740FB" w:rsidRDefault="00D740FB" w:rsidP="00863BF0">
      <w:pPr>
        <w:pStyle w:val="ControllingFunote"/>
      </w:pPr>
      <w:r>
        <w:rPr>
          <w:rStyle w:val="Funotenzeichen"/>
        </w:rPr>
        <w:footnoteRef/>
      </w:r>
      <w:r>
        <w:t xml:space="preserve"> Callen et al. (2013), S.269.</w:t>
      </w:r>
    </w:p>
  </w:footnote>
  <w:footnote w:id="28">
    <w:p w14:paraId="4EE91E4E" w14:textId="77777777" w:rsidR="00D740FB" w:rsidRDefault="00D740FB" w:rsidP="0048168D">
      <w:pPr>
        <w:pStyle w:val="ControllingFunote"/>
      </w:pPr>
      <w:r>
        <w:rPr>
          <w:rStyle w:val="Funotenzeichen"/>
        </w:rPr>
        <w:footnoteRef/>
      </w:r>
      <w:r>
        <w:t xml:space="preserve"> </w:t>
      </w:r>
      <w:bookmarkStart w:id="22" w:name="_Hlk534451363"/>
      <w:r>
        <w:t>Vgl. Verleun et al. (2011</w:t>
      </w:r>
      <w:bookmarkEnd w:id="22"/>
      <w:r>
        <w:t>), S.50.</w:t>
      </w:r>
    </w:p>
  </w:footnote>
  <w:footnote w:id="29">
    <w:p w14:paraId="603C7BB6" w14:textId="77777777" w:rsidR="00D740FB" w:rsidRPr="003907E8" w:rsidRDefault="00D740FB" w:rsidP="0048168D">
      <w:pPr>
        <w:pStyle w:val="ControllingFunote"/>
        <w:rPr>
          <w:lang w:val="en-US"/>
        </w:rPr>
      </w:pPr>
      <w:r>
        <w:rPr>
          <w:rStyle w:val="Funotenzeichen"/>
        </w:rPr>
        <w:footnoteRef/>
      </w:r>
      <w:r w:rsidRPr="003907E8">
        <w:rPr>
          <w:lang w:val="en-US"/>
        </w:rPr>
        <w:t xml:space="preserve"> vgl. </w:t>
      </w:r>
      <w:r w:rsidRPr="003907E8">
        <w:rPr>
          <w:rFonts w:cs="Times New Roman"/>
          <w:lang w:val="en-US"/>
        </w:rPr>
        <w:t>Rajan (1992), S.1368.</w:t>
      </w:r>
    </w:p>
  </w:footnote>
  <w:footnote w:id="30">
    <w:p w14:paraId="0B62EC1B" w14:textId="77777777" w:rsidR="00D740FB" w:rsidRPr="0053260A" w:rsidRDefault="00D740FB" w:rsidP="0048168D">
      <w:pPr>
        <w:pStyle w:val="ControllingFunote"/>
        <w:rPr>
          <w:lang w:val="en-US"/>
        </w:rPr>
      </w:pPr>
      <w:r>
        <w:rPr>
          <w:rStyle w:val="Funotenzeichen"/>
        </w:rPr>
        <w:footnoteRef/>
      </w:r>
      <w:r w:rsidRPr="0053260A">
        <w:rPr>
          <w:lang w:val="en-US"/>
        </w:rPr>
        <w:t xml:space="preserve"> </w:t>
      </w:r>
      <w:r>
        <w:rPr>
          <w:lang w:val="en-US"/>
        </w:rPr>
        <w:t xml:space="preserve">vgl. </w:t>
      </w:r>
      <w:r w:rsidRPr="0053260A">
        <w:rPr>
          <w:lang w:val="en-US"/>
        </w:rPr>
        <w:t>Bh</w:t>
      </w:r>
      <w:r>
        <w:rPr>
          <w:lang w:val="en-US"/>
        </w:rPr>
        <w:t>arath et al. (2008), S. 2.</w:t>
      </w:r>
    </w:p>
  </w:footnote>
  <w:footnote w:id="31">
    <w:p w14:paraId="6D088C5E" w14:textId="77777777" w:rsidR="00AD7925" w:rsidRDefault="00AD7925" w:rsidP="00AD7925">
      <w:pPr>
        <w:pStyle w:val="ControllingFunote"/>
      </w:pPr>
      <w:r>
        <w:rPr>
          <w:rStyle w:val="Funotenzeichen"/>
        </w:rPr>
        <w:footnoteRef/>
      </w:r>
      <w:r>
        <w:t xml:space="preserve"> Fama, E. (1985), S. 37</w:t>
      </w:r>
    </w:p>
  </w:footnote>
  <w:footnote w:id="32">
    <w:p w14:paraId="7BFDD3B4" w14:textId="77777777" w:rsidR="00D740FB" w:rsidRPr="00AD7925" w:rsidRDefault="00D740FB" w:rsidP="00687509">
      <w:pPr>
        <w:pStyle w:val="ControllingFunote"/>
      </w:pPr>
      <w:r>
        <w:rPr>
          <w:rStyle w:val="Funotenzeichen"/>
        </w:rPr>
        <w:footnoteRef/>
      </w:r>
      <w:r w:rsidRPr="00AD7925">
        <w:t xml:space="preserve"> vgl. Fama (1936 f, S. 36</w:t>
      </w:r>
      <w:r w:rsidR="00AD7925" w:rsidRPr="00AD7925">
        <w:t>f</w:t>
      </w:r>
      <w:r w:rsidR="00AD7925">
        <w:t>.</w:t>
      </w:r>
    </w:p>
  </w:footnote>
  <w:footnote w:id="33">
    <w:p w14:paraId="53AF8D43" w14:textId="77777777" w:rsidR="00D740FB" w:rsidRPr="00AF66A2" w:rsidRDefault="00D740FB" w:rsidP="00687509">
      <w:pPr>
        <w:pStyle w:val="ControllingFunote"/>
        <w:rPr>
          <w:lang w:val="en-US"/>
        </w:rPr>
      </w:pPr>
      <w:r>
        <w:rPr>
          <w:rStyle w:val="Funotenzeichen"/>
        </w:rPr>
        <w:footnoteRef/>
      </w:r>
      <w:r w:rsidRPr="00AF66A2">
        <w:rPr>
          <w:lang w:val="en-US"/>
        </w:rPr>
        <w:t xml:space="preserve"> Borries S. 998), S.36.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10E0"/>
    <w:multiLevelType w:val="multilevel"/>
    <w:tmpl w:val="C330C15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400D6735"/>
    <w:multiLevelType w:val="hybridMultilevel"/>
    <w:tmpl w:val="4FF259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230743"/>
    <w:multiLevelType w:val="hybridMultilevel"/>
    <w:tmpl w:val="A9C69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E432B3"/>
    <w:multiLevelType w:val="hybridMultilevel"/>
    <w:tmpl w:val="A366F4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2812584">
    <w:abstractNumId w:val="0"/>
  </w:num>
  <w:num w:numId="2" w16cid:durableId="1321540024">
    <w:abstractNumId w:val="2"/>
  </w:num>
  <w:num w:numId="3" w16cid:durableId="1736122926">
    <w:abstractNumId w:val="1"/>
  </w:num>
  <w:num w:numId="4" w16cid:durableId="1547791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2A"/>
    <w:rsid w:val="000015DB"/>
    <w:rsid w:val="00004AC6"/>
    <w:rsid w:val="00011E4D"/>
    <w:rsid w:val="000139BA"/>
    <w:rsid w:val="00014839"/>
    <w:rsid w:val="00025F67"/>
    <w:rsid w:val="00026523"/>
    <w:rsid w:val="00031FDA"/>
    <w:rsid w:val="00032974"/>
    <w:rsid w:val="00044330"/>
    <w:rsid w:val="0005005E"/>
    <w:rsid w:val="000557F4"/>
    <w:rsid w:val="000847A5"/>
    <w:rsid w:val="00086B0B"/>
    <w:rsid w:val="00096F2C"/>
    <w:rsid w:val="000A3018"/>
    <w:rsid w:val="000A748A"/>
    <w:rsid w:val="000A7765"/>
    <w:rsid w:val="000B0DDF"/>
    <w:rsid w:val="000B7D7F"/>
    <w:rsid w:val="000C230F"/>
    <w:rsid w:val="000D1090"/>
    <w:rsid w:val="000D10A1"/>
    <w:rsid w:val="000D2802"/>
    <w:rsid w:val="000E009A"/>
    <w:rsid w:val="000F61A3"/>
    <w:rsid w:val="000F6250"/>
    <w:rsid w:val="001249CD"/>
    <w:rsid w:val="00125BBA"/>
    <w:rsid w:val="00127508"/>
    <w:rsid w:val="001361DB"/>
    <w:rsid w:val="001413B1"/>
    <w:rsid w:val="00143CF2"/>
    <w:rsid w:val="00152CD8"/>
    <w:rsid w:val="00154794"/>
    <w:rsid w:val="00154B34"/>
    <w:rsid w:val="00163136"/>
    <w:rsid w:val="00163F06"/>
    <w:rsid w:val="00167857"/>
    <w:rsid w:val="00183254"/>
    <w:rsid w:val="00185110"/>
    <w:rsid w:val="001906CD"/>
    <w:rsid w:val="001933EC"/>
    <w:rsid w:val="00195656"/>
    <w:rsid w:val="001A41A4"/>
    <w:rsid w:val="001A5FC6"/>
    <w:rsid w:val="00200791"/>
    <w:rsid w:val="00203F66"/>
    <w:rsid w:val="00211EB4"/>
    <w:rsid w:val="00225F0F"/>
    <w:rsid w:val="002301B0"/>
    <w:rsid w:val="002363B8"/>
    <w:rsid w:val="00236674"/>
    <w:rsid w:val="00255409"/>
    <w:rsid w:val="00257B31"/>
    <w:rsid w:val="00270A07"/>
    <w:rsid w:val="00294656"/>
    <w:rsid w:val="00297265"/>
    <w:rsid w:val="002A45FE"/>
    <w:rsid w:val="002A6F56"/>
    <w:rsid w:val="002C204A"/>
    <w:rsid w:val="002C6227"/>
    <w:rsid w:val="002C67BB"/>
    <w:rsid w:val="002D656A"/>
    <w:rsid w:val="002D77E0"/>
    <w:rsid w:val="002E5F10"/>
    <w:rsid w:val="002F0402"/>
    <w:rsid w:val="002F1B1C"/>
    <w:rsid w:val="002F7DA2"/>
    <w:rsid w:val="00304207"/>
    <w:rsid w:val="003049A0"/>
    <w:rsid w:val="003060F7"/>
    <w:rsid w:val="003259D5"/>
    <w:rsid w:val="00332FA9"/>
    <w:rsid w:val="00345847"/>
    <w:rsid w:val="00351958"/>
    <w:rsid w:val="003556C4"/>
    <w:rsid w:val="00366D24"/>
    <w:rsid w:val="0037338D"/>
    <w:rsid w:val="00374D05"/>
    <w:rsid w:val="0038453F"/>
    <w:rsid w:val="00386462"/>
    <w:rsid w:val="003907E8"/>
    <w:rsid w:val="00396981"/>
    <w:rsid w:val="003B3496"/>
    <w:rsid w:val="003B392C"/>
    <w:rsid w:val="003B4E9F"/>
    <w:rsid w:val="003B6042"/>
    <w:rsid w:val="003C7571"/>
    <w:rsid w:val="003D273A"/>
    <w:rsid w:val="003E6540"/>
    <w:rsid w:val="003F4663"/>
    <w:rsid w:val="004076A7"/>
    <w:rsid w:val="004120BC"/>
    <w:rsid w:val="00417802"/>
    <w:rsid w:val="004502A2"/>
    <w:rsid w:val="00464E47"/>
    <w:rsid w:val="00466720"/>
    <w:rsid w:val="00474E79"/>
    <w:rsid w:val="0048168D"/>
    <w:rsid w:val="00484DCB"/>
    <w:rsid w:val="00491B21"/>
    <w:rsid w:val="004A64BC"/>
    <w:rsid w:val="004B5E3D"/>
    <w:rsid w:val="004B6EBF"/>
    <w:rsid w:val="004C7E2E"/>
    <w:rsid w:val="004E1E09"/>
    <w:rsid w:val="004E4CFF"/>
    <w:rsid w:val="004F5C5B"/>
    <w:rsid w:val="004F5FC5"/>
    <w:rsid w:val="00501F20"/>
    <w:rsid w:val="00502970"/>
    <w:rsid w:val="0052333E"/>
    <w:rsid w:val="00533177"/>
    <w:rsid w:val="00533383"/>
    <w:rsid w:val="005422CE"/>
    <w:rsid w:val="00546709"/>
    <w:rsid w:val="00550931"/>
    <w:rsid w:val="00552C27"/>
    <w:rsid w:val="00564985"/>
    <w:rsid w:val="00573730"/>
    <w:rsid w:val="005818A4"/>
    <w:rsid w:val="005848D1"/>
    <w:rsid w:val="00593C67"/>
    <w:rsid w:val="00593F88"/>
    <w:rsid w:val="0059607F"/>
    <w:rsid w:val="005A5668"/>
    <w:rsid w:val="005C11EF"/>
    <w:rsid w:val="005D32A8"/>
    <w:rsid w:val="005E1753"/>
    <w:rsid w:val="005F4350"/>
    <w:rsid w:val="0060392A"/>
    <w:rsid w:val="00606C4D"/>
    <w:rsid w:val="00607E3F"/>
    <w:rsid w:val="006161B0"/>
    <w:rsid w:val="00620F87"/>
    <w:rsid w:val="00626FDA"/>
    <w:rsid w:val="00640E77"/>
    <w:rsid w:val="006637C4"/>
    <w:rsid w:val="0066455E"/>
    <w:rsid w:val="00665672"/>
    <w:rsid w:val="00665933"/>
    <w:rsid w:val="00667D68"/>
    <w:rsid w:val="006758DC"/>
    <w:rsid w:val="00675AE7"/>
    <w:rsid w:val="006803A1"/>
    <w:rsid w:val="00686E68"/>
    <w:rsid w:val="00687509"/>
    <w:rsid w:val="0069005E"/>
    <w:rsid w:val="0069731D"/>
    <w:rsid w:val="006A0AE8"/>
    <w:rsid w:val="006A15FB"/>
    <w:rsid w:val="006A54EB"/>
    <w:rsid w:val="006D5434"/>
    <w:rsid w:val="00700E1B"/>
    <w:rsid w:val="007018D8"/>
    <w:rsid w:val="00703440"/>
    <w:rsid w:val="00725316"/>
    <w:rsid w:val="0073008D"/>
    <w:rsid w:val="00744AEF"/>
    <w:rsid w:val="007674C7"/>
    <w:rsid w:val="007700E2"/>
    <w:rsid w:val="0077106F"/>
    <w:rsid w:val="00771C85"/>
    <w:rsid w:val="00790E8A"/>
    <w:rsid w:val="007A4ED9"/>
    <w:rsid w:val="007C1729"/>
    <w:rsid w:val="007C1EFA"/>
    <w:rsid w:val="007C1EFC"/>
    <w:rsid w:val="007D4A53"/>
    <w:rsid w:val="007F5E99"/>
    <w:rsid w:val="008074E4"/>
    <w:rsid w:val="00813201"/>
    <w:rsid w:val="0082072A"/>
    <w:rsid w:val="0082155F"/>
    <w:rsid w:val="0082477F"/>
    <w:rsid w:val="00830561"/>
    <w:rsid w:val="00835326"/>
    <w:rsid w:val="00840930"/>
    <w:rsid w:val="00852380"/>
    <w:rsid w:val="00863BF0"/>
    <w:rsid w:val="00866B25"/>
    <w:rsid w:val="00871B68"/>
    <w:rsid w:val="00877190"/>
    <w:rsid w:val="00880E49"/>
    <w:rsid w:val="008878B1"/>
    <w:rsid w:val="00890CBE"/>
    <w:rsid w:val="008A6D7A"/>
    <w:rsid w:val="008B1258"/>
    <w:rsid w:val="008C04D8"/>
    <w:rsid w:val="008C30C9"/>
    <w:rsid w:val="008C39D7"/>
    <w:rsid w:val="008C77ED"/>
    <w:rsid w:val="008D22AC"/>
    <w:rsid w:val="008D6F8E"/>
    <w:rsid w:val="008E26FF"/>
    <w:rsid w:val="008E4464"/>
    <w:rsid w:val="008E4D82"/>
    <w:rsid w:val="008F0AFC"/>
    <w:rsid w:val="0090590C"/>
    <w:rsid w:val="009116B6"/>
    <w:rsid w:val="009135E8"/>
    <w:rsid w:val="00930838"/>
    <w:rsid w:val="00936420"/>
    <w:rsid w:val="00946E55"/>
    <w:rsid w:val="00951260"/>
    <w:rsid w:val="00952974"/>
    <w:rsid w:val="009652FC"/>
    <w:rsid w:val="00967C45"/>
    <w:rsid w:val="009733B1"/>
    <w:rsid w:val="0097518C"/>
    <w:rsid w:val="00983F95"/>
    <w:rsid w:val="009A361D"/>
    <w:rsid w:val="009A79B0"/>
    <w:rsid w:val="009B408C"/>
    <w:rsid w:val="009B5338"/>
    <w:rsid w:val="009B5527"/>
    <w:rsid w:val="009C055C"/>
    <w:rsid w:val="009C4B9F"/>
    <w:rsid w:val="009D037F"/>
    <w:rsid w:val="009D6042"/>
    <w:rsid w:val="009E1323"/>
    <w:rsid w:val="009E42CD"/>
    <w:rsid w:val="009E612D"/>
    <w:rsid w:val="009F65B2"/>
    <w:rsid w:val="00A0453D"/>
    <w:rsid w:val="00A11934"/>
    <w:rsid w:val="00A12423"/>
    <w:rsid w:val="00A14D32"/>
    <w:rsid w:val="00A232C1"/>
    <w:rsid w:val="00A2573D"/>
    <w:rsid w:val="00A27DE6"/>
    <w:rsid w:val="00A30718"/>
    <w:rsid w:val="00A3390C"/>
    <w:rsid w:val="00A45F84"/>
    <w:rsid w:val="00A46C68"/>
    <w:rsid w:val="00A53823"/>
    <w:rsid w:val="00A60A30"/>
    <w:rsid w:val="00A62720"/>
    <w:rsid w:val="00A72F1B"/>
    <w:rsid w:val="00A82F27"/>
    <w:rsid w:val="00A90B93"/>
    <w:rsid w:val="00A92D46"/>
    <w:rsid w:val="00A9497D"/>
    <w:rsid w:val="00A979E1"/>
    <w:rsid w:val="00AA2E40"/>
    <w:rsid w:val="00AB2D6F"/>
    <w:rsid w:val="00AB5C2D"/>
    <w:rsid w:val="00AB6939"/>
    <w:rsid w:val="00AD3177"/>
    <w:rsid w:val="00AD34B4"/>
    <w:rsid w:val="00AD3849"/>
    <w:rsid w:val="00AD7925"/>
    <w:rsid w:val="00AE6AD9"/>
    <w:rsid w:val="00AE7228"/>
    <w:rsid w:val="00AF66A2"/>
    <w:rsid w:val="00B04F17"/>
    <w:rsid w:val="00B154BC"/>
    <w:rsid w:val="00B448F1"/>
    <w:rsid w:val="00B50328"/>
    <w:rsid w:val="00B548ED"/>
    <w:rsid w:val="00B55FCC"/>
    <w:rsid w:val="00B57861"/>
    <w:rsid w:val="00B72993"/>
    <w:rsid w:val="00B73B22"/>
    <w:rsid w:val="00B75BFF"/>
    <w:rsid w:val="00BA304D"/>
    <w:rsid w:val="00BA3A9E"/>
    <w:rsid w:val="00BA7BCC"/>
    <w:rsid w:val="00BB1EC5"/>
    <w:rsid w:val="00BB3F7E"/>
    <w:rsid w:val="00BB707B"/>
    <w:rsid w:val="00BC344A"/>
    <w:rsid w:val="00BD78BD"/>
    <w:rsid w:val="00BE2C82"/>
    <w:rsid w:val="00C164CB"/>
    <w:rsid w:val="00C32CEC"/>
    <w:rsid w:val="00C3334C"/>
    <w:rsid w:val="00C377C4"/>
    <w:rsid w:val="00C50596"/>
    <w:rsid w:val="00C70B89"/>
    <w:rsid w:val="00C7297C"/>
    <w:rsid w:val="00C74C50"/>
    <w:rsid w:val="00C76FB6"/>
    <w:rsid w:val="00C810F0"/>
    <w:rsid w:val="00C813B1"/>
    <w:rsid w:val="00C82770"/>
    <w:rsid w:val="00C90A1D"/>
    <w:rsid w:val="00C943EB"/>
    <w:rsid w:val="00CA6D89"/>
    <w:rsid w:val="00CB0DEF"/>
    <w:rsid w:val="00CB258F"/>
    <w:rsid w:val="00CB7396"/>
    <w:rsid w:val="00CC2403"/>
    <w:rsid w:val="00CD5AA3"/>
    <w:rsid w:val="00CD7120"/>
    <w:rsid w:val="00CE0898"/>
    <w:rsid w:val="00CE1CDC"/>
    <w:rsid w:val="00CE505D"/>
    <w:rsid w:val="00CE76B2"/>
    <w:rsid w:val="00CF016F"/>
    <w:rsid w:val="00D00C08"/>
    <w:rsid w:val="00D30ED6"/>
    <w:rsid w:val="00D31905"/>
    <w:rsid w:val="00D329F8"/>
    <w:rsid w:val="00D5590E"/>
    <w:rsid w:val="00D66CA0"/>
    <w:rsid w:val="00D724CA"/>
    <w:rsid w:val="00D740FB"/>
    <w:rsid w:val="00D8083C"/>
    <w:rsid w:val="00D850DC"/>
    <w:rsid w:val="00DA2E76"/>
    <w:rsid w:val="00DB07F8"/>
    <w:rsid w:val="00DB4F0D"/>
    <w:rsid w:val="00DB6A34"/>
    <w:rsid w:val="00DB7B6D"/>
    <w:rsid w:val="00DC2920"/>
    <w:rsid w:val="00DC30CF"/>
    <w:rsid w:val="00DD6C7E"/>
    <w:rsid w:val="00DE2B3E"/>
    <w:rsid w:val="00DE4972"/>
    <w:rsid w:val="00DF0F77"/>
    <w:rsid w:val="00DF50F2"/>
    <w:rsid w:val="00DF6ACA"/>
    <w:rsid w:val="00E00A62"/>
    <w:rsid w:val="00E11543"/>
    <w:rsid w:val="00E12B70"/>
    <w:rsid w:val="00E1508A"/>
    <w:rsid w:val="00E307E5"/>
    <w:rsid w:val="00E34371"/>
    <w:rsid w:val="00E344EE"/>
    <w:rsid w:val="00E461E6"/>
    <w:rsid w:val="00E53C2D"/>
    <w:rsid w:val="00E53FF4"/>
    <w:rsid w:val="00E756B0"/>
    <w:rsid w:val="00E91F1E"/>
    <w:rsid w:val="00E95602"/>
    <w:rsid w:val="00EA2388"/>
    <w:rsid w:val="00ED221D"/>
    <w:rsid w:val="00EE4B7B"/>
    <w:rsid w:val="00F01C52"/>
    <w:rsid w:val="00F32AA2"/>
    <w:rsid w:val="00F3511D"/>
    <w:rsid w:val="00F403B9"/>
    <w:rsid w:val="00F571D2"/>
    <w:rsid w:val="00F6412E"/>
    <w:rsid w:val="00F654ED"/>
    <w:rsid w:val="00F65E4D"/>
    <w:rsid w:val="00F861BB"/>
    <w:rsid w:val="00F86383"/>
    <w:rsid w:val="00F90C75"/>
    <w:rsid w:val="00FB13A1"/>
    <w:rsid w:val="00FB421F"/>
    <w:rsid w:val="00FD1532"/>
    <w:rsid w:val="00FD1E3A"/>
    <w:rsid w:val="00FD582D"/>
    <w:rsid w:val="00FD62AB"/>
    <w:rsid w:val="00FE1608"/>
    <w:rsid w:val="00FE5F48"/>
    <w:rsid w:val="00FE6E75"/>
    <w:rsid w:val="00FF0772"/>
    <w:rsid w:val="00FF31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8063"/>
  <w15:chartTrackingRefBased/>
  <w15:docId w15:val="{62F15E71-9EC4-7047-BBDC-0BEA76AD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654E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654E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F654E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654E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654E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654E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654E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654E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654E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rsid w:val="0060392A"/>
    <w:pPr>
      <w:spacing w:line="340" w:lineRule="exact"/>
      <w:jc w:val="both"/>
    </w:pPr>
    <w:rPr>
      <w:rFonts w:ascii="Arial" w:eastAsia="Times" w:hAnsi="Arial" w:cs="Times New Roman"/>
      <w:spacing w:val="3"/>
      <w:sz w:val="20"/>
      <w:szCs w:val="20"/>
      <w:lang w:eastAsia="de-CH"/>
    </w:rPr>
  </w:style>
  <w:style w:type="character" w:styleId="Hyperlink">
    <w:name w:val="Hyperlink"/>
    <w:basedOn w:val="Absatz-Standardschriftart"/>
    <w:uiPriority w:val="99"/>
    <w:rsid w:val="0060392A"/>
    <w:rPr>
      <w:rFonts w:ascii="Arial" w:hAnsi="Arial"/>
      <w:color w:val="000000"/>
      <w:u w:val="single"/>
    </w:rPr>
  </w:style>
  <w:style w:type="paragraph" w:customStyle="1" w:styleId="ControllingSeminarText">
    <w:name w:val="Controlling Seminar Text"/>
    <w:basedOn w:val="Standard"/>
    <w:qFormat/>
    <w:rsid w:val="0060392A"/>
    <w:pPr>
      <w:spacing w:line="360" w:lineRule="auto"/>
      <w:jc w:val="both"/>
    </w:pPr>
    <w:rPr>
      <w:rFonts w:ascii="Times New Roman" w:hAnsi="Times New Roman" w:cs="Times New Roman"/>
    </w:rPr>
  </w:style>
  <w:style w:type="paragraph" w:styleId="Verzeichnis1">
    <w:name w:val="toc 1"/>
    <w:basedOn w:val="Standard"/>
    <w:next w:val="Standard"/>
    <w:autoRedefine/>
    <w:uiPriority w:val="39"/>
    <w:unhideWhenUsed/>
    <w:rsid w:val="0060392A"/>
    <w:pPr>
      <w:spacing w:before="240" w:after="120"/>
    </w:pPr>
    <w:rPr>
      <w:b/>
      <w:bCs/>
      <w:sz w:val="20"/>
      <w:szCs w:val="20"/>
    </w:rPr>
  </w:style>
  <w:style w:type="paragraph" w:styleId="Verzeichnis2">
    <w:name w:val="toc 2"/>
    <w:basedOn w:val="Standard"/>
    <w:next w:val="Standard"/>
    <w:autoRedefine/>
    <w:uiPriority w:val="39"/>
    <w:unhideWhenUsed/>
    <w:rsid w:val="0060392A"/>
    <w:pPr>
      <w:spacing w:before="120"/>
      <w:ind w:left="240"/>
    </w:pPr>
    <w:rPr>
      <w:i/>
      <w:iCs/>
      <w:sz w:val="20"/>
      <w:szCs w:val="20"/>
    </w:rPr>
  </w:style>
  <w:style w:type="paragraph" w:styleId="Verzeichnis3">
    <w:name w:val="toc 3"/>
    <w:basedOn w:val="Standard"/>
    <w:next w:val="Standard"/>
    <w:autoRedefine/>
    <w:uiPriority w:val="39"/>
    <w:unhideWhenUsed/>
    <w:rsid w:val="0060392A"/>
    <w:pPr>
      <w:ind w:left="480"/>
    </w:pPr>
    <w:rPr>
      <w:sz w:val="20"/>
      <w:szCs w:val="20"/>
    </w:rPr>
  </w:style>
  <w:style w:type="character" w:customStyle="1" w:styleId="berschrift1Zchn">
    <w:name w:val="Überschrift 1 Zchn"/>
    <w:basedOn w:val="Absatz-Standardschriftart"/>
    <w:link w:val="berschrift1"/>
    <w:uiPriority w:val="9"/>
    <w:rsid w:val="00F654ED"/>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F654ED"/>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F654ED"/>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semiHidden/>
    <w:rsid w:val="00F654ED"/>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654ED"/>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654ED"/>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F654ED"/>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F654E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654ED"/>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F654ED"/>
    <w:pPr>
      <w:ind w:left="720"/>
      <w:contextualSpacing/>
    </w:pPr>
  </w:style>
  <w:style w:type="paragraph" w:customStyle="1" w:styleId="ControllingKapitelberschrift">
    <w:name w:val="Controlling Kapitelüberschrift"/>
    <w:basedOn w:val="berschrift1"/>
    <w:qFormat/>
    <w:rsid w:val="00F654ED"/>
    <w:rPr>
      <w:rFonts w:ascii="Times New Roman" w:hAnsi="Times New Roman" w:cs="Times New Roman"/>
      <w:b/>
      <w:color w:val="000000" w:themeColor="text1"/>
      <w:sz w:val="24"/>
      <w:szCs w:val="24"/>
    </w:rPr>
  </w:style>
  <w:style w:type="paragraph" w:customStyle="1" w:styleId="ControllingAbsatzberschrift">
    <w:name w:val="Controlling Absatzüberschrift"/>
    <w:basedOn w:val="berschrift2"/>
    <w:qFormat/>
    <w:rsid w:val="00F654ED"/>
    <w:rPr>
      <w:rFonts w:ascii="Times New Roman" w:hAnsi="Times New Roman" w:cs="Times New Roman"/>
      <w:b/>
      <w:color w:val="000000" w:themeColor="text1"/>
      <w:sz w:val="24"/>
      <w:szCs w:val="24"/>
    </w:rPr>
  </w:style>
  <w:style w:type="paragraph" w:customStyle="1" w:styleId="ControllingSeminarUnterabsatz">
    <w:name w:val="Controlling Seminar Unterabsatz"/>
    <w:basedOn w:val="berschrift3"/>
    <w:qFormat/>
    <w:rsid w:val="00F654ED"/>
    <w:rPr>
      <w:rFonts w:ascii="Times New Roman" w:hAnsi="Times New Roman"/>
      <w:b/>
      <w:color w:val="000000" w:themeColor="text1"/>
    </w:rPr>
  </w:style>
  <w:style w:type="paragraph" w:styleId="Funotentext">
    <w:name w:val="footnote text"/>
    <w:basedOn w:val="Standard"/>
    <w:link w:val="FunotentextZchn"/>
    <w:uiPriority w:val="99"/>
    <w:semiHidden/>
    <w:unhideWhenUsed/>
    <w:rsid w:val="00F654ED"/>
    <w:rPr>
      <w:sz w:val="20"/>
      <w:szCs w:val="20"/>
    </w:rPr>
  </w:style>
  <w:style w:type="character" w:customStyle="1" w:styleId="FunotentextZchn">
    <w:name w:val="Fußnotentext Zchn"/>
    <w:basedOn w:val="Absatz-Standardschriftart"/>
    <w:link w:val="Funotentext"/>
    <w:uiPriority w:val="99"/>
    <w:semiHidden/>
    <w:rsid w:val="00F654ED"/>
    <w:rPr>
      <w:sz w:val="20"/>
      <w:szCs w:val="20"/>
    </w:rPr>
  </w:style>
  <w:style w:type="character" w:styleId="Funotenzeichen">
    <w:name w:val="footnote reference"/>
    <w:basedOn w:val="Absatz-Standardschriftart"/>
    <w:uiPriority w:val="99"/>
    <w:semiHidden/>
    <w:unhideWhenUsed/>
    <w:rsid w:val="00F654ED"/>
    <w:rPr>
      <w:vertAlign w:val="superscript"/>
    </w:rPr>
  </w:style>
  <w:style w:type="paragraph" w:customStyle="1" w:styleId="ControllingFunote">
    <w:name w:val="Controlling Fußnote"/>
    <w:basedOn w:val="Funotentext"/>
    <w:qFormat/>
    <w:rsid w:val="00F654ED"/>
    <w:rPr>
      <w:rFonts w:ascii="Times New Roman" w:hAnsi="Times New Roman"/>
    </w:rPr>
  </w:style>
  <w:style w:type="paragraph" w:styleId="Fuzeile">
    <w:name w:val="footer"/>
    <w:basedOn w:val="Standard"/>
    <w:link w:val="FuzeileZchn"/>
    <w:uiPriority w:val="99"/>
    <w:unhideWhenUsed/>
    <w:rsid w:val="00236674"/>
    <w:pPr>
      <w:tabs>
        <w:tab w:val="center" w:pos="4536"/>
        <w:tab w:val="right" w:pos="9072"/>
      </w:tabs>
    </w:pPr>
  </w:style>
  <w:style w:type="character" w:customStyle="1" w:styleId="FuzeileZchn">
    <w:name w:val="Fußzeile Zchn"/>
    <w:basedOn w:val="Absatz-Standardschriftart"/>
    <w:link w:val="Fuzeile"/>
    <w:uiPriority w:val="99"/>
    <w:rsid w:val="00236674"/>
  </w:style>
  <w:style w:type="character" w:styleId="Seitenzahl">
    <w:name w:val="page number"/>
    <w:basedOn w:val="Absatz-Standardschriftart"/>
    <w:uiPriority w:val="99"/>
    <w:semiHidden/>
    <w:unhideWhenUsed/>
    <w:rsid w:val="00236674"/>
  </w:style>
  <w:style w:type="character" w:styleId="NichtaufgelsteErwhnung">
    <w:name w:val="Unresolved Mention"/>
    <w:basedOn w:val="Absatz-Standardschriftart"/>
    <w:uiPriority w:val="99"/>
    <w:semiHidden/>
    <w:unhideWhenUsed/>
    <w:rsid w:val="00CB0DEF"/>
    <w:rPr>
      <w:color w:val="605E5C"/>
      <w:shd w:val="clear" w:color="auto" w:fill="E1DFDD"/>
    </w:rPr>
  </w:style>
  <w:style w:type="character" w:styleId="BesuchterLink">
    <w:name w:val="FollowedHyperlink"/>
    <w:basedOn w:val="Absatz-Standardschriftart"/>
    <w:uiPriority w:val="99"/>
    <w:semiHidden/>
    <w:unhideWhenUsed/>
    <w:rsid w:val="00FB421F"/>
    <w:rPr>
      <w:color w:val="954F72" w:themeColor="followedHyperlink"/>
      <w:u w:val="single"/>
    </w:rPr>
  </w:style>
  <w:style w:type="paragraph" w:styleId="StandardWeb">
    <w:name w:val="Normal (Web)"/>
    <w:basedOn w:val="Standard"/>
    <w:uiPriority w:val="99"/>
    <w:semiHidden/>
    <w:unhideWhenUsed/>
    <w:rsid w:val="00CA6D89"/>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BB3F7E"/>
  </w:style>
  <w:style w:type="table" w:customStyle="1" w:styleId="TableGrid">
    <w:name w:val="TableGrid"/>
    <w:rsid w:val="00345847"/>
    <w:rPr>
      <w:rFonts w:eastAsiaTheme="minorEastAsia"/>
      <w:sz w:val="22"/>
      <w:szCs w:val="22"/>
      <w:lang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8102">
      <w:bodyDiv w:val="1"/>
      <w:marLeft w:val="0"/>
      <w:marRight w:val="0"/>
      <w:marTop w:val="0"/>
      <w:marBottom w:val="0"/>
      <w:divBdr>
        <w:top w:val="none" w:sz="0" w:space="0" w:color="auto"/>
        <w:left w:val="none" w:sz="0" w:space="0" w:color="auto"/>
        <w:bottom w:val="none" w:sz="0" w:space="0" w:color="auto"/>
        <w:right w:val="none" w:sz="0" w:space="0" w:color="auto"/>
      </w:divBdr>
    </w:div>
    <w:div w:id="270552184">
      <w:bodyDiv w:val="1"/>
      <w:marLeft w:val="0"/>
      <w:marRight w:val="0"/>
      <w:marTop w:val="0"/>
      <w:marBottom w:val="0"/>
      <w:divBdr>
        <w:top w:val="none" w:sz="0" w:space="0" w:color="auto"/>
        <w:left w:val="none" w:sz="0" w:space="0" w:color="auto"/>
        <w:bottom w:val="none" w:sz="0" w:space="0" w:color="auto"/>
        <w:right w:val="none" w:sz="0" w:space="0" w:color="auto"/>
      </w:divBdr>
    </w:div>
    <w:div w:id="287399563">
      <w:bodyDiv w:val="1"/>
      <w:marLeft w:val="0"/>
      <w:marRight w:val="0"/>
      <w:marTop w:val="0"/>
      <w:marBottom w:val="0"/>
      <w:divBdr>
        <w:top w:val="none" w:sz="0" w:space="0" w:color="auto"/>
        <w:left w:val="none" w:sz="0" w:space="0" w:color="auto"/>
        <w:bottom w:val="none" w:sz="0" w:space="0" w:color="auto"/>
        <w:right w:val="none" w:sz="0" w:space="0" w:color="auto"/>
      </w:divBdr>
      <w:divsChild>
        <w:div w:id="1387684958">
          <w:marLeft w:val="0"/>
          <w:marRight w:val="0"/>
          <w:marTop w:val="0"/>
          <w:marBottom w:val="0"/>
          <w:divBdr>
            <w:top w:val="none" w:sz="0" w:space="0" w:color="auto"/>
            <w:left w:val="none" w:sz="0" w:space="0" w:color="auto"/>
            <w:bottom w:val="none" w:sz="0" w:space="0" w:color="auto"/>
            <w:right w:val="none" w:sz="0" w:space="0" w:color="auto"/>
          </w:divBdr>
          <w:divsChild>
            <w:div w:id="1875725900">
              <w:marLeft w:val="0"/>
              <w:marRight w:val="0"/>
              <w:marTop w:val="0"/>
              <w:marBottom w:val="0"/>
              <w:divBdr>
                <w:top w:val="none" w:sz="0" w:space="0" w:color="auto"/>
                <w:left w:val="none" w:sz="0" w:space="0" w:color="auto"/>
                <w:bottom w:val="none" w:sz="0" w:space="0" w:color="auto"/>
                <w:right w:val="none" w:sz="0" w:space="0" w:color="auto"/>
              </w:divBdr>
              <w:divsChild>
                <w:div w:id="11365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853180">
      <w:bodyDiv w:val="1"/>
      <w:marLeft w:val="0"/>
      <w:marRight w:val="0"/>
      <w:marTop w:val="0"/>
      <w:marBottom w:val="0"/>
      <w:divBdr>
        <w:top w:val="none" w:sz="0" w:space="0" w:color="auto"/>
        <w:left w:val="none" w:sz="0" w:space="0" w:color="auto"/>
        <w:bottom w:val="none" w:sz="0" w:space="0" w:color="auto"/>
        <w:right w:val="none" w:sz="0" w:space="0" w:color="auto"/>
      </w:divBdr>
    </w:div>
    <w:div w:id="403339181">
      <w:bodyDiv w:val="1"/>
      <w:marLeft w:val="0"/>
      <w:marRight w:val="0"/>
      <w:marTop w:val="0"/>
      <w:marBottom w:val="0"/>
      <w:divBdr>
        <w:top w:val="none" w:sz="0" w:space="0" w:color="auto"/>
        <w:left w:val="none" w:sz="0" w:space="0" w:color="auto"/>
        <w:bottom w:val="none" w:sz="0" w:space="0" w:color="auto"/>
        <w:right w:val="none" w:sz="0" w:space="0" w:color="auto"/>
      </w:divBdr>
      <w:divsChild>
        <w:div w:id="1757246342">
          <w:marLeft w:val="0"/>
          <w:marRight w:val="0"/>
          <w:marTop w:val="0"/>
          <w:marBottom w:val="0"/>
          <w:divBdr>
            <w:top w:val="none" w:sz="0" w:space="0" w:color="auto"/>
            <w:left w:val="none" w:sz="0" w:space="0" w:color="auto"/>
            <w:bottom w:val="none" w:sz="0" w:space="0" w:color="auto"/>
            <w:right w:val="none" w:sz="0" w:space="0" w:color="auto"/>
          </w:divBdr>
          <w:divsChild>
            <w:div w:id="854684452">
              <w:marLeft w:val="0"/>
              <w:marRight w:val="0"/>
              <w:marTop w:val="0"/>
              <w:marBottom w:val="0"/>
              <w:divBdr>
                <w:top w:val="none" w:sz="0" w:space="0" w:color="auto"/>
                <w:left w:val="none" w:sz="0" w:space="0" w:color="auto"/>
                <w:bottom w:val="none" w:sz="0" w:space="0" w:color="auto"/>
                <w:right w:val="none" w:sz="0" w:space="0" w:color="auto"/>
              </w:divBdr>
              <w:divsChild>
                <w:div w:id="1818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3268">
      <w:bodyDiv w:val="1"/>
      <w:marLeft w:val="0"/>
      <w:marRight w:val="0"/>
      <w:marTop w:val="0"/>
      <w:marBottom w:val="0"/>
      <w:divBdr>
        <w:top w:val="none" w:sz="0" w:space="0" w:color="auto"/>
        <w:left w:val="none" w:sz="0" w:space="0" w:color="auto"/>
        <w:bottom w:val="none" w:sz="0" w:space="0" w:color="auto"/>
        <w:right w:val="none" w:sz="0" w:space="0" w:color="auto"/>
      </w:divBdr>
    </w:div>
    <w:div w:id="499392140">
      <w:bodyDiv w:val="1"/>
      <w:marLeft w:val="0"/>
      <w:marRight w:val="0"/>
      <w:marTop w:val="0"/>
      <w:marBottom w:val="0"/>
      <w:divBdr>
        <w:top w:val="none" w:sz="0" w:space="0" w:color="auto"/>
        <w:left w:val="none" w:sz="0" w:space="0" w:color="auto"/>
        <w:bottom w:val="none" w:sz="0" w:space="0" w:color="auto"/>
        <w:right w:val="none" w:sz="0" w:space="0" w:color="auto"/>
      </w:divBdr>
    </w:div>
    <w:div w:id="510293914">
      <w:bodyDiv w:val="1"/>
      <w:marLeft w:val="0"/>
      <w:marRight w:val="0"/>
      <w:marTop w:val="0"/>
      <w:marBottom w:val="0"/>
      <w:divBdr>
        <w:top w:val="none" w:sz="0" w:space="0" w:color="auto"/>
        <w:left w:val="none" w:sz="0" w:space="0" w:color="auto"/>
        <w:bottom w:val="none" w:sz="0" w:space="0" w:color="auto"/>
        <w:right w:val="none" w:sz="0" w:space="0" w:color="auto"/>
      </w:divBdr>
    </w:div>
    <w:div w:id="657271796">
      <w:bodyDiv w:val="1"/>
      <w:marLeft w:val="0"/>
      <w:marRight w:val="0"/>
      <w:marTop w:val="0"/>
      <w:marBottom w:val="0"/>
      <w:divBdr>
        <w:top w:val="none" w:sz="0" w:space="0" w:color="auto"/>
        <w:left w:val="none" w:sz="0" w:space="0" w:color="auto"/>
        <w:bottom w:val="none" w:sz="0" w:space="0" w:color="auto"/>
        <w:right w:val="none" w:sz="0" w:space="0" w:color="auto"/>
      </w:divBdr>
    </w:div>
    <w:div w:id="812719481">
      <w:bodyDiv w:val="1"/>
      <w:marLeft w:val="0"/>
      <w:marRight w:val="0"/>
      <w:marTop w:val="0"/>
      <w:marBottom w:val="0"/>
      <w:divBdr>
        <w:top w:val="none" w:sz="0" w:space="0" w:color="auto"/>
        <w:left w:val="none" w:sz="0" w:space="0" w:color="auto"/>
        <w:bottom w:val="none" w:sz="0" w:space="0" w:color="auto"/>
        <w:right w:val="none" w:sz="0" w:space="0" w:color="auto"/>
      </w:divBdr>
    </w:div>
    <w:div w:id="962150159">
      <w:bodyDiv w:val="1"/>
      <w:marLeft w:val="0"/>
      <w:marRight w:val="0"/>
      <w:marTop w:val="0"/>
      <w:marBottom w:val="0"/>
      <w:divBdr>
        <w:top w:val="none" w:sz="0" w:space="0" w:color="auto"/>
        <w:left w:val="none" w:sz="0" w:space="0" w:color="auto"/>
        <w:bottom w:val="none" w:sz="0" w:space="0" w:color="auto"/>
        <w:right w:val="none" w:sz="0" w:space="0" w:color="auto"/>
      </w:divBdr>
    </w:div>
    <w:div w:id="1314987189">
      <w:bodyDiv w:val="1"/>
      <w:marLeft w:val="0"/>
      <w:marRight w:val="0"/>
      <w:marTop w:val="0"/>
      <w:marBottom w:val="0"/>
      <w:divBdr>
        <w:top w:val="none" w:sz="0" w:space="0" w:color="auto"/>
        <w:left w:val="none" w:sz="0" w:space="0" w:color="auto"/>
        <w:bottom w:val="none" w:sz="0" w:space="0" w:color="auto"/>
        <w:right w:val="none" w:sz="0" w:space="0" w:color="auto"/>
      </w:divBdr>
    </w:div>
    <w:div w:id="1461724920">
      <w:bodyDiv w:val="1"/>
      <w:marLeft w:val="0"/>
      <w:marRight w:val="0"/>
      <w:marTop w:val="0"/>
      <w:marBottom w:val="0"/>
      <w:divBdr>
        <w:top w:val="none" w:sz="0" w:space="0" w:color="auto"/>
        <w:left w:val="none" w:sz="0" w:space="0" w:color="auto"/>
        <w:bottom w:val="none" w:sz="0" w:space="0" w:color="auto"/>
        <w:right w:val="none" w:sz="0" w:space="0" w:color="auto"/>
      </w:divBdr>
    </w:div>
    <w:div w:id="1881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B3BDAF5-196B-4347-AACE-ED1455E4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3326</Words>
  <Characters>22623</Characters>
  <Application>Microsoft Office Word</Application>
  <DocSecurity>0</DocSecurity>
  <Lines>538</Lines>
  <Paragraphs>229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Wilczynski</cp:lastModifiedBy>
  <cp:revision>8</cp:revision>
  <dcterms:created xsi:type="dcterms:W3CDTF">2025-08-05T18:20:00Z</dcterms:created>
  <dcterms:modified xsi:type="dcterms:W3CDTF">2025-10-03T10:07:00Z</dcterms:modified>
</cp:coreProperties>
</file>