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jc w:val="center"/>
      </w:pPr>
      <w:r>
        <w:rPr>
          <w:rFonts w:ascii="Arial" w:cs="Arial" w:eastAsia="Arial" w:hAnsi="Arial"/>
          <w:b/>
          <w:bCs/>
          <w:color w:val="1B4F72"/>
          <w:sz w:val="40"/>
          <w:szCs w:val="40"/>
        </w:rPr>
        <w:t xml:space="preserve">PRIVACY POLICY</w:t>
      </w:r>
    </w:p>
    <w:p>
      <w:pPr>
        <w:spacing w:after="80"/>
        <w:jc w:val="center"/>
      </w:pPr>
      <w:r>
        <w:rPr>
          <w:rFonts w:ascii="Arial" w:cs="Arial" w:eastAsia="Arial" w:hAnsi="Arial"/>
          <w:color w:val="333333"/>
          <w:sz w:val="28"/>
          <w:szCs w:val="28"/>
        </w:rPr>
        <w:t xml:space="preserve">Fortio Global Limited</w:t>
      </w:r>
    </w:p>
    <w:p>
      <w:pPr>
        <w:spacing w:after="400"/>
        <w:jc w:val="center"/>
      </w:pPr>
      <w:r>
        <w:rPr>
          <w:rFonts w:ascii="Arial" w:cs="Arial" w:eastAsia="Arial" w:hAnsi="Arial"/>
          <w:i/>
          <w:iCs/>
          <w:color w:val="666666"/>
          <w:sz w:val="20"/>
          <w:szCs w:val="20"/>
        </w:rPr>
        <w:t xml:space="preserve">Effective Date: 19 February 2026</w:t>
      </w:r>
    </w:p>
    <w:p>
      <w:pPr>
        <w:pStyle w:val="Heading1"/>
        <w:spacing w:before="360" w:after="200"/>
      </w:pPr>
      <w:r>
        <w:rPr>
          <w:rFonts w:ascii="Arial" w:cs="Arial" w:eastAsia="Arial" w:hAnsi="Arial"/>
          <w:b/>
          <w:bCs/>
          <w:color w:val="1B4F72"/>
          <w:sz w:val="28"/>
          <w:szCs w:val="28"/>
        </w:rPr>
        <w:t xml:space="preserve">1. Introduction</w:t>
      </w:r>
    </w:p>
    <w:p>
      <w:pPr>
        <w:spacing w:after="160"/>
        <w:jc w:val="both"/>
      </w:pPr>
      <w:r>
        <w:rPr>
          <w:rFonts w:ascii="Arial" w:cs="Arial" w:eastAsia="Arial" w:hAnsi="Arial"/>
          <w:sz w:val="21"/>
          <w:szCs w:val="21"/>
        </w:rPr>
        <w:t xml:space="preserve">Fortio Global Limited (“Fortio”, “we”, “us”, or “our”) is a Hong Kong–registered company providing freight forwarding, logistics, supply chain management, and related services to clients worldwide. We are committed to protecting and respecting the privacy of every individual whose personal data we process.</w:t>
      </w:r>
    </w:p>
    <w:p>
      <w:pPr>
        <w:spacing w:after="160"/>
        <w:jc w:val="both"/>
      </w:pPr>
      <w:r>
        <w:rPr>
          <w:rFonts w:ascii="Arial" w:cs="Arial" w:eastAsia="Arial" w:hAnsi="Arial"/>
          <w:sz w:val="21"/>
          <w:szCs w:val="21"/>
        </w:rPr>
        <w:t xml:space="preserve">This Privacy Policy explains how we collect, use, store, share, and protect personal data in connection with our services, our website, and our business operations. It applies to our customers, suppliers, business partners, website visitors, and any other individuals whose personal data we handle.</w:t>
      </w:r>
    </w:p>
    <w:p>
      <w:pPr>
        <w:pStyle w:val="Heading1"/>
        <w:spacing w:before="360" w:after="200"/>
      </w:pPr>
      <w:r>
        <w:rPr>
          <w:rFonts w:ascii="Arial" w:cs="Arial" w:eastAsia="Arial" w:hAnsi="Arial"/>
          <w:b/>
          <w:bCs/>
          <w:color w:val="1B4F72"/>
          <w:sz w:val="28"/>
          <w:szCs w:val="28"/>
        </w:rPr>
        <w:t xml:space="preserve">2. Data Controller</w:t>
      </w:r>
    </w:p>
    <w:p>
      <w:pPr>
        <w:spacing w:after="160"/>
        <w:jc w:val="both"/>
      </w:pPr>
      <w:r>
        <w:rPr>
          <w:rFonts w:ascii="Arial" w:cs="Arial" w:eastAsia="Arial" w:hAnsi="Arial"/>
          <w:sz w:val="21"/>
          <w:szCs w:val="21"/>
        </w:rPr>
        <w:t xml:space="preserve">Fortio Global Limited is the data controller responsible for your personal data. If you have any questions about this Privacy Policy or our data practices, you may contact us at:</w:t>
      </w:r>
    </w:p>
    <w:p>
      <w:pPr>
        <w:spacing w:after="160"/>
        <w:jc w:val="both"/>
      </w:pPr>
      <w:r>
        <w:rPr>
          <w:rFonts w:ascii="Arial" w:cs="Arial" w:eastAsia="Arial" w:hAnsi="Arial"/>
          <w:b/>
          <w:bCs/>
          <w:sz w:val="21"/>
          <w:szCs w:val="21"/>
        </w:rPr>
        <w:t xml:space="preserve">Company: </w:t>
      </w:r>
      <w:r>
        <w:rPr>
          <w:rFonts w:ascii="Arial" w:cs="Arial" w:eastAsia="Arial" w:hAnsi="Arial"/>
          <w:sz w:val="21"/>
          <w:szCs w:val="21"/>
        </w:rPr>
        <w:t xml:space="preserve">Fortio Global Limited</w:t>
      </w:r>
    </w:p>
    <w:p>
      <w:pPr>
        <w:spacing w:after="160"/>
        <w:jc w:val="both"/>
      </w:pPr>
      <w:r>
        <w:rPr>
          <w:rFonts w:ascii="Arial" w:cs="Arial" w:eastAsia="Arial" w:hAnsi="Arial"/>
          <w:b/>
          <w:bCs/>
          <w:sz w:val="21"/>
          <w:szCs w:val="21"/>
        </w:rPr>
        <w:t xml:space="preserve">Registered Address: </w:t>
      </w:r>
      <w:r>
        <w:rPr>
          <w:rFonts w:ascii="Arial" w:cs="Arial" w:eastAsia="Arial" w:hAnsi="Arial"/>
          <w:sz w:val="21"/>
          <w:szCs w:val="21"/>
        </w:rPr>
        <w:t xml:space="preserve">[Insert Registered Address, Hong Kong]</w:t>
      </w:r>
    </w:p>
    <w:p>
      <w:pPr>
        <w:spacing w:after="160"/>
        <w:jc w:val="both"/>
      </w:pPr>
      <w:r>
        <w:rPr>
          <w:rFonts w:ascii="Arial" w:cs="Arial" w:eastAsia="Arial" w:hAnsi="Arial"/>
          <w:b/>
          <w:bCs/>
          <w:sz w:val="21"/>
          <w:szCs w:val="21"/>
        </w:rPr>
        <w:t xml:space="preserve">Email: </w:t>
      </w:r>
      <w:r>
        <w:rPr>
          <w:rFonts w:ascii="Arial" w:cs="Arial" w:eastAsia="Arial" w:hAnsi="Arial"/>
          <w:sz w:val="21"/>
          <w:szCs w:val="21"/>
        </w:rPr>
        <w:t xml:space="preserve">[Insert Privacy Contact Email]</w:t>
      </w:r>
    </w:p>
    <w:p>
      <w:pPr>
        <w:spacing w:after="160"/>
        <w:jc w:val="both"/>
      </w:pPr>
      <w:r>
        <w:rPr>
          <w:rFonts w:ascii="Arial" w:cs="Arial" w:eastAsia="Arial" w:hAnsi="Arial"/>
          <w:b/>
          <w:bCs/>
          <w:sz w:val="21"/>
          <w:szCs w:val="21"/>
        </w:rPr>
        <w:t xml:space="preserve">Telephone: </w:t>
      </w:r>
      <w:r>
        <w:rPr>
          <w:rFonts w:ascii="Arial" w:cs="Arial" w:eastAsia="Arial" w:hAnsi="Arial"/>
          <w:sz w:val="21"/>
          <w:szCs w:val="21"/>
        </w:rPr>
        <w:t xml:space="preserve">[Insert Contact Number]</w:t>
      </w:r>
    </w:p>
    <w:p>
      <w:pPr>
        <w:pStyle w:val="Heading1"/>
        <w:spacing w:before="360" w:after="200"/>
      </w:pPr>
      <w:r>
        <w:rPr>
          <w:rFonts w:ascii="Arial" w:cs="Arial" w:eastAsia="Arial" w:hAnsi="Arial"/>
          <w:b/>
          <w:bCs/>
          <w:color w:val="1B4F72"/>
          <w:sz w:val="28"/>
          <w:szCs w:val="28"/>
        </w:rPr>
        <w:t xml:space="preserve">3. Personal Data We Collect</w:t>
      </w:r>
    </w:p>
    <w:p>
      <w:pPr>
        <w:spacing w:after="160"/>
        <w:jc w:val="both"/>
      </w:pPr>
      <w:r>
        <w:rPr>
          <w:rFonts w:ascii="Arial" w:cs="Arial" w:eastAsia="Arial" w:hAnsi="Arial"/>
          <w:sz w:val="21"/>
          <w:szCs w:val="21"/>
        </w:rPr>
        <w:t xml:space="preserve">We may collect and process the following categories of personal data, depending on the nature of your relationship with us:</w:t>
      </w:r>
    </w:p>
    <w:p>
      <w:pPr>
        <w:pStyle w:val="Heading2"/>
        <w:spacing w:before="280" w:after="160"/>
      </w:pPr>
      <w:r>
        <w:rPr>
          <w:rFonts w:ascii="Arial" w:cs="Arial" w:eastAsia="Arial" w:hAnsi="Arial"/>
          <w:b/>
          <w:bCs/>
          <w:color w:val="1B4F72"/>
          <w:sz w:val="24"/>
          <w:szCs w:val="24"/>
        </w:rPr>
        <w:t xml:space="preserve">3.1 Customer and Business Partner Data</w:t>
      </w:r>
    </w:p>
    <w:p>
      <w:pPr>
        <w:pStyle w:val="ListParagraph"/>
        <w:numPr>
          <w:ilvl w:val="0"/>
          <w:numId w:val="2"/>
        </w:numPr>
        <w:spacing w:after="80"/>
      </w:pPr>
      <w:r>
        <w:rPr>
          <w:rFonts w:ascii="Arial" w:cs="Arial" w:eastAsia="Arial" w:hAnsi="Arial"/>
          <w:sz w:val="21"/>
          <w:szCs w:val="21"/>
        </w:rPr>
        <w:t xml:space="preserve">Full name, job title, and company name</w:t>
      </w:r>
    </w:p>
    <w:p>
      <w:pPr>
        <w:pStyle w:val="ListParagraph"/>
        <w:numPr>
          <w:ilvl w:val="0"/>
          <w:numId w:val="2"/>
        </w:numPr>
        <w:spacing w:after="80"/>
      </w:pPr>
      <w:r>
        <w:rPr>
          <w:rFonts w:ascii="Arial" w:cs="Arial" w:eastAsia="Arial" w:hAnsi="Arial"/>
          <w:sz w:val="21"/>
          <w:szCs w:val="21"/>
        </w:rPr>
        <w:t xml:space="preserve">Contact details including email address, telephone number, and postal address</w:t>
      </w:r>
    </w:p>
    <w:p>
      <w:pPr>
        <w:pStyle w:val="ListParagraph"/>
        <w:numPr>
          <w:ilvl w:val="0"/>
          <w:numId w:val="2"/>
        </w:numPr>
        <w:spacing w:after="80"/>
      </w:pPr>
      <w:r>
        <w:rPr>
          <w:rFonts w:ascii="Arial" w:cs="Arial" w:eastAsia="Arial" w:hAnsi="Arial"/>
          <w:sz w:val="21"/>
          <w:szCs w:val="21"/>
        </w:rPr>
        <w:t xml:space="preserve">Shipping and delivery information such as consignee details, origin and destination addresses, and cargo descriptions</w:t>
      </w:r>
    </w:p>
    <w:p>
      <w:pPr>
        <w:pStyle w:val="ListParagraph"/>
        <w:numPr>
          <w:ilvl w:val="0"/>
          <w:numId w:val="2"/>
        </w:numPr>
        <w:spacing w:after="80"/>
      </w:pPr>
      <w:r>
        <w:rPr>
          <w:rFonts w:ascii="Arial" w:cs="Arial" w:eastAsia="Arial" w:hAnsi="Arial"/>
          <w:sz w:val="21"/>
          <w:szCs w:val="21"/>
        </w:rPr>
        <w:t xml:space="preserve">Trade and customs documentation including bills of lading, commercial invoices, and packing lists</w:t>
      </w:r>
    </w:p>
    <w:p>
      <w:pPr>
        <w:pStyle w:val="ListParagraph"/>
        <w:numPr>
          <w:ilvl w:val="0"/>
          <w:numId w:val="2"/>
        </w:numPr>
        <w:spacing w:after="80"/>
      </w:pPr>
      <w:r>
        <w:rPr>
          <w:rFonts w:ascii="Arial" w:cs="Arial" w:eastAsia="Arial" w:hAnsi="Arial"/>
          <w:sz w:val="21"/>
          <w:szCs w:val="21"/>
        </w:rPr>
        <w:t xml:space="preserve">Payment and billing information such as bank account details and credit terms</w:t>
      </w:r>
    </w:p>
    <w:p>
      <w:pPr>
        <w:pStyle w:val="ListParagraph"/>
        <w:numPr>
          <w:ilvl w:val="0"/>
          <w:numId w:val="2"/>
        </w:numPr>
        <w:spacing w:after="80"/>
      </w:pPr>
      <w:r>
        <w:rPr>
          <w:rFonts w:ascii="Arial" w:cs="Arial" w:eastAsia="Arial" w:hAnsi="Arial"/>
          <w:sz w:val="21"/>
          <w:szCs w:val="21"/>
        </w:rPr>
        <w:t xml:space="preserve">Identification documents where required for customs or regulatory compliance such as passport copies, business registration details, and tax identification numbers</w:t>
      </w:r>
    </w:p>
    <w:p>
      <w:pPr>
        <w:pStyle w:val="Heading2"/>
        <w:spacing w:before="280" w:after="160"/>
      </w:pPr>
      <w:r>
        <w:rPr>
          <w:rFonts w:ascii="Arial" w:cs="Arial" w:eastAsia="Arial" w:hAnsi="Arial"/>
          <w:b/>
          <w:bCs/>
          <w:color w:val="1B4F72"/>
          <w:sz w:val="24"/>
          <w:szCs w:val="24"/>
        </w:rPr>
        <w:t xml:space="preserve">3.2 Website and Digital Data</w:t>
      </w:r>
    </w:p>
    <w:p>
      <w:pPr>
        <w:pStyle w:val="ListParagraph"/>
        <w:numPr>
          <w:ilvl w:val="0"/>
          <w:numId w:val="2"/>
        </w:numPr>
        <w:spacing w:after="80"/>
      </w:pPr>
      <w:r>
        <w:rPr>
          <w:rFonts w:ascii="Arial" w:cs="Arial" w:eastAsia="Arial" w:hAnsi="Arial"/>
          <w:sz w:val="21"/>
          <w:szCs w:val="21"/>
        </w:rPr>
        <w:t xml:space="preserve">IP address, browser type, device information, and operating system</w:t>
      </w:r>
    </w:p>
    <w:p>
      <w:pPr>
        <w:pStyle w:val="ListParagraph"/>
        <w:numPr>
          <w:ilvl w:val="0"/>
          <w:numId w:val="2"/>
        </w:numPr>
        <w:spacing w:after="80"/>
      </w:pPr>
      <w:r>
        <w:rPr>
          <w:rFonts w:ascii="Arial" w:cs="Arial" w:eastAsia="Arial" w:hAnsi="Arial"/>
          <w:sz w:val="21"/>
          <w:szCs w:val="21"/>
        </w:rPr>
        <w:t xml:space="preserve">Pages visited, time spent on pages, and referral sources</w:t>
      </w:r>
    </w:p>
    <w:p>
      <w:pPr>
        <w:pStyle w:val="ListParagraph"/>
        <w:numPr>
          <w:ilvl w:val="0"/>
          <w:numId w:val="2"/>
        </w:numPr>
        <w:spacing w:after="80"/>
      </w:pPr>
      <w:r>
        <w:rPr>
          <w:rFonts w:ascii="Arial" w:cs="Arial" w:eastAsia="Arial" w:hAnsi="Arial"/>
          <w:sz w:val="21"/>
          <w:szCs w:val="21"/>
        </w:rPr>
        <w:t xml:space="preserve">Cookies and similar tracking technologies as described in our Cookie Policy</w:t>
      </w:r>
    </w:p>
    <w:p>
      <w:pPr>
        <w:pStyle w:val="Heading2"/>
        <w:spacing w:before="280" w:after="160"/>
      </w:pPr>
      <w:r>
        <w:rPr>
          <w:rFonts w:ascii="Arial" w:cs="Arial" w:eastAsia="Arial" w:hAnsi="Arial"/>
          <w:b/>
          <w:bCs/>
          <w:color w:val="1B4F72"/>
          <w:sz w:val="24"/>
          <w:szCs w:val="24"/>
        </w:rPr>
        <w:t xml:space="preserve">3.3 Employee and Contractor Data</w:t>
      </w:r>
    </w:p>
    <w:p>
      <w:pPr>
        <w:pStyle w:val="ListParagraph"/>
        <w:numPr>
          <w:ilvl w:val="0"/>
          <w:numId w:val="2"/>
        </w:numPr>
        <w:spacing w:after="80"/>
      </w:pPr>
      <w:r>
        <w:rPr>
          <w:rFonts w:ascii="Arial" w:cs="Arial" w:eastAsia="Arial" w:hAnsi="Arial"/>
          <w:sz w:val="21"/>
          <w:szCs w:val="21"/>
        </w:rPr>
        <w:t xml:space="preserve">Personal identification and contact information</w:t>
      </w:r>
    </w:p>
    <w:p>
      <w:pPr>
        <w:pStyle w:val="ListParagraph"/>
        <w:numPr>
          <w:ilvl w:val="0"/>
          <w:numId w:val="2"/>
        </w:numPr>
        <w:spacing w:after="80"/>
      </w:pPr>
      <w:r>
        <w:rPr>
          <w:rFonts w:ascii="Arial" w:cs="Arial" w:eastAsia="Arial" w:hAnsi="Arial"/>
          <w:sz w:val="21"/>
          <w:szCs w:val="21"/>
        </w:rPr>
        <w:t xml:space="preserve">Employment records, qualifications, and professional certifications</w:t>
      </w:r>
    </w:p>
    <w:p>
      <w:pPr>
        <w:pStyle w:val="ListParagraph"/>
        <w:numPr>
          <w:ilvl w:val="0"/>
          <w:numId w:val="2"/>
        </w:numPr>
        <w:spacing w:after="80"/>
      </w:pPr>
      <w:r>
        <w:rPr>
          <w:rFonts w:ascii="Arial" w:cs="Arial" w:eastAsia="Arial" w:hAnsi="Arial"/>
          <w:sz w:val="21"/>
          <w:szCs w:val="21"/>
        </w:rPr>
        <w:t xml:space="preserve">Payroll and benefits information</w:t>
      </w:r>
    </w:p>
    <w:p>
      <w:pPr>
        <w:pStyle w:val="ListParagraph"/>
        <w:numPr>
          <w:ilvl w:val="0"/>
          <w:numId w:val="2"/>
        </w:numPr>
        <w:spacing w:after="80"/>
      </w:pPr>
      <w:r>
        <w:rPr>
          <w:rFonts w:ascii="Arial" w:cs="Arial" w:eastAsia="Arial" w:hAnsi="Arial"/>
          <w:sz w:val="21"/>
          <w:szCs w:val="21"/>
        </w:rPr>
        <w:t xml:space="preserve">Immigration and work permit documentation</w:t>
      </w:r>
    </w:p>
    <w:p>
      <w:pPr>
        <w:pStyle w:val="Heading2"/>
        <w:spacing w:before="280" w:after="160"/>
      </w:pPr>
      <w:r>
        <w:rPr>
          <w:rFonts w:ascii="Arial" w:cs="Arial" w:eastAsia="Arial" w:hAnsi="Arial"/>
          <w:b/>
          <w:bCs/>
          <w:color w:val="1B4F72"/>
          <w:sz w:val="24"/>
          <w:szCs w:val="24"/>
        </w:rPr>
        <w:t xml:space="preserve">3.4 Supplier and Vendor Data</w:t>
      </w:r>
    </w:p>
    <w:p>
      <w:pPr>
        <w:pStyle w:val="ListParagraph"/>
        <w:numPr>
          <w:ilvl w:val="0"/>
          <w:numId w:val="2"/>
        </w:numPr>
        <w:spacing w:after="80"/>
      </w:pPr>
      <w:r>
        <w:rPr>
          <w:rFonts w:ascii="Arial" w:cs="Arial" w:eastAsia="Arial" w:hAnsi="Arial"/>
          <w:sz w:val="21"/>
          <w:szCs w:val="21"/>
        </w:rPr>
        <w:t xml:space="preserve">Contact details and company information</w:t>
      </w:r>
    </w:p>
    <w:p>
      <w:pPr>
        <w:pStyle w:val="ListParagraph"/>
        <w:numPr>
          <w:ilvl w:val="0"/>
          <w:numId w:val="2"/>
        </w:numPr>
        <w:spacing w:after="80"/>
      </w:pPr>
      <w:r>
        <w:rPr>
          <w:rFonts w:ascii="Arial" w:cs="Arial" w:eastAsia="Arial" w:hAnsi="Arial"/>
          <w:sz w:val="21"/>
          <w:szCs w:val="21"/>
        </w:rPr>
        <w:t xml:space="preserve">Banking and payment details</w:t>
      </w:r>
    </w:p>
    <w:p>
      <w:pPr>
        <w:pStyle w:val="ListParagraph"/>
        <w:numPr>
          <w:ilvl w:val="0"/>
          <w:numId w:val="2"/>
        </w:numPr>
        <w:spacing w:after="80"/>
      </w:pPr>
      <w:r>
        <w:rPr>
          <w:rFonts w:ascii="Arial" w:cs="Arial" w:eastAsia="Arial" w:hAnsi="Arial"/>
          <w:sz w:val="21"/>
          <w:szCs w:val="21"/>
        </w:rPr>
        <w:t xml:space="preserve">Contractual and performance records</w:t>
      </w:r>
    </w:p>
    <w:p>
      <w:pPr>
        <w:pStyle w:val="Heading1"/>
        <w:spacing w:before="360" w:after="200"/>
      </w:pPr>
      <w:r>
        <w:rPr>
          <w:rFonts w:ascii="Arial" w:cs="Arial" w:eastAsia="Arial" w:hAnsi="Arial"/>
          <w:b/>
          <w:bCs/>
          <w:color w:val="1B4F72"/>
          <w:sz w:val="28"/>
          <w:szCs w:val="28"/>
        </w:rPr>
        <w:t xml:space="preserve">4. How We Use Your Personal Data</w:t>
      </w:r>
    </w:p>
    <w:p>
      <w:pPr>
        <w:spacing w:after="160"/>
        <w:jc w:val="both"/>
      </w:pPr>
      <w:r>
        <w:rPr>
          <w:rFonts w:ascii="Arial" w:cs="Arial" w:eastAsia="Arial" w:hAnsi="Arial"/>
          <w:sz w:val="21"/>
          <w:szCs w:val="21"/>
        </w:rPr>
        <w:t xml:space="preserve">We process personal data for the following purposes:</w:t>
      </w:r>
    </w:p>
    <w:p>
      <w:pPr>
        <w:pStyle w:val="ListParagraph"/>
        <w:numPr>
          <w:ilvl w:val="0"/>
          <w:numId w:val="2"/>
        </w:numPr>
        <w:spacing w:after="80"/>
      </w:pPr>
      <w:r>
        <w:rPr>
          <w:rFonts w:ascii="Arial" w:cs="Arial" w:eastAsia="Arial" w:hAnsi="Arial"/>
          <w:sz w:val="21"/>
          <w:szCs w:val="21"/>
        </w:rPr>
        <w:t xml:space="preserve">Providing freight forwarding, logistics, customs brokerage, warehousing, and related services</w:t>
      </w:r>
    </w:p>
    <w:p>
      <w:pPr>
        <w:pStyle w:val="ListParagraph"/>
        <w:numPr>
          <w:ilvl w:val="0"/>
          <w:numId w:val="2"/>
        </w:numPr>
        <w:spacing w:after="80"/>
      </w:pPr>
      <w:r>
        <w:rPr>
          <w:rFonts w:ascii="Arial" w:cs="Arial" w:eastAsia="Arial" w:hAnsi="Arial"/>
          <w:sz w:val="21"/>
          <w:szCs w:val="21"/>
        </w:rPr>
        <w:t xml:space="preserve">Processing shipments, bookings, and transport documentation</w:t>
      </w:r>
    </w:p>
    <w:p>
      <w:pPr>
        <w:pStyle w:val="ListParagraph"/>
        <w:numPr>
          <w:ilvl w:val="0"/>
          <w:numId w:val="2"/>
        </w:numPr>
        <w:spacing w:after="80"/>
      </w:pPr>
      <w:r>
        <w:rPr>
          <w:rFonts w:ascii="Arial" w:cs="Arial" w:eastAsia="Arial" w:hAnsi="Arial"/>
          <w:sz w:val="21"/>
          <w:szCs w:val="21"/>
        </w:rPr>
        <w:t xml:space="preserve">Complying with customs, trade, and regulatory requirements in applicable jurisdictions</w:t>
      </w:r>
    </w:p>
    <w:p>
      <w:pPr>
        <w:pStyle w:val="ListParagraph"/>
        <w:numPr>
          <w:ilvl w:val="0"/>
          <w:numId w:val="2"/>
        </w:numPr>
        <w:spacing w:after="80"/>
      </w:pPr>
      <w:r>
        <w:rPr>
          <w:rFonts w:ascii="Arial" w:cs="Arial" w:eastAsia="Arial" w:hAnsi="Arial"/>
          <w:sz w:val="21"/>
          <w:szCs w:val="21"/>
        </w:rPr>
        <w:t xml:space="preserve">Managing commercial relationships including invoicing, payment processing, and credit management</w:t>
      </w:r>
    </w:p>
    <w:p>
      <w:pPr>
        <w:pStyle w:val="ListParagraph"/>
        <w:numPr>
          <w:ilvl w:val="0"/>
          <w:numId w:val="2"/>
        </w:numPr>
        <w:spacing w:after="80"/>
      </w:pPr>
      <w:r>
        <w:rPr>
          <w:rFonts w:ascii="Arial" w:cs="Arial" w:eastAsia="Arial" w:hAnsi="Arial"/>
          <w:sz w:val="21"/>
          <w:szCs w:val="21"/>
        </w:rPr>
        <w:t xml:space="preserve">Communicating with you about services, shipment status, and operational matters</w:t>
      </w:r>
    </w:p>
    <w:p>
      <w:pPr>
        <w:pStyle w:val="ListParagraph"/>
        <w:numPr>
          <w:ilvl w:val="0"/>
          <w:numId w:val="2"/>
        </w:numPr>
        <w:spacing w:after="80"/>
      </w:pPr>
      <w:r>
        <w:rPr>
          <w:rFonts w:ascii="Arial" w:cs="Arial" w:eastAsia="Arial" w:hAnsi="Arial"/>
          <w:sz w:val="21"/>
          <w:szCs w:val="21"/>
        </w:rPr>
        <w:t xml:space="preserve">Maintaining the security and functionality of our website and IT systems</w:t>
      </w:r>
    </w:p>
    <w:p>
      <w:pPr>
        <w:pStyle w:val="ListParagraph"/>
        <w:numPr>
          <w:ilvl w:val="0"/>
          <w:numId w:val="2"/>
        </w:numPr>
        <w:spacing w:after="80"/>
      </w:pPr>
      <w:r>
        <w:rPr>
          <w:rFonts w:ascii="Arial" w:cs="Arial" w:eastAsia="Arial" w:hAnsi="Arial"/>
          <w:sz w:val="21"/>
          <w:szCs w:val="21"/>
        </w:rPr>
        <w:t xml:space="preserve">Fulfilling our legal and regulatory obligations, including sanctions screening and anti-money laundering checks</w:t>
      </w:r>
    </w:p>
    <w:p>
      <w:pPr>
        <w:pStyle w:val="ListParagraph"/>
        <w:numPr>
          <w:ilvl w:val="0"/>
          <w:numId w:val="2"/>
        </w:numPr>
        <w:spacing w:after="80"/>
      </w:pPr>
      <w:r>
        <w:rPr>
          <w:rFonts w:ascii="Arial" w:cs="Arial" w:eastAsia="Arial" w:hAnsi="Arial"/>
          <w:sz w:val="21"/>
          <w:szCs w:val="21"/>
        </w:rPr>
        <w:t xml:space="preserve">Conducting internal audits, risk management, and quality assurance</w:t>
      </w:r>
    </w:p>
    <w:p>
      <w:pPr>
        <w:pStyle w:val="ListParagraph"/>
        <w:numPr>
          <w:ilvl w:val="0"/>
          <w:numId w:val="2"/>
        </w:numPr>
        <w:spacing w:after="80"/>
      </w:pPr>
      <w:r>
        <w:rPr>
          <w:rFonts w:ascii="Arial" w:cs="Arial" w:eastAsia="Arial" w:hAnsi="Arial"/>
          <w:sz w:val="21"/>
          <w:szCs w:val="21"/>
        </w:rPr>
        <w:t xml:space="preserve">Marketing and business development activities where you have provided consent or where we have a legitimate interest</w:t>
      </w:r>
    </w:p>
    <w:p>
      <w:pPr>
        <w:pStyle w:val="Heading1"/>
        <w:spacing w:before="360" w:after="200"/>
      </w:pPr>
      <w:r>
        <w:rPr>
          <w:rFonts w:ascii="Arial" w:cs="Arial" w:eastAsia="Arial" w:hAnsi="Arial"/>
          <w:b/>
          <w:bCs/>
          <w:color w:val="1B4F72"/>
          <w:sz w:val="28"/>
          <w:szCs w:val="28"/>
        </w:rPr>
        <w:t xml:space="preserve">5. Legal Basis for Processing</w:t>
      </w:r>
    </w:p>
    <w:p>
      <w:pPr>
        <w:spacing w:after="160"/>
        <w:jc w:val="both"/>
      </w:pPr>
      <w:r>
        <w:rPr>
          <w:rFonts w:ascii="Arial" w:cs="Arial" w:eastAsia="Arial" w:hAnsi="Arial"/>
          <w:sz w:val="21"/>
          <w:szCs w:val="21"/>
        </w:rPr>
        <w:t xml:space="preserve">We process personal data on the following legal bases, as applicable under the laws of Hong Kong and other relevant jurisdictions:</w:t>
      </w:r>
    </w:p>
    <w:p>
      <w:pPr>
        <w:pStyle w:val="ListParagraph"/>
        <w:numPr>
          <w:ilvl w:val="0"/>
          <w:numId w:val="2"/>
        </w:numPr>
        <w:spacing w:after="80"/>
      </w:pPr>
      <w:r>
        <w:rPr>
          <w:rFonts w:ascii="Arial" w:cs="Arial" w:eastAsia="Arial" w:hAnsi="Arial"/>
          <w:b/>
          <w:bCs/>
          <w:sz w:val="21"/>
          <w:szCs w:val="21"/>
        </w:rPr>
        <w:t xml:space="preserve">Contractual necessity: </w:t>
      </w:r>
      <w:r>
        <w:rPr>
          <w:rFonts w:ascii="Arial" w:cs="Arial" w:eastAsia="Arial" w:hAnsi="Arial"/>
          <w:sz w:val="21"/>
          <w:szCs w:val="21"/>
        </w:rPr>
        <w:t xml:space="preserve">Processing is necessary for the performance of a contract to which you are a party or to take steps at your request prior to entering a contract.</w:t>
      </w:r>
    </w:p>
    <w:p>
      <w:pPr>
        <w:pStyle w:val="ListParagraph"/>
        <w:numPr>
          <w:ilvl w:val="0"/>
          <w:numId w:val="2"/>
        </w:numPr>
        <w:spacing w:after="80"/>
      </w:pPr>
      <w:r>
        <w:rPr>
          <w:rFonts w:ascii="Arial" w:cs="Arial" w:eastAsia="Arial" w:hAnsi="Arial"/>
          <w:b/>
          <w:bCs/>
          <w:sz w:val="21"/>
          <w:szCs w:val="21"/>
        </w:rPr>
        <w:t xml:space="preserve">Legal obligation: </w:t>
      </w:r>
      <w:r>
        <w:rPr>
          <w:rFonts w:ascii="Arial" w:cs="Arial" w:eastAsia="Arial" w:hAnsi="Arial"/>
          <w:sz w:val="21"/>
          <w:szCs w:val="21"/>
        </w:rPr>
        <w:t xml:space="preserve">Processing is necessary for compliance with a legal obligation to which we are subject, including customs, trade, tax, and sanctions laws.</w:t>
      </w:r>
    </w:p>
    <w:p>
      <w:pPr>
        <w:pStyle w:val="ListParagraph"/>
        <w:numPr>
          <w:ilvl w:val="0"/>
          <w:numId w:val="2"/>
        </w:numPr>
        <w:spacing w:after="80"/>
      </w:pPr>
      <w:r>
        <w:rPr>
          <w:rFonts w:ascii="Arial" w:cs="Arial" w:eastAsia="Arial" w:hAnsi="Arial"/>
          <w:b/>
          <w:bCs/>
          <w:sz w:val="21"/>
          <w:szCs w:val="21"/>
        </w:rPr>
        <w:t xml:space="preserve">Legitimate interests: </w:t>
      </w:r>
      <w:r>
        <w:rPr>
          <w:rFonts w:ascii="Arial" w:cs="Arial" w:eastAsia="Arial" w:hAnsi="Arial"/>
          <w:sz w:val="21"/>
          <w:szCs w:val="21"/>
        </w:rPr>
        <w:t xml:space="preserve">Processing is necessary for our legitimate business interests such as improving our services, preventing fraud, and managing our commercial relationships, provided such interests are not overridden by your rights.</w:t>
      </w:r>
    </w:p>
    <w:p>
      <w:pPr>
        <w:pStyle w:val="ListParagraph"/>
        <w:numPr>
          <w:ilvl w:val="0"/>
          <w:numId w:val="2"/>
        </w:numPr>
        <w:spacing w:after="80"/>
      </w:pPr>
      <w:r>
        <w:rPr>
          <w:rFonts w:ascii="Arial" w:cs="Arial" w:eastAsia="Arial" w:hAnsi="Arial"/>
          <w:b/>
          <w:bCs/>
          <w:sz w:val="21"/>
          <w:szCs w:val="21"/>
        </w:rPr>
        <w:t xml:space="preserve">Consent: </w:t>
      </w:r>
      <w:r>
        <w:rPr>
          <w:rFonts w:ascii="Arial" w:cs="Arial" w:eastAsia="Arial" w:hAnsi="Arial"/>
          <w:sz w:val="21"/>
          <w:szCs w:val="21"/>
        </w:rPr>
        <w:t xml:space="preserve">Where required by law, we will obtain your consent before processing your personal data for specific purposes such as direct marketing.</w:t>
      </w:r>
    </w:p>
    <w:p>
      <w:pPr>
        <w:pStyle w:val="Heading1"/>
        <w:spacing w:before="360" w:after="200"/>
      </w:pPr>
      <w:r>
        <w:rPr>
          <w:rFonts w:ascii="Arial" w:cs="Arial" w:eastAsia="Arial" w:hAnsi="Arial"/>
          <w:b/>
          <w:bCs/>
          <w:color w:val="1B4F72"/>
          <w:sz w:val="28"/>
          <w:szCs w:val="28"/>
        </w:rPr>
        <w:t xml:space="preserve">6. International Data Transfers</w:t>
      </w:r>
    </w:p>
    <w:p>
      <w:pPr>
        <w:spacing w:after="160"/>
        <w:jc w:val="both"/>
      </w:pPr>
      <w:r>
        <w:rPr>
          <w:rFonts w:ascii="Arial" w:cs="Arial" w:eastAsia="Arial" w:hAnsi="Arial"/>
          <w:sz w:val="21"/>
          <w:szCs w:val="21"/>
        </w:rPr>
        <w:t xml:space="preserve">As a global freight and logistics provider, we regularly transfer personal data across international borders in the course of our operations. Your personal data may be transferred to and processed in countries other than the country in which you are located, including but not limited to Hong Kong, mainland China, and other jurisdictions where our offices, agents, partners, carriers, and service providers operate.</w:t>
      </w:r>
    </w:p>
    <w:p>
      <w:pPr>
        <w:spacing w:after="160"/>
        <w:jc w:val="both"/>
      </w:pPr>
      <w:r>
        <w:rPr>
          <w:rFonts w:ascii="Arial" w:cs="Arial" w:eastAsia="Arial" w:hAnsi="Arial"/>
          <w:sz w:val="21"/>
          <w:szCs w:val="21"/>
        </w:rPr>
        <w:t xml:space="preserve">Where personal data is transferred outside of a jurisdiction that imposes data transfer restrictions such as the European Economic Area (EEA), the United Kingdom, or other regulated territories, we implement appropriate safeguards, which may include:</w:t>
      </w:r>
    </w:p>
    <w:p>
      <w:pPr>
        <w:pStyle w:val="ListParagraph"/>
        <w:numPr>
          <w:ilvl w:val="0"/>
          <w:numId w:val="2"/>
        </w:numPr>
        <w:spacing w:after="80"/>
      </w:pPr>
      <w:r>
        <w:rPr>
          <w:rFonts w:ascii="Arial" w:cs="Arial" w:eastAsia="Arial" w:hAnsi="Arial"/>
          <w:sz w:val="21"/>
          <w:szCs w:val="21"/>
        </w:rPr>
        <w:t xml:space="preserve">Standard Contractual Clauses approved by the European Commission or the UK Information Commissioner’s Office</w:t>
      </w:r>
    </w:p>
    <w:p>
      <w:pPr>
        <w:pStyle w:val="ListParagraph"/>
        <w:numPr>
          <w:ilvl w:val="0"/>
          <w:numId w:val="2"/>
        </w:numPr>
        <w:spacing w:after="80"/>
      </w:pPr>
      <w:r>
        <w:rPr>
          <w:rFonts w:ascii="Arial" w:cs="Arial" w:eastAsia="Arial" w:hAnsi="Arial"/>
          <w:sz w:val="21"/>
          <w:szCs w:val="21"/>
        </w:rPr>
        <w:t xml:space="preserve">Binding Corporate Rules where applicable</w:t>
      </w:r>
    </w:p>
    <w:p>
      <w:pPr>
        <w:pStyle w:val="ListParagraph"/>
        <w:numPr>
          <w:ilvl w:val="0"/>
          <w:numId w:val="2"/>
        </w:numPr>
        <w:spacing w:after="80"/>
      </w:pPr>
      <w:r>
        <w:rPr>
          <w:rFonts w:ascii="Arial" w:cs="Arial" w:eastAsia="Arial" w:hAnsi="Arial"/>
          <w:sz w:val="21"/>
          <w:szCs w:val="21"/>
        </w:rPr>
        <w:t xml:space="preserve">Adequacy decisions recognised by the relevant data protection authority</w:t>
      </w:r>
    </w:p>
    <w:p>
      <w:pPr>
        <w:pStyle w:val="ListParagraph"/>
        <w:numPr>
          <w:ilvl w:val="0"/>
          <w:numId w:val="2"/>
        </w:numPr>
        <w:spacing w:after="80"/>
      </w:pPr>
      <w:r>
        <w:rPr>
          <w:rFonts w:ascii="Arial" w:cs="Arial" w:eastAsia="Arial" w:hAnsi="Arial"/>
          <w:sz w:val="21"/>
          <w:szCs w:val="21"/>
        </w:rPr>
        <w:t xml:space="preserve">Other lawful transfer mechanisms as required by applicable law</w:t>
      </w:r>
    </w:p>
    <w:p>
      <w:pPr>
        <w:spacing w:after="160"/>
        <w:jc w:val="both"/>
      </w:pPr>
      <w:r>
        <w:rPr>
          <w:rFonts w:ascii="Arial" w:cs="Arial" w:eastAsia="Arial" w:hAnsi="Arial"/>
          <w:sz w:val="21"/>
          <w:szCs w:val="21"/>
        </w:rPr>
        <w:t xml:space="preserve">For transfers involving the Personal Data (Privacy) Ordinance (Cap. 486) of Hong Kong, we take reasonable steps to ensure that the recipient jurisdiction provides a level of protection comparable to that afforded under Hong Kong law.</w:t>
      </w:r>
    </w:p>
    <w:p>
      <w:pPr>
        <w:pStyle w:val="Heading1"/>
        <w:spacing w:before="360" w:after="200"/>
      </w:pPr>
      <w:r>
        <w:rPr>
          <w:rFonts w:ascii="Arial" w:cs="Arial" w:eastAsia="Arial" w:hAnsi="Arial"/>
          <w:b/>
          <w:bCs/>
          <w:color w:val="1B4F72"/>
          <w:sz w:val="28"/>
          <w:szCs w:val="28"/>
        </w:rPr>
        <w:t xml:space="preserve">7. Data Sharing and Disclosure</w:t>
      </w:r>
    </w:p>
    <w:p>
      <w:pPr>
        <w:spacing w:after="160"/>
        <w:jc w:val="both"/>
      </w:pPr>
      <w:r>
        <w:rPr>
          <w:rFonts w:ascii="Arial" w:cs="Arial" w:eastAsia="Arial" w:hAnsi="Arial"/>
          <w:sz w:val="21"/>
          <w:szCs w:val="21"/>
        </w:rPr>
        <w:t xml:space="preserve">We may share your personal data with the following categories of recipients in connection with our services:</w:t>
      </w:r>
    </w:p>
    <w:p>
      <w:pPr>
        <w:pStyle w:val="ListParagraph"/>
        <w:numPr>
          <w:ilvl w:val="0"/>
          <w:numId w:val="2"/>
        </w:numPr>
        <w:spacing w:after="80"/>
      </w:pPr>
      <w:r>
        <w:rPr>
          <w:rFonts w:ascii="Arial" w:cs="Arial" w:eastAsia="Arial" w:hAnsi="Arial"/>
          <w:sz w:val="21"/>
          <w:szCs w:val="21"/>
        </w:rPr>
        <w:t xml:space="preserve">Shipping lines, airlines, trucking companies, and other carriers and transport operators</w:t>
      </w:r>
    </w:p>
    <w:p>
      <w:pPr>
        <w:pStyle w:val="ListParagraph"/>
        <w:numPr>
          <w:ilvl w:val="0"/>
          <w:numId w:val="2"/>
        </w:numPr>
        <w:spacing w:after="80"/>
      </w:pPr>
      <w:r>
        <w:rPr>
          <w:rFonts w:ascii="Arial" w:cs="Arial" w:eastAsia="Arial" w:hAnsi="Arial"/>
          <w:sz w:val="21"/>
          <w:szCs w:val="21"/>
        </w:rPr>
        <w:t xml:space="preserve">Customs authorities, port authorities, and government agencies in relevant jurisdictions</w:t>
      </w:r>
    </w:p>
    <w:p>
      <w:pPr>
        <w:pStyle w:val="ListParagraph"/>
        <w:numPr>
          <w:ilvl w:val="0"/>
          <w:numId w:val="2"/>
        </w:numPr>
        <w:spacing w:after="80"/>
      </w:pPr>
      <w:r>
        <w:rPr>
          <w:rFonts w:ascii="Arial" w:cs="Arial" w:eastAsia="Arial" w:hAnsi="Arial"/>
          <w:sz w:val="21"/>
          <w:szCs w:val="21"/>
        </w:rPr>
        <w:t xml:space="preserve">Warehousing, distribution, and fulfilment partners</w:t>
      </w:r>
    </w:p>
    <w:p>
      <w:pPr>
        <w:pStyle w:val="ListParagraph"/>
        <w:numPr>
          <w:ilvl w:val="0"/>
          <w:numId w:val="2"/>
        </w:numPr>
        <w:spacing w:after="80"/>
      </w:pPr>
      <w:r>
        <w:rPr>
          <w:rFonts w:ascii="Arial" w:cs="Arial" w:eastAsia="Arial" w:hAnsi="Arial"/>
          <w:sz w:val="21"/>
          <w:szCs w:val="21"/>
        </w:rPr>
        <w:t xml:space="preserve">Insurance providers and claims handlers</w:t>
      </w:r>
    </w:p>
    <w:p>
      <w:pPr>
        <w:pStyle w:val="ListParagraph"/>
        <w:numPr>
          <w:ilvl w:val="0"/>
          <w:numId w:val="2"/>
        </w:numPr>
        <w:spacing w:after="80"/>
      </w:pPr>
      <w:r>
        <w:rPr>
          <w:rFonts w:ascii="Arial" w:cs="Arial" w:eastAsia="Arial" w:hAnsi="Arial"/>
          <w:sz w:val="21"/>
          <w:szCs w:val="21"/>
        </w:rPr>
        <w:t xml:space="preserve">Professional advisors including legal counsel, auditors, and accountants</w:t>
      </w:r>
    </w:p>
    <w:p>
      <w:pPr>
        <w:pStyle w:val="ListParagraph"/>
        <w:numPr>
          <w:ilvl w:val="0"/>
          <w:numId w:val="2"/>
        </w:numPr>
        <w:spacing w:after="80"/>
      </w:pPr>
      <w:r>
        <w:rPr>
          <w:rFonts w:ascii="Arial" w:cs="Arial" w:eastAsia="Arial" w:hAnsi="Arial"/>
          <w:sz w:val="21"/>
          <w:szCs w:val="21"/>
        </w:rPr>
        <w:t xml:space="preserve">IT service providers, cloud hosting providers, and technology partners</w:t>
      </w:r>
    </w:p>
    <w:p>
      <w:pPr>
        <w:pStyle w:val="ListParagraph"/>
        <w:numPr>
          <w:ilvl w:val="0"/>
          <w:numId w:val="2"/>
        </w:numPr>
        <w:spacing w:after="80"/>
      </w:pPr>
      <w:r>
        <w:rPr>
          <w:rFonts w:ascii="Arial" w:cs="Arial" w:eastAsia="Arial" w:hAnsi="Arial"/>
          <w:sz w:val="21"/>
          <w:szCs w:val="21"/>
        </w:rPr>
        <w:t xml:space="preserve">Group companies and affiliates within the Fortio Global corporate group</w:t>
      </w:r>
    </w:p>
    <w:p>
      <w:pPr>
        <w:pStyle w:val="ListParagraph"/>
        <w:numPr>
          <w:ilvl w:val="0"/>
          <w:numId w:val="2"/>
        </w:numPr>
        <w:spacing w:after="80"/>
      </w:pPr>
      <w:r>
        <w:rPr>
          <w:rFonts w:ascii="Arial" w:cs="Arial" w:eastAsia="Arial" w:hAnsi="Arial"/>
          <w:sz w:val="21"/>
          <w:szCs w:val="21"/>
        </w:rPr>
        <w:t xml:space="preserve">Banks, financial institutions, and payment processors</w:t>
      </w:r>
    </w:p>
    <w:p>
      <w:pPr>
        <w:spacing w:after="160"/>
        <w:jc w:val="both"/>
      </w:pPr>
      <w:r>
        <w:rPr>
          <w:rFonts w:ascii="Arial" w:cs="Arial" w:eastAsia="Arial" w:hAnsi="Arial"/>
          <w:sz w:val="21"/>
          <w:szCs w:val="21"/>
        </w:rPr>
        <w:t xml:space="preserve">We do not sell your personal data to third parties. Any sharing of personal data is carried out in accordance with applicable data protection laws and subject to appropriate contractual safeguards.</w:t>
      </w:r>
    </w:p>
    <w:p>
      <w:pPr>
        <w:pStyle w:val="Heading1"/>
        <w:spacing w:before="360" w:after="200"/>
      </w:pPr>
      <w:r>
        <w:rPr>
          <w:rFonts w:ascii="Arial" w:cs="Arial" w:eastAsia="Arial" w:hAnsi="Arial"/>
          <w:b/>
          <w:bCs/>
          <w:color w:val="1B4F72"/>
          <w:sz w:val="28"/>
          <w:szCs w:val="28"/>
        </w:rPr>
        <w:t xml:space="preserve">8. Data Retention</w:t>
      </w:r>
    </w:p>
    <w:p>
      <w:pPr>
        <w:spacing w:after="160"/>
        <w:jc w:val="both"/>
      </w:pPr>
      <w:r>
        <w:rPr>
          <w:rFonts w:ascii="Arial" w:cs="Arial" w:eastAsia="Arial" w:hAnsi="Arial"/>
          <w:sz w:val="21"/>
          <w:szCs w:val="21"/>
        </w:rPr>
        <w:t xml:space="preserve">We retain personal data only for as long as is necessary to fulfil the purposes for which it was collected, or as required by applicable law. Retention periods are determined based on:</w:t>
      </w:r>
    </w:p>
    <w:p>
      <w:pPr>
        <w:pStyle w:val="ListParagraph"/>
        <w:numPr>
          <w:ilvl w:val="0"/>
          <w:numId w:val="2"/>
        </w:numPr>
        <w:spacing w:after="80"/>
      </w:pPr>
      <w:r>
        <w:rPr>
          <w:rFonts w:ascii="Arial" w:cs="Arial" w:eastAsia="Arial" w:hAnsi="Arial"/>
          <w:sz w:val="21"/>
          <w:szCs w:val="21"/>
        </w:rPr>
        <w:t xml:space="preserve">The duration of our contractual relationship with you</w:t>
      </w:r>
    </w:p>
    <w:p>
      <w:pPr>
        <w:pStyle w:val="ListParagraph"/>
        <w:numPr>
          <w:ilvl w:val="0"/>
          <w:numId w:val="2"/>
        </w:numPr>
        <w:spacing w:after="80"/>
      </w:pPr>
      <w:r>
        <w:rPr>
          <w:rFonts w:ascii="Arial" w:cs="Arial" w:eastAsia="Arial" w:hAnsi="Arial"/>
          <w:sz w:val="21"/>
          <w:szCs w:val="21"/>
        </w:rPr>
        <w:t xml:space="preserve">Applicable statutory limitation periods for claims and disputes</w:t>
      </w:r>
    </w:p>
    <w:p>
      <w:pPr>
        <w:pStyle w:val="ListParagraph"/>
        <w:numPr>
          <w:ilvl w:val="0"/>
          <w:numId w:val="2"/>
        </w:numPr>
        <w:spacing w:after="80"/>
      </w:pPr>
      <w:r>
        <w:rPr>
          <w:rFonts w:ascii="Arial" w:cs="Arial" w:eastAsia="Arial" w:hAnsi="Arial"/>
          <w:sz w:val="21"/>
          <w:szCs w:val="21"/>
        </w:rPr>
        <w:t xml:space="preserve">Legal and regulatory retention requirements, including customs, tax, and trade compliance obligations</w:t>
      </w:r>
    </w:p>
    <w:p>
      <w:pPr>
        <w:pStyle w:val="ListParagraph"/>
        <w:numPr>
          <w:ilvl w:val="0"/>
          <w:numId w:val="2"/>
        </w:numPr>
        <w:spacing w:after="80"/>
      </w:pPr>
      <w:r>
        <w:rPr>
          <w:rFonts w:ascii="Arial" w:cs="Arial" w:eastAsia="Arial" w:hAnsi="Arial"/>
          <w:sz w:val="21"/>
          <w:szCs w:val="21"/>
        </w:rPr>
        <w:t xml:space="preserve">Our legitimate business needs such as maintaining records for audit and quality purposes</w:t>
      </w:r>
    </w:p>
    <w:p>
      <w:pPr>
        <w:spacing w:after="160"/>
        <w:jc w:val="both"/>
      </w:pPr>
      <w:r>
        <w:rPr>
          <w:rFonts w:ascii="Arial" w:cs="Arial" w:eastAsia="Arial" w:hAnsi="Arial"/>
          <w:sz w:val="21"/>
          <w:szCs w:val="21"/>
        </w:rPr>
        <w:t xml:space="preserve">Shipping and trade documentation is typically retained for a minimum of seven (7) years in accordance with trade and customs regulations. Where longer retention is required by law, we will retain data for the applicable period.</w:t>
      </w:r>
    </w:p>
    <w:p>
      <w:pPr>
        <w:pStyle w:val="Heading1"/>
        <w:spacing w:before="360" w:after="200"/>
      </w:pPr>
      <w:r>
        <w:rPr>
          <w:rFonts w:ascii="Arial" w:cs="Arial" w:eastAsia="Arial" w:hAnsi="Arial"/>
          <w:b/>
          <w:bCs/>
          <w:color w:val="1B4F72"/>
          <w:sz w:val="28"/>
          <w:szCs w:val="28"/>
        </w:rPr>
        <w:t xml:space="preserve">9. Data Security</w:t>
      </w:r>
    </w:p>
    <w:p>
      <w:pPr>
        <w:spacing w:after="160"/>
        <w:jc w:val="both"/>
      </w:pPr>
      <w:r>
        <w:rPr>
          <w:rFonts w:ascii="Arial" w:cs="Arial" w:eastAsia="Arial" w:hAnsi="Arial"/>
          <w:sz w:val="21"/>
          <w:szCs w:val="21"/>
        </w:rPr>
        <w:t xml:space="preserve">We implement appropriate technical and organisational measures to protect personal data against unauthorised access, alteration, disclosure, or destruction. These measures include but are not limited to:</w:t>
      </w:r>
    </w:p>
    <w:p>
      <w:pPr>
        <w:pStyle w:val="ListParagraph"/>
        <w:numPr>
          <w:ilvl w:val="0"/>
          <w:numId w:val="2"/>
        </w:numPr>
        <w:spacing w:after="80"/>
      </w:pPr>
      <w:r>
        <w:rPr>
          <w:rFonts w:ascii="Arial" w:cs="Arial" w:eastAsia="Arial" w:hAnsi="Arial"/>
          <w:sz w:val="21"/>
          <w:szCs w:val="21"/>
        </w:rPr>
        <w:t xml:space="preserve">Encryption of data in transit and at rest</w:t>
      </w:r>
    </w:p>
    <w:p>
      <w:pPr>
        <w:pStyle w:val="ListParagraph"/>
        <w:numPr>
          <w:ilvl w:val="0"/>
          <w:numId w:val="2"/>
        </w:numPr>
        <w:spacing w:after="80"/>
      </w:pPr>
      <w:r>
        <w:rPr>
          <w:rFonts w:ascii="Arial" w:cs="Arial" w:eastAsia="Arial" w:hAnsi="Arial"/>
          <w:sz w:val="21"/>
          <w:szCs w:val="21"/>
        </w:rPr>
        <w:t xml:space="preserve">Access controls and role-based permissions for our systems and databases</w:t>
      </w:r>
    </w:p>
    <w:p>
      <w:pPr>
        <w:pStyle w:val="ListParagraph"/>
        <w:numPr>
          <w:ilvl w:val="0"/>
          <w:numId w:val="2"/>
        </w:numPr>
        <w:spacing w:after="80"/>
      </w:pPr>
      <w:r>
        <w:rPr>
          <w:rFonts w:ascii="Arial" w:cs="Arial" w:eastAsia="Arial" w:hAnsi="Arial"/>
          <w:sz w:val="21"/>
          <w:szCs w:val="21"/>
        </w:rPr>
        <w:t xml:space="preserve">Regular security assessments and vulnerability testing</w:t>
      </w:r>
    </w:p>
    <w:p>
      <w:pPr>
        <w:pStyle w:val="ListParagraph"/>
        <w:numPr>
          <w:ilvl w:val="0"/>
          <w:numId w:val="2"/>
        </w:numPr>
        <w:spacing w:after="80"/>
      </w:pPr>
      <w:r>
        <w:rPr>
          <w:rFonts w:ascii="Arial" w:cs="Arial" w:eastAsia="Arial" w:hAnsi="Arial"/>
          <w:sz w:val="21"/>
          <w:szCs w:val="21"/>
        </w:rPr>
        <w:t xml:space="preserve">Staff training on data protection and information security</w:t>
      </w:r>
    </w:p>
    <w:p>
      <w:pPr>
        <w:pStyle w:val="ListParagraph"/>
        <w:numPr>
          <w:ilvl w:val="0"/>
          <w:numId w:val="2"/>
        </w:numPr>
        <w:spacing w:after="80"/>
      </w:pPr>
      <w:r>
        <w:rPr>
          <w:rFonts w:ascii="Arial" w:cs="Arial" w:eastAsia="Arial" w:hAnsi="Arial"/>
          <w:sz w:val="21"/>
          <w:szCs w:val="21"/>
        </w:rPr>
        <w:t xml:space="preserve">Incident response and data breach notification procedures</w:t>
      </w:r>
    </w:p>
    <w:p>
      <w:pPr>
        <w:spacing w:after="160"/>
        <w:jc w:val="both"/>
      </w:pPr>
      <w:r>
        <w:rPr>
          <w:rFonts w:ascii="Arial" w:cs="Arial" w:eastAsia="Arial" w:hAnsi="Arial"/>
          <w:sz w:val="21"/>
          <w:szCs w:val="21"/>
        </w:rPr>
        <w:t xml:space="preserve">While we take reasonable precautions to protect your data, no method of transmission or storage is completely secure. We cannot guarantee absolute security but are committed to maintaining a high standard of data protection.</w:t>
      </w:r>
    </w:p>
    <w:p>
      <w:pPr>
        <w:pStyle w:val="Heading1"/>
        <w:spacing w:before="360" w:after="200"/>
      </w:pPr>
      <w:r>
        <w:rPr>
          <w:rFonts w:ascii="Arial" w:cs="Arial" w:eastAsia="Arial" w:hAnsi="Arial"/>
          <w:b/>
          <w:bCs/>
          <w:color w:val="1B4F72"/>
          <w:sz w:val="28"/>
          <w:szCs w:val="28"/>
        </w:rPr>
        <w:t xml:space="preserve">10. Your Rights</w:t>
      </w:r>
    </w:p>
    <w:p>
      <w:pPr>
        <w:spacing w:after="160"/>
        <w:jc w:val="both"/>
      </w:pPr>
      <w:r>
        <w:rPr>
          <w:rFonts w:ascii="Arial" w:cs="Arial" w:eastAsia="Arial" w:hAnsi="Arial"/>
          <w:sz w:val="21"/>
          <w:szCs w:val="21"/>
        </w:rPr>
        <w:t xml:space="preserve">Depending on the applicable data protection laws in your jurisdiction, you may have the following rights in relation to your personal data:</w:t>
      </w:r>
    </w:p>
    <w:p>
      <w:pPr>
        <w:pStyle w:val="ListParagraph"/>
        <w:numPr>
          <w:ilvl w:val="0"/>
          <w:numId w:val="2"/>
        </w:numPr>
        <w:spacing w:after="80"/>
      </w:pPr>
      <w:r>
        <w:rPr>
          <w:rFonts w:ascii="Arial" w:cs="Arial" w:eastAsia="Arial" w:hAnsi="Arial"/>
          <w:b/>
          <w:bCs/>
          <w:sz w:val="21"/>
          <w:szCs w:val="21"/>
        </w:rPr>
        <w:t xml:space="preserve">Access: </w:t>
      </w:r>
      <w:r>
        <w:rPr>
          <w:rFonts w:ascii="Arial" w:cs="Arial" w:eastAsia="Arial" w:hAnsi="Arial"/>
          <w:sz w:val="21"/>
          <w:szCs w:val="21"/>
        </w:rPr>
        <w:t xml:space="preserve">The right to request a copy of the personal data we hold about you.</w:t>
      </w:r>
    </w:p>
    <w:p>
      <w:pPr>
        <w:pStyle w:val="ListParagraph"/>
        <w:numPr>
          <w:ilvl w:val="0"/>
          <w:numId w:val="2"/>
        </w:numPr>
        <w:spacing w:after="80"/>
      </w:pPr>
      <w:r>
        <w:rPr>
          <w:rFonts w:ascii="Arial" w:cs="Arial" w:eastAsia="Arial" w:hAnsi="Arial"/>
          <w:b/>
          <w:bCs/>
          <w:sz w:val="21"/>
          <w:szCs w:val="21"/>
        </w:rPr>
        <w:t xml:space="preserve">Correction: </w:t>
      </w:r>
      <w:r>
        <w:rPr>
          <w:rFonts w:ascii="Arial" w:cs="Arial" w:eastAsia="Arial" w:hAnsi="Arial"/>
          <w:sz w:val="21"/>
          <w:szCs w:val="21"/>
        </w:rPr>
        <w:t xml:space="preserve">The right to request correction of inaccurate or incomplete personal data.</w:t>
      </w:r>
    </w:p>
    <w:p>
      <w:pPr>
        <w:pStyle w:val="ListParagraph"/>
        <w:numPr>
          <w:ilvl w:val="0"/>
          <w:numId w:val="2"/>
        </w:numPr>
        <w:spacing w:after="80"/>
      </w:pPr>
      <w:r>
        <w:rPr>
          <w:rFonts w:ascii="Arial" w:cs="Arial" w:eastAsia="Arial" w:hAnsi="Arial"/>
          <w:b/>
          <w:bCs/>
          <w:sz w:val="21"/>
          <w:szCs w:val="21"/>
        </w:rPr>
        <w:t xml:space="preserve">Erasure: </w:t>
      </w:r>
      <w:r>
        <w:rPr>
          <w:rFonts w:ascii="Arial" w:cs="Arial" w:eastAsia="Arial" w:hAnsi="Arial"/>
          <w:sz w:val="21"/>
          <w:szCs w:val="21"/>
        </w:rPr>
        <w:t xml:space="preserve">The right to request deletion of your personal data in certain circumstances.</w:t>
      </w:r>
    </w:p>
    <w:p>
      <w:pPr>
        <w:pStyle w:val="ListParagraph"/>
        <w:numPr>
          <w:ilvl w:val="0"/>
          <w:numId w:val="2"/>
        </w:numPr>
        <w:spacing w:after="80"/>
      </w:pPr>
      <w:r>
        <w:rPr>
          <w:rFonts w:ascii="Arial" w:cs="Arial" w:eastAsia="Arial" w:hAnsi="Arial"/>
          <w:b/>
          <w:bCs/>
          <w:sz w:val="21"/>
          <w:szCs w:val="21"/>
        </w:rPr>
        <w:t xml:space="preserve">Restriction: </w:t>
      </w:r>
      <w:r>
        <w:rPr>
          <w:rFonts w:ascii="Arial" w:cs="Arial" w:eastAsia="Arial" w:hAnsi="Arial"/>
          <w:sz w:val="21"/>
          <w:szCs w:val="21"/>
        </w:rPr>
        <w:t xml:space="preserve">The right to request restriction of processing of your personal data.</w:t>
      </w:r>
    </w:p>
    <w:p>
      <w:pPr>
        <w:pStyle w:val="ListParagraph"/>
        <w:numPr>
          <w:ilvl w:val="0"/>
          <w:numId w:val="2"/>
        </w:numPr>
        <w:spacing w:after="80"/>
      </w:pPr>
      <w:r>
        <w:rPr>
          <w:rFonts w:ascii="Arial" w:cs="Arial" w:eastAsia="Arial" w:hAnsi="Arial"/>
          <w:b/>
          <w:bCs/>
          <w:sz w:val="21"/>
          <w:szCs w:val="21"/>
        </w:rPr>
        <w:t xml:space="preserve">Portability: </w:t>
      </w:r>
      <w:r>
        <w:rPr>
          <w:rFonts w:ascii="Arial" w:cs="Arial" w:eastAsia="Arial" w:hAnsi="Arial"/>
          <w:sz w:val="21"/>
          <w:szCs w:val="21"/>
        </w:rPr>
        <w:t xml:space="preserve">The right to receive your personal data in a structured, commonly used, and machine-readable format.</w:t>
      </w:r>
    </w:p>
    <w:p>
      <w:pPr>
        <w:pStyle w:val="ListParagraph"/>
        <w:numPr>
          <w:ilvl w:val="0"/>
          <w:numId w:val="2"/>
        </w:numPr>
        <w:spacing w:after="80"/>
      </w:pPr>
      <w:r>
        <w:rPr>
          <w:rFonts w:ascii="Arial" w:cs="Arial" w:eastAsia="Arial" w:hAnsi="Arial"/>
          <w:b/>
          <w:bCs/>
          <w:sz w:val="21"/>
          <w:szCs w:val="21"/>
        </w:rPr>
        <w:t xml:space="preserve">Objection: </w:t>
      </w:r>
      <w:r>
        <w:rPr>
          <w:rFonts w:ascii="Arial" w:cs="Arial" w:eastAsia="Arial" w:hAnsi="Arial"/>
          <w:sz w:val="21"/>
          <w:szCs w:val="21"/>
        </w:rPr>
        <w:t xml:space="preserve">The right to object to the processing of your personal data, including for direct marketing purposes.</w:t>
      </w:r>
    </w:p>
    <w:p>
      <w:pPr>
        <w:pStyle w:val="ListParagraph"/>
        <w:numPr>
          <w:ilvl w:val="0"/>
          <w:numId w:val="2"/>
        </w:numPr>
        <w:spacing w:after="80"/>
      </w:pPr>
      <w:r>
        <w:rPr>
          <w:rFonts w:ascii="Arial" w:cs="Arial" w:eastAsia="Arial" w:hAnsi="Arial"/>
          <w:b/>
          <w:bCs/>
          <w:sz w:val="21"/>
          <w:szCs w:val="21"/>
        </w:rPr>
        <w:t xml:space="preserve">Withdrawal of consent: </w:t>
      </w:r>
      <w:r>
        <w:rPr>
          <w:rFonts w:ascii="Arial" w:cs="Arial" w:eastAsia="Arial" w:hAnsi="Arial"/>
          <w:sz w:val="21"/>
          <w:szCs w:val="21"/>
        </w:rPr>
        <w:t xml:space="preserve">Where processing is based on consent, the right to withdraw consent at any time without affecting the lawfulness of processing carried out prior to withdrawal.</w:t>
      </w:r>
    </w:p>
    <w:p>
      <w:pPr>
        <w:spacing w:after="160"/>
        <w:jc w:val="both"/>
      </w:pPr>
      <w:r>
        <w:rPr>
          <w:rFonts w:ascii="Arial" w:cs="Arial" w:eastAsia="Arial" w:hAnsi="Arial"/>
          <w:sz w:val="21"/>
          <w:szCs w:val="21"/>
        </w:rPr>
        <w:t xml:space="preserve">Under the Hong Kong Personal Data (Privacy) Ordinance (PDPO), data subjects have the right to request access to and correction of their personal data held by us. We will respond to such requests within forty (40) days.</w:t>
      </w:r>
    </w:p>
    <w:p>
      <w:pPr>
        <w:spacing w:after="160"/>
        <w:jc w:val="both"/>
      </w:pPr>
      <w:r>
        <w:rPr>
          <w:rFonts w:ascii="Arial" w:cs="Arial" w:eastAsia="Arial" w:hAnsi="Arial"/>
          <w:sz w:val="21"/>
          <w:szCs w:val="21"/>
        </w:rPr>
        <w:t xml:space="preserve">To exercise any of your rights, please contact us using the details set out in Section 2 above. We may need to verify your identity before processing your request.</w:t>
      </w:r>
    </w:p>
    <w:p>
      <w:pPr>
        <w:pStyle w:val="Heading1"/>
        <w:spacing w:before="360" w:after="200"/>
      </w:pPr>
      <w:r>
        <w:rPr>
          <w:rFonts w:ascii="Arial" w:cs="Arial" w:eastAsia="Arial" w:hAnsi="Arial"/>
          <w:b/>
          <w:bCs/>
          <w:color w:val="1B4F72"/>
          <w:sz w:val="28"/>
          <w:szCs w:val="28"/>
        </w:rPr>
        <w:t xml:space="preserve">11. Cookies and Tracking Technologies</w:t>
      </w:r>
    </w:p>
    <w:p>
      <w:pPr>
        <w:spacing w:after="160"/>
        <w:jc w:val="both"/>
      </w:pPr>
      <w:r>
        <w:rPr>
          <w:rFonts w:ascii="Arial" w:cs="Arial" w:eastAsia="Arial" w:hAnsi="Arial"/>
          <w:sz w:val="21"/>
          <w:szCs w:val="21"/>
        </w:rPr>
        <w:t xml:space="preserve">Our website uses cookies and similar technologies to enhance your browsing experience, analyse website traffic, and support our marketing activities. Cookies are small text files placed on your device when you visit our website.</w:t>
      </w:r>
    </w:p>
    <w:p>
      <w:pPr>
        <w:spacing w:after="160"/>
        <w:jc w:val="both"/>
      </w:pPr>
      <w:r>
        <w:rPr>
          <w:rFonts w:ascii="Arial" w:cs="Arial" w:eastAsia="Arial" w:hAnsi="Arial"/>
          <w:sz w:val="21"/>
          <w:szCs w:val="21"/>
        </w:rPr>
        <w:t xml:space="preserve">We use the following types of cookies:</w:t>
      </w:r>
    </w:p>
    <w:p>
      <w:pPr>
        <w:pStyle w:val="ListParagraph"/>
        <w:numPr>
          <w:ilvl w:val="0"/>
          <w:numId w:val="2"/>
        </w:numPr>
        <w:spacing w:after="80"/>
      </w:pPr>
      <w:r>
        <w:rPr>
          <w:rFonts w:ascii="Arial" w:cs="Arial" w:eastAsia="Arial" w:hAnsi="Arial"/>
          <w:b/>
          <w:bCs/>
          <w:sz w:val="21"/>
          <w:szCs w:val="21"/>
        </w:rPr>
        <w:t xml:space="preserve">Strictly necessary cookies: </w:t>
      </w:r>
      <w:r>
        <w:rPr>
          <w:rFonts w:ascii="Arial" w:cs="Arial" w:eastAsia="Arial" w:hAnsi="Arial"/>
          <w:sz w:val="21"/>
          <w:szCs w:val="21"/>
        </w:rPr>
        <w:t xml:space="preserve">Essential for the operation of our website and cannot be disabled.</w:t>
      </w:r>
    </w:p>
    <w:p>
      <w:pPr>
        <w:pStyle w:val="ListParagraph"/>
        <w:numPr>
          <w:ilvl w:val="0"/>
          <w:numId w:val="2"/>
        </w:numPr>
        <w:spacing w:after="80"/>
      </w:pPr>
      <w:r>
        <w:rPr>
          <w:rFonts w:ascii="Arial" w:cs="Arial" w:eastAsia="Arial" w:hAnsi="Arial"/>
          <w:b/>
          <w:bCs/>
          <w:sz w:val="21"/>
          <w:szCs w:val="21"/>
        </w:rPr>
        <w:t xml:space="preserve">Analytical cookies: </w:t>
      </w:r>
      <w:r>
        <w:rPr>
          <w:rFonts w:ascii="Arial" w:cs="Arial" w:eastAsia="Arial" w:hAnsi="Arial"/>
          <w:sz w:val="21"/>
          <w:szCs w:val="21"/>
        </w:rPr>
        <w:t xml:space="preserve">Help us understand how visitors interact with our website, enabling us to improve performance and user experience.</w:t>
      </w:r>
    </w:p>
    <w:p>
      <w:pPr>
        <w:pStyle w:val="ListParagraph"/>
        <w:numPr>
          <w:ilvl w:val="0"/>
          <w:numId w:val="2"/>
        </w:numPr>
        <w:spacing w:after="80"/>
      </w:pPr>
      <w:r>
        <w:rPr>
          <w:rFonts w:ascii="Arial" w:cs="Arial" w:eastAsia="Arial" w:hAnsi="Arial"/>
          <w:b/>
          <w:bCs/>
          <w:sz w:val="21"/>
          <w:szCs w:val="21"/>
        </w:rPr>
        <w:t xml:space="preserve">Functional cookies: </w:t>
      </w:r>
      <w:r>
        <w:rPr>
          <w:rFonts w:ascii="Arial" w:cs="Arial" w:eastAsia="Arial" w:hAnsi="Arial"/>
          <w:sz w:val="21"/>
          <w:szCs w:val="21"/>
        </w:rPr>
        <w:t xml:space="preserve">Allow the website to remember your preferences and provide enhanced functionality.</w:t>
      </w:r>
    </w:p>
    <w:p>
      <w:pPr>
        <w:pStyle w:val="ListParagraph"/>
        <w:numPr>
          <w:ilvl w:val="0"/>
          <w:numId w:val="2"/>
        </w:numPr>
        <w:spacing w:after="80"/>
      </w:pPr>
      <w:r>
        <w:rPr>
          <w:rFonts w:ascii="Arial" w:cs="Arial" w:eastAsia="Arial" w:hAnsi="Arial"/>
          <w:b/>
          <w:bCs/>
          <w:sz w:val="21"/>
          <w:szCs w:val="21"/>
        </w:rPr>
        <w:t xml:space="preserve">Marketing cookies: </w:t>
      </w:r>
      <w:r>
        <w:rPr>
          <w:rFonts w:ascii="Arial" w:cs="Arial" w:eastAsia="Arial" w:hAnsi="Arial"/>
          <w:sz w:val="21"/>
          <w:szCs w:val="21"/>
        </w:rPr>
        <w:t xml:space="preserve">Used to deliver relevant advertisements and to track the effectiveness of our marketing campaigns.</w:t>
      </w:r>
    </w:p>
    <w:p>
      <w:pPr>
        <w:spacing w:after="160"/>
        <w:jc w:val="both"/>
      </w:pPr>
      <w:r>
        <w:rPr>
          <w:rFonts w:ascii="Arial" w:cs="Arial" w:eastAsia="Arial" w:hAnsi="Arial"/>
          <w:sz w:val="21"/>
          <w:szCs w:val="21"/>
        </w:rPr>
        <w:t xml:space="preserve">You can manage your cookie preferences through your browser settings. Please note that disabling certain cookies may affect the functionality of our website.</w:t>
      </w:r>
    </w:p>
    <w:p>
      <w:pPr>
        <w:pStyle w:val="Heading1"/>
        <w:spacing w:before="360" w:after="200"/>
      </w:pPr>
      <w:r>
        <w:rPr>
          <w:rFonts w:ascii="Arial" w:cs="Arial" w:eastAsia="Arial" w:hAnsi="Arial"/>
          <w:b/>
          <w:bCs/>
          <w:color w:val="1B4F72"/>
          <w:sz w:val="28"/>
          <w:szCs w:val="28"/>
        </w:rPr>
        <w:t xml:space="preserve">12. Third-Party Links</w:t>
      </w:r>
    </w:p>
    <w:p>
      <w:pPr>
        <w:spacing w:after="160"/>
        <w:jc w:val="both"/>
      </w:pPr>
      <w:r>
        <w:rPr>
          <w:rFonts w:ascii="Arial" w:cs="Arial" w:eastAsia="Arial" w:hAnsi="Arial"/>
          <w:sz w:val="21"/>
          <w:szCs w:val="21"/>
        </w:rPr>
        <w:t xml:space="preserve">Our website may contain links to third-party websites and services. We are not responsible for the privacy practices of these external sites. We encourage you to review the privacy policies of any third-party sites you visit.</w:t>
      </w:r>
    </w:p>
    <w:p>
      <w:pPr>
        <w:pStyle w:val="Heading1"/>
        <w:spacing w:before="360" w:after="200"/>
      </w:pPr>
      <w:r>
        <w:rPr>
          <w:rFonts w:ascii="Arial" w:cs="Arial" w:eastAsia="Arial" w:hAnsi="Arial"/>
          <w:b/>
          <w:bCs/>
          <w:color w:val="1B4F72"/>
          <w:sz w:val="28"/>
          <w:szCs w:val="28"/>
        </w:rPr>
        <w:t xml:space="preserve">13. Children’s Privacy</w:t>
      </w:r>
    </w:p>
    <w:p>
      <w:pPr>
        <w:spacing w:after="160"/>
        <w:jc w:val="both"/>
      </w:pPr>
      <w:r>
        <w:rPr>
          <w:rFonts w:ascii="Arial" w:cs="Arial" w:eastAsia="Arial" w:hAnsi="Arial"/>
          <w:sz w:val="21"/>
          <w:szCs w:val="21"/>
        </w:rPr>
        <w:t xml:space="preserve">Our services are directed at businesses and professionals and are not intended for individuals under the age of eighteen (18). We do not knowingly collect personal data from children. If we become aware that we have inadvertently collected personal data from a child, we will take steps to delete such data promptly.</w:t>
      </w:r>
    </w:p>
    <w:p>
      <w:pPr>
        <w:pStyle w:val="Heading1"/>
        <w:spacing w:before="360" w:after="200"/>
      </w:pPr>
      <w:r>
        <w:rPr>
          <w:rFonts w:ascii="Arial" w:cs="Arial" w:eastAsia="Arial" w:hAnsi="Arial"/>
          <w:b/>
          <w:bCs/>
          <w:color w:val="1B4F72"/>
          <w:sz w:val="28"/>
          <w:szCs w:val="28"/>
        </w:rPr>
        <w:t xml:space="preserve">14. Changes to This Privacy Policy</w:t>
      </w:r>
    </w:p>
    <w:p>
      <w:pPr>
        <w:spacing w:after="160"/>
        <w:jc w:val="both"/>
      </w:pPr>
      <w:r>
        <w:rPr>
          <w:rFonts w:ascii="Arial" w:cs="Arial" w:eastAsia="Arial" w:hAnsi="Arial"/>
          <w:sz w:val="21"/>
          <w:szCs w:val="21"/>
        </w:rPr>
        <w:t xml:space="preserve">We may update this Privacy Policy from time to time to reflect changes in our practices, legal requirements, or business operations. Any material changes will be communicated through our website or other appropriate channels. The effective date at the top of this policy indicates when it was last updated. We encourage you to review this policy periodically.</w:t>
      </w:r>
    </w:p>
    <w:p>
      <w:pPr>
        <w:pStyle w:val="Heading1"/>
        <w:spacing w:before="360" w:after="200"/>
      </w:pPr>
      <w:r>
        <w:rPr>
          <w:rFonts w:ascii="Arial" w:cs="Arial" w:eastAsia="Arial" w:hAnsi="Arial"/>
          <w:b/>
          <w:bCs/>
          <w:color w:val="1B4F72"/>
          <w:sz w:val="28"/>
          <w:szCs w:val="28"/>
        </w:rPr>
        <w:t xml:space="preserve">15. Complaints</w:t>
      </w:r>
    </w:p>
    <w:p>
      <w:pPr>
        <w:spacing w:after="160"/>
        <w:jc w:val="both"/>
      </w:pPr>
      <w:r>
        <w:rPr>
          <w:rFonts w:ascii="Arial" w:cs="Arial" w:eastAsia="Arial" w:hAnsi="Arial"/>
          <w:sz w:val="21"/>
          <w:szCs w:val="21"/>
        </w:rPr>
        <w:t xml:space="preserve">If you are dissatisfied with how we have handled your personal data or have concerns about our data practices, we encourage you to contact us in the first instance so that we may address your concerns.</w:t>
      </w:r>
    </w:p>
    <w:p>
      <w:pPr>
        <w:spacing w:after="160"/>
        <w:jc w:val="both"/>
      </w:pPr>
      <w:r>
        <w:rPr>
          <w:rFonts w:ascii="Arial" w:cs="Arial" w:eastAsia="Arial" w:hAnsi="Arial"/>
          <w:sz w:val="21"/>
          <w:szCs w:val="21"/>
        </w:rPr>
        <w:t xml:space="preserve">If you are not satisfied with our response, you may have the right to lodge a complaint with the relevant data protection authority, including:</w:t>
      </w:r>
    </w:p>
    <w:p>
      <w:pPr>
        <w:pStyle w:val="ListParagraph"/>
        <w:numPr>
          <w:ilvl w:val="0"/>
          <w:numId w:val="2"/>
        </w:numPr>
        <w:spacing w:after="80"/>
      </w:pPr>
      <w:r>
        <w:rPr>
          <w:rFonts w:ascii="Arial" w:cs="Arial" w:eastAsia="Arial" w:hAnsi="Arial"/>
          <w:b/>
          <w:bCs/>
          <w:sz w:val="21"/>
          <w:szCs w:val="21"/>
        </w:rPr>
        <w:t xml:space="preserve">Hong Kong: </w:t>
      </w:r>
      <w:r>
        <w:rPr>
          <w:rFonts w:ascii="Arial" w:cs="Arial" w:eastAsia="Arial" w:hAnsi="Arial"/>
          <w:sz w:val="21"/>
          <w:szCs w:val="21"/>
        </w:rPr>
        <w:t xml:space="preserve">Office of the Privacy Commissioner for Personal Data (PCPD) — www.pcpd.org.hk</w:t>
      </w:r>
    </w:p>
    <w:p>
      <w:pPr>
        <w:pStyle w:val="ListParagraph"/>
        <w:numPr>
          <w:ilvl w:val="0"/>
          <w:numId w:val="2"/>
        </w:numPr>
        <w:spacing w:after="80"/>
      </w:pPr>
      <w:r>
        <w:rPr>
          <w:rFonts w:ascii="Arial" w:cs="Arial" w:eastAsia="Arial" w:hAnsi="Arial"/>
          <w:b/>
          <w:bCs/>
          <w:sz w:val="21"/>
          <w:szCs w:val="21"/>
        </w:rPr>
        <w:t xml:space="preserve">European Union: </w:t>
      </w:r>
      <w:r>
        <w:rPr>
          <w:rFonts w:ascii="Arial" w:cs="Arial" w:eastAsia="Arial" w:hAnsi="Arial"/>
          <w:sz w:val="21"/>
          <w:szCs w:val="21"/>
        </w:rPr>
        <w:t xml:space="preserve">Your local supervisory authority under the General Data Protection Regulation (GDPR)</w:t>
      </w:r>
    </w:p>
    <w:p>
      <w:pPr>
        <w:pStyle w:val="ListParagraph"/>
        <w:numPr>
          <w:ilvl w:val="0"/>
          <w:numId w:val="2"/>
        </w:numPr>
        <w:spacing w:after="80"/>
      </w:pPr>
      <w:r>
        <w:rPr>
          <w:rFonts w:ascii="Arial" w:cs="Arial" w:eastAsia="Arial" w:hAnsi="Arial"/>
          <w:b/>
          <w:bCs/>
          <w:sz w:val="21"/>
          <w:szCs w:val="21"/>
        </w:rPr>
        <w:t xml:space="preserve">United Kingdom: </w:t>
      </w:r>
      <w:r>
        <w:rPr>
          <w:rFonts w:ascii="Arial" w:cs="Arial" w:eastAsia="Arial" w:hAnsi="Arial"/>
          <w:sz w:val="21"/>
          <w:szCs w:val="21"/>
        </w:rPr>
        <w:t xml:space="preserve">The Information Commissioner’s Office (ICO) — www.ico.org.uk</w:t>
      </w:r>
    </w:p>
    <w:p>
      <w:pPr>
        <w:pStyle w:val="Heading1"/>
        <w:spacing w:before="360" w:after="200"/>
      </w:pPr>
      <w:r>
        <w:rPr>
          <w:rFonts w:ascii="Arial" w:cs="Arial" w:eastAsia="Arial" w:hAnsi="Arial"/>
          <w:b/>
          <w:bCs/>
          <w:color w:val="1B4F72"/>
          <w:sz w:val="28"/>
          <w:szCs w:val="28"/>
        </w:rPr>
        <w:t xml:space="preserve">16. Contact Us</w:t>
      </w:r>
    </w:p>
    <w:p>
      <w:pPr>
        <w:spacing w:after="160"/>
        <w:jc w:val="both"/>
      </w:pPr>
      <w:r>
        <w:rPr>
          <w:rFonts w:ascii="Arial" w:cs="Arial" w:eastAsia="Arial" w:hAnsi="Arial"/>
          <w:sz w:val="21"/>
          <w:szCs w:val="21"/>
        </w:rPr>
        <w:t xml:space="preserve">For any questions, requests, or concerns regarding this Privacy Policy or our data protection practices, please contact:</w:t>
      </w:r>
    </w:p>
    <w:p>
      <w:pPr>
        <w:spacing w:after="80"/>
      </w:pPr>
    </w:p>
    <w:p>
      <w:pPr>
        <w:spacing w:after="160"/>
        <w:jc w:val="both"/>
      </w:pPr>
      <w:r>
        <w:rPr>
          <w:rFonts w:ascii="Arial" w:cs="Arial" w:eastAsia="Arial" w:hAnsi="Arial"/>
          <w:b/>
          <w:bCs/>
          <w:sz w:val="21"/>
          <w:szCs w:val="21"/>
        </w:rPr>
        <w:t xml:space="preserve">Fortio Global Limited</w:t>
      </w:r>
      <w:r>
        <w:rPr>
          <w:rFonts w:ascii="Arial" w:cs="Arial" w:eastAsia="Arial" w:hAnsi="Arial"/>
          <w:sz w:val="21"/>
          <w:szCs w:val="21"/>
        </w:rPr>
        <w:t xml:space="preserve"/>
      </w:r>
    </w:p>
    <w:p>
      <w:pPr>
        <w:spacing w:after="160"/>
        <w:jc w:val="both"/>
      </w:pPr>
      <w:r>
        <w:rPr>
          <w:rFonts w:ascii="Arial" w:cs="Arial" w:eastAsia="Arial" w:hAnsi="Arial"/>
          <w:b/>
          <w:bCs/>
          <w:sz w:val="21"/>
          <w:szCs w:val="21"/>
        </w:rPr>
        <w:t xml:space="preserve">Attention: </w:t>
      </w:r>
      <w:r>
        <w:rPr>
          <w:rFonts w:ascii="Arial" w:cs="Arial" w:eastAsia="Arial" w:hAnsi="Arial"/>
          <w:sz w:val="21"/>
          <w:szCs w:val="21"/>
        </w:rPr>
        <w:t xml:space="preserve">Data Protection Officer / Privacy Team</w:t>
      </w:r>
    </w:p>
    <w:p>
      <w:pPr>
        <w:spacing w:after="160"/>
        <w:jc w:val="both"/>
      </w:pPr>
      <w:r>
        <w:rPr>
          <w:rFonts w:ascii="Arial" w:cs="Arial" w:eastAsia="Arial" w:hAnsi="Arial"/>
          <w:b/>
          <w:bCs/>
          <w:sz w:val="21"/>
          <w:szCs w:val="21"/>
        </w:rPr>
        <w:t xml:space="preserve">Address: </w:t>
      </w:r>
      <w:r>
        <w:rPr>
          <w:rFonts w:ascii="Arial" w:cs="Arial" w:eastAsia="Arial" w:hAnsi="Arial"/>
          <w:sz w:val="21"/>
          <w:szCs w:val="21"/>
        </w:rPr>
        <w:t xml:space="preserve">[Insert Registered Address, Hong Kong]</w:t>
      </w:r>
    </w:p>
    <w:p>
      <w:pPr>
        <w:spacing w:after="160"/>
        <w:jc w:val="both"/>
      </w:pPr>
      <w:r>
        <w:rPr>
          <w:rFonts w:ascii="Arial" w:cs="Arial" w:eastAsia="Arial" w:hAnsi="Arial"/>
          <w:b/>
          <w:bCs/>
          <w:sz w:val="21"/>
          <w:szCs w:val="21"/>
        </w:rPr>
        <w:t xml:space="preserve">Email: </w:t>
      </w:r>
      <w:r>
        <w:rPr>
          <w:rFonts w:ascii="Arial" w:cs="Arial" w:eastAsia="Arial" w:hAnsi="Arial"/>
          <w:sz w:val="21"/>
          <w:szCs w:val="21"/>
        </w:rPr>
        <w:t xml:space="preserve">[Insert Privacy Contact Email]</w:t>
      </w:r>
    </w:p>
    <w:p>
      <w:pPr>
        <w:spacing w:after="160"/>
        <w:jc w:val="both"/>
      </w:pPr>
      <w:r>
        <w:rPr>
          <w:rFonts w:ascii="Arial" w:cs="Arial" w:eastAsia="Arial" w:hAnsi="Arial"/>
          <w:b/>
          <w:bCs/>
          <w:sz w:val="21"/>
          <w:szCs w:val="21"/>
        </w:rPr>
        <w:t xml:space="preserve">Telephone: </w:t>
      </w:r>
      <w:r>
        <w:rPr>
          <w:rFonts w:ascii="Arial" w:cs="Arial" w:eastAsia="Arial" w:hAnsi="Arial"/>
          <w:sz w:val="21"/>
          <w:szCs w:val="21"/>
        </w:rPr>
        <w:t xml:space="preserve">[Insert Contact Number]</w:t>
      </w:r>
    </w:p>
    <w:p>
      <w:pPr>
        <w:spacing w:before="400" w:after="200"/>
      </w:pPr>
    </w:p>
    <w:p>
      <w:pPr>
        <w:pBdr>
          <w:top w:val="single" w:color="1B4F72" w:sz="4" w:space="8"/>
        </w:pBdr>
        <w:spacing w:before="200"/>
        <w:jc w:val="center"/>
      </w:pPr>
      <w:r>
        <w:rPr>
          <w:rFonts w:ascii="Arial" w:cs="Arial" w:eastAsia="Arial" w:hAnsi="Arial"/>
          <w:i/>
          <w:iCs/>
          <w:color w:val="666666"/>
          <w:sz w:val="18"/>
          <w:szCs w:val="18"/>
        </w:rPr>
        <w:t xml:space="preserve">© 2026 Fortio Global Limited. All rights reserved.</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4"/>
      </w:pBdr>
      <w:jc w:val="center"/>
    </w:pPr>
    <w:r>
      <w:rPr>
        <w:rFonts w:ascii="Arial" w:cs="Arial" w:eastAsia="Arial" w:hAnsi="Arial"/>
        <w:color w:val="999999"/>
        <w:sz w:val="16"/>
        <w:szCs w:val="16"/>
      </w:rPr>
      <w:t xml:space="preserve">Page </w:t>
    </w:r>
    <w:r>
      <w:rPr>
        <w:rFonts w:ascii="Arial" w:cs="Arial" w:eastAsia="Arial" w:hAnsi="Arial"/>
        <w:color w:val="999999"/>
        <w:sz w:val="16"/>
        <w:szCs w:val="16"/>
      </w:rPr>
      <w:fldChar w:fldCharType="begin"/>
      <w:instrText xml:space="preserve">PAGE</w:instrText>
      <w:fldChar w:fldCharType="separate"/>
      <w:fldChar w:fldCharType="end"/>
    </w:r>
    <w:r>
      <w:rPr>
        <w:rFonts w:ascii="Arial" w:cs="Arial" w:eastAsia="Arial" w:hAnsi="Arial"/>
        <w:color w:val="999999"/>
        <w:sz w:val="16"/>
        <w:szCs w:val="16"/>
      </w:rPr>
      <w:t xml:space="preserve"> of </w:t>
    </w:r>
    <w:r>
      <w:rPr>
        <w:rFonts w:ascii="Arial" w:cs="Arial" w:eastAsia="Arial" w:hAnsi="Arial"/>
        <w:color w:val="999999"/>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B4F72" w:sz="6" w:space="4"/>
      </w:pBdr>
      <w:spacing w:after="200"/>
      <w:jc w:val="right"/>
    </w:pPr>
    <w:r>
      <w:rPr>
        <w:rFonts w:ascii="Arial" w:cs="Arial" w:eastAsia="Arial" w:hAnsi="Arial"/>
        <w:b/>
        <w:bCs/>
        <w:color w:val="1B4F72"/>
        <w:sz w:val="18"/>
        <w:szCs w:val="18"/>
      </w:rPr>
      <w:t xml:space="preserve">Fortio Global Limited</w:t>
    </w:r>
    <w:r>
      <w:rPr>
        <w:rFonts w:ascii="Arial" w:cs="Arial" w:eastAsia="Arial" w:hAnsi="Arial"/>
        <w:color w:val="666666"/>
        <w:sz w:val="18"/>
        <w:szCs w:val="18"/>
      </w:rPr>
      <w:t xml:space="preserve">  |  Privacy Policy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B4F72"/>
      <w:sz w:val="28"/>
      <w:szCs w:val="28"/>
    </w:rPr>
  </w:style>
  <w:style w:type="paragraph" w:styleId="Heading2">
    <w:name w:val="Heading 2"/>
    <w:basedOn w:val="Normal"/>
    <w:next w:val="Normal"/>
    <w:qFormat/>
    <w:pPr>
      <w:spacing w:before="280" w:after="160"/>
      <w:outlineLvl w:val="1"/>
    </w:pPr>
    <w:rPr>
      <w:rFonts w:ascii="Arial" w:cs="Arial" w:eastAsia="Arial" w:hAnsi="Arial"/>
      <w:b/>
      <w:bCs/>
      <w:color w:val="1B4F72"/>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2026-02-19T12:53:00.811Z</dcterms:created>
  <dcterms:modified xsi:type="dcterms:W3CDTF">2026-02-19T12:53:00.811Z</dcterms:modified>
</cp:coreProperties>
</file>

<file path=docProps/custom.xml><?xml version="1.0" encoding="utf-8"?>
<Properties xmlns="http://schemas.openxmlformats.org/officeDocument/2006/custom-properties" xmlns:vt="http://schemas.openxmlformats.org/officeDocument/2006/docPropsVTypes"/>
</file>