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spacing w:before="40" w:after="40"/>
      </w:pPr>
      <w:r>
        <w:rPr>
          <w:rFonts w:ascii="Arial" w:hAnsi="Arial"/>
          <w:b/>
          <w:i w:val="0"/>
          <w:color w:val="083C2F"/>
          <w:sz w:val="40"/>
        </w:rPr>
        <w:t>Contrato de prestación de actividades y servicios</w:t>
      </w:r>
    </w:p>
    <w:p>
      <w:pPr>
        <w:spacing w:after="120" w:line="300" w:lineRule="auto"/>
      </w:pPr>
      <w:r>
        <w:rPr>
          <w:rFonts w:ascii="Arial" w:hAnsi="Arial"/>
          <w:b w:val="0"/>
          <w:i w:val="0"/>
          <w:color w:val="64736D"/>
          <w:sz w:val="21"/>
        </w:rPr>
        <w:t>Modelo para el caso en que la AMPA ofrece y cobra el servicio, y una empresa o profesional lo ejecuta y factura a la AMPA.</w:t>
      </w:r>
    </w:p>
    <w:tbl>
      <w:tblPr>
        <w:tblW w:type="dxa" w:w="9978"/>
        <w:jc w:val="left"/>
        <w:tblLayout w:type="fixed"/>
        <w:tblLook w:firstColumn="1" w:firstRow="1" w:lastColumn="0" w:lastRow="0" w:noHBand="0" w:noVBand="1" w:val="04A0"/>
        <w:tblInd w:w="120" w:type="dxa"/>
        <w:tblBorders>
          <w:top w:val="single" w:sz="5" w:space="0" w:color="DBE4D5"/>
          <w:left w:val="single" w:sz="5" w:space="0" w:color="DBE4D5"/>
          <w:bottom w:val="single" w:sz="5" w:space="0" w:color="DBE4D5"/>
          <w:right w:val="single" w:sz="5" w:space="0" w:color="DBE4D5"/>
          <w:insideH w:val="single" w:sz="5" w:space="0" w:color="DBE4D5"/>
          <w:insideV w:val="single" w:sz="5" w:space="0" w:color="DBE4D5"/>
        </w:tblBorders>
      </w:tblPr>
      <w:tblGrid>
        <w:gridCol w:w="9978"/>
      </w:tblGrid>
      <w:tr>
        <w:tc>
          <w:tcPr>
            <w:tcW w:type="dxa" w:w="9978"/>
            <w:tcMar>
              <w:top w:w="100" w:type="dxa"/>
              <w:start w:w="120" w:type="dxa"/>
              <w:bottom w:w="100" w:type="dxa"/>
              <w:end w:w="120" w:type="dxa"/>
            </w:tcMar>
            <w:vAlign w:val="center"/>
            <w:shd w:fill="F3F7F5"/>
          </w:tcPr>
          <w:p>
            <w:pPr>
              <w:spacing w:before="0" w:after="0" w:line="264" w:lineRule="auto"/>
              <w:jc w:val="left"/>
            </w:pPr>
            <w:r>
              <w:rPr>
                <w:rFonts w:ascii="Arial" w:hAnsi="Arial"/>
                <w:b/>
                <w:i w:val="0"/>
                <w:color w:val="083C2F"/>
                <w:sz w:val="18"/>
              </w:rPr>
              <w:t>Antes de completar el contrato</w:t>
            </w:r>
          </w:p>
          <w:p>
            <w:pPr>
              <w:spacing w:before="40" w:after="0" w:line="283" w:lineRule="auto"/>
            </w:pPr>
            <w:r>
              <w:rPr>
                <w:rFonts w:ascii="Arial" w:hAnsi="Arial"/>
                <w:b w:val="0"/>
                <w:i w:val="0"/>
                <w:color w:val="64736D"/>
                <w:sz w:val="18"/>
              </w:rPr>
              <w:t>Usad este contrato solo si refleja cómo funcionará realmente el servicio. Si el proveedor contrata y cobra directamente a las familias, utilizad el acuerdo de colaboración. Si trata datos siguiendo instrucciones de la AMPA, firmad además el acuerdo de encargo de tratamiento.</w:t>
            </w:r>
          </w:p>
        </w:tc>
      </w:tr>
    </w:tbl>
    <w:p>
      <w:pPr>
        <w:pStyle w:val="Heading2"/>
      </w:pPr>
      <w:r>
        <w:t>Partes que firman</w:t>
      </w:r>
    </w:p>
    <w:p>
      <w:pPr>
        <w:spacing w:before="0" w:after="120" w:line="283" w:lineRule="auto"/>
      </w:pPr>
      <w:r>
        <w:rPr>
          <w:rFonts w:ascii="Arial" w:hAnsi="Arial"/>
          <w:b w:val="0"/>
          <w:i w:val="0"/>
          <w:color w:val="64736D"/>
          <w:sz w:val="17"/>
        </w:rPr>
        <w:t>Completad una columna por cada parte para evitar mezclar sus datos.</w:t>
      </w:r>
    </w:p>
    <w:tbl>
      <w:tblPr>
        <w:tblW w:type="dxa" w:w="9978"/>
        <w:jc w:val="left"/>
        <w:tblLayout w:type="fixed"/>
        <w:tblLook w:firstColumn="1" w:firstRow="1" w:lastColumn="0" w:lastRow="0" w:noHBand="0" w:noVBand="1" w:val="04A0"/>
        <w:tblInd w:w="120" w:type="dxa"/>
        <w:tblBorders>
          <w:top w:val="single" w:sz="5" w:space="0" w:color="DBE4D5"/>
          <w:left w:val="single" w:sz="5" w:space="0" w:color="DBE4D5"/>
          <w:bottom w:val="single" w:sz="5" w:space="0" w:color="DBE4D5"/>
          <w:right w:val="single" w:sz="5" w:space="0" w:color="DBE4D5"/>
          <w:insideH w:val="single" w:sz="5" w:space="0" w:color="DBE4D5"/>
          <w:insideV w:val="single" w:sz="5" w:space="0" w:color="DBE4D5"/>
        </w:tblBorders>
      </w:tblPr>
      <w:tblGrid>
        <w:gridCol w:w="4989"/>
        <w:gridCol w:w="4989"/>
      </w:tblGrid>
      <w:tr>
        <w:trPr>
          <w:trHeight w:val="624" w:hRule="atLeast"/>
          <w:tblHeader w:val="true"/>
        </w:trPr>
        <w:tc>
          <w:tcPr>
            <w:tcW w:type="dxa" w:w="4989"/>
            <w:tcMar>
              <w:top w:w="100" w:type="dxa"/>
              <w:start w:w="120" w:type="dxa"/>
              <w:bottom w:w="100" w:type="dxa"/>
              <w:end w:w="120" w:type="dxa"/>
            </w:tcMar>
            <w:vAlign w:val="center"/>
            <w:shd w:fill="F3F7F5"/>
          </w:tcPr>
          <w:p>
            <w:pPr>
              <w:spacing w:before="0" w:after="0" w:line="264" w:lineRule="auto"/>
              <w:jc w:val="left"/>
            </w:pPr>
            <w:r>
              <w:rPr>
                <w:rFonts w:ascii="Arial" w:hAnsi="Arial"/>
                <w:b/>
                <w:i w:val="0"/>
                <w:color w:val="083C2F"/>
                <w:sz w:val="18"/>
              </w:rPr>
              <w:t>AMPA o AFA</w:t>
            </w:r>
          </w:p>
          <w:p>
            <w:pPr>
              <w:spacing w:before="20" w:after="0" w:line="252" w:lineRule="auto"/>
            </w:pPr>
            <w:r>
              <w:rPr>
                <w:rFonts w:ascii="Arial" w:hAnsi="Arial"/>
                <w:b w:val="0"/>
                <w:i w:val="0"/>
                <w:color w:val="64736D"/>
                <w:sz w:val="14"/>
              </w:rPr>
              <w:t>Organiza, contrata y cobra a las familias</w:t>
            </w:r>
          </w:p>
        </w:tc>
        <w:tc>
          <w:tcPr>
            <w:tcW w:type="dxa" w:w="4989"/>
            <w:tcMar>
              <w:top w:w="100" w:type="dxa"/>
              <w:start w:w="120" w:type="dxa"/>
              <w:bottom w:w="100" w:type="dxa"/>
              <w:end w:w="120" w:type="dxa"/>
            </w:tcMar>
            <w:vAlign w:val="center"/>
            <w:shd w:fill="F3F7F5"/>
          </w:tcPr>
          <w:p>
            <w:pPr>
              <w:spacing w:before="0" w:after="0" w:line="264" w:lineRule="auto"/>
              <w:jc w:val="left"/>
            </w:pPr>
            <w:r>
              <w:rPr>
                <w:rFonts w:ascii="Arial" w:hAnsi="Arial"/>
                <w:b/>
                <w:i w:val="0"/>
                <w:color w:val="083C2F"/>
                <w:sz w:val="18"/>
              </w:rPr>
              <w:t>Empresa o profesional</w:t>
            </w:r>
          </w:p>
          <w:p>
            <w:pPr>
              <w:spacing w:before="20" w:after="0" w:line="252" w:lineRule="auto"/>
            </w:pPr>
            <w:r>
              <w:rPr>
                <w:rFonts w:ascii="Arial" w:hAnsi="Arial"/>
                <w:b w:val="0"/>
                <w:i w:val="0"/>
                <w:color w:val="64736D"/>
                <w:sz w:val="14"/>
              </w:rPr>
              <w:t>Presta el servicio y factura a la AMPA</w:t>
            </w:r>
          </w:p>
        </w:tc>
      </w:tr>
      <w:tr>
        <w:trPr>
          <w:trHeight w:val="482" w:hRule="atLeast"/>
        </w:trPr>
        <w:tc>
          <w:tcPr>
            <w:tcW w:type="dxa" w:w="4989"/>
            <w:tcMar>
              <w:top w:w="100" w:type="dxa"/>
              <w:start w:w="120" w:type="dxa"/>
              <w:bottom w:w="100" w:type="dxa"/>
              <w:end w:w="120" w:type="dxa"/>
            </w:tcMar>
            <w:vAlign w:val="center"/>
            <w:shd w:fill="FFFFFF"/>
          </w:tcPr>
          <w:p>
            <w:pPr>
              <w:spacing w:before="0" w:after="0" w:line="264" w:lineRule="auto"/>
              <w:jc w:val="left"/>
            </w:pPr>
            <w:r>
              <w:rPr>
                <w:rFonts w:ascii="Arial" w:hAnsi="Arial"/>
                <w:b/>
                <w:i w:val="0"/>
                <w:color w:val="083C2F"/>
                <w:sz w:val="15"/>
              </w:rPr>
              <w:t>Denominación completa</w:t>
            </w:r>
          </w:p>
          <w:p>
            <w:pPr>
              <w:spacing w:before="20" w:after="0" w:line="240" w:lineRule="auto"/>
            </w:pPr>
          </w:p>
        </w:tc>
        <w:tc>
          <w:tcPr>
            <w:tcW w:type="dxa" w:w="4989"/>
            <w:tcMar>
              <w:top w:w="100" w:type="dxa"/>
              <w:start w:w="120" w:type="dxa"/>
              <w:bottom w:w="100" w:type="dxa"/>
              <w:end w:w="120" w:type="dxa"/>
            </w:tcMar>
            <w:vAlign w:val="center"/>
            <w:shd w:fill="FFFFFF"/>
          </w:tcPr>
          <w:p>
            <w:pPr>
              <w:spacing w:before="0" w:after="0" w:line="264" w:lineRule="auto"/>
              <w:jc w:val="left"/>
            </w:pPr>
            <w:r>
              <w:rPr>
                <w:rFonts w:ascii="Arial" w:hAnsi="Arial"/>
                <w:b/>
                <w:i w:val="0"/>
                <w:color w:val="083C2F"/>
                <w:sz w:val="15"/>
              </w:rPr>
              <w:t>Nombre o razón social</w:t>
            </w:r>
          </w:p>
          <w:p>
            <w:pPr>
              <w:spacing w:before="20" w:after="0" w:line="240" w:lineRule="auto"/>
            </w:pPr>
          </w:p>
        </w:tc>
      </w:tr>
      <w:tr>
        <w:trPr>
          <w:trHeight w:val="482" w:hRule="atLeast"/>
        </w:trPr>
        <w:tc>
          <w:tcPr>
            <w:tcW w:type="dxa" w:w="4989"/>
            <w:tcMar>
              <w:top w:w="100" w:type="dxa"/>
              <w:start w:w="120" w:type="dxa"/>
              <w:bottom w:w="100" w:type="dxa"/>
              <w:end w:w="120" w:type="dxa"/>
            </w:tcMar>
            <w:vAlign w:val="center"/>
            <w:shd w:fill="FFFFFF"/>
          </w:tcPr>
          <w:p>
            <w:pPr>
              <w:spacing w:before="0" w:after="0" w:line="264" w:lineRule="auto"/>
              <w:jc w:val="left"/>
            </w:pPr>
            <w:r>
              <w:rPr>
                <w:rFonts w:ascii="Arial" w:hAnsi="Arial"/>
                <w:b/>
                <w:i w:val="0"/>
                <w:color w:val="083C2F"/>
                <w:sz w:val="15"/>
              </w:rPr>
              <w:t>NIF</w:t>
            </w:r>
          </w:p>
          <w:p>
            <w:pPr>
              <w:spacing w:before="20" w:after="0" w:line="240" w:lineRule="auto"/>
            </w:pPr>
          </w:p>
        </w:tc>
        <w:tc>
          <w:tcPr>
            <w:tcW w:type="dxa" w:w="4989"/>
            <w:tcMar>
              <w:top w:w="100" w:type="dxa"/>
              <w:start w:w="120" w:type="dxa"/>
              <w:bottom w:w="100" w:type="dxa"/>
              <w:end w:w="120" w:type="dxa"/>
            </w:tcMar>
            <w:vAlign w:val="center"/>
            <w:shd w:fill="FFFFFF"/>
          </w:tcPr>
          <w:p>
            <w:pPr>
              <w:spacing w:before="0" w:after="0" w:line="264" w:lineRule="auto"/>
              <w:jc w:val="left"/>
            </w:pPr>
            <w:r>
              <w:rPr>
                <w:rFonts w:ascii="Arial" w:hAnsi="Arial"/>
                <w:b/>
                <w:i w:val="0"/>
                <w:color w:val="083C2F"/>
                <w:sz w:val="15"/>
              </w:rPr>
              <w:t>NIF o NIE</w:t>
            </w:r>
          </w:p>
          <w:p>
            <w:pPr>
              <w:spacing w:before="20" w:after="0" w:line="240" w:lineRule="auto"/>
            </w:pPr>
          </w:p>
        </w:tc>
      </w:tr>
      <w:tr>
        <w:trPr>
          <w:trHeight w:val="482" w:hRule="atLeast"/>
        </w:trPr>
        <w:tc>
          <w:tcPr>
            <w:tcW w:type="dxa" w:w="4989"/>
            <w:tcMar>
              <w:top w:w="100" w:type="dxa"/>
              <w:start w:w="120" w:type="dxa"/>
              <w:bottom w:w="100" w:type="dxa"/>
              <w:end w:w="120" w:type="dxa"/>
            </w:tcMar>
            <w:vAlign w:val="center"/>
            <w:shd w:fill="FFFFFF"/>
          </w:tcPr>
          <w:p>
            <w:pPr>
              <w:spacing w:before="0" w:after="0" w:line="264" w:lineRule="auto"/>
              <w:jc w:val="left"/>
            </w:pPr>
            <w:r>
              <w:rPr>
                <w:rFonts w:ascii="Arial" w:hAnsi="Arial"/>
                <w:b/>
                <w:i w:val="0"/>
                <w:color w:val="083C2F"/>
                <w:sz w:val="15"/>
              </w:rPr>
              <w:t>Domicilio</w:t>
            </w:r>
            <w:r>
              <w:rPr>
                <w:rFonts w:ascii="Arial" w:hAnsi="Arial"/>
                <w:b w:val="0"/>
                <w:i w:val="0"/>
                <w:color w:val="64736D"/>
                <w:sz w:val="15"/>
              </w:rPr>
              <w:t xml:space="preserve"> (dirección completa)</w:t>
            </w:r>
          </w:p>
          <w:p>
            <w:pPr>
              <w:spacing w:before="20" w:after="0" w:line="240" w:lineRule="auto"/>
            </w:pPr>
          </w:p>
        </w:tc>
        <w:tc>
          <w:tcPr>
            <w:tcW w:type="dxa" w:w="4989"/>
            <w:tcMar>
              <w:top w:w="100" w:type="dxa"/>
              <w:start w:w="120" w:type="dxa"/>
              <w:bottom w:w="100" w:type="dxa"/>
              <w:end w:w="120" w:type="dxa"/>
            </w:tcMar>
            <w:vAlign w:val="center"/>
            <w:shd w:fill="FFFFFF"/>
          </w:tcPr>
          <w:p>
            <w:pPr>
              <w:spacing w:before="0" w:after="0" w:line="264" w:lineRule="auto"/>
              <w:jc w:val="left"/>
            </w:pPr>
            <w:r>
              <w:rPr>
                <w:rFonts w:ascii="Arial" w:hAnsi="Arial"/>
                <w:b/>
                <w:i w:val="0"/>
                <w:color w:val="083C2F"/>
                <w:sz w:val="15"/>
              </w:rPr>
              <w:t>Domicilio</w:t>
            </w:r>
            <w:r>
              <w:rPr>
                <w:rFonts w:ascii="Arial" w:hAnsi="Arial"/>
                <w:b w:val="0"/>
                <w:i w:val="0"/>
                <w:color w:val="64736D"/>
                <w:sz w:val="15"/>
              </w:rPr>
              <w:t xml:space="preserve"> (dirección completa)</w:t>
            </w:r>
          </w:p>
          <w:p>
            <w:pPr>
              <w:spacing w:before="20" w:after="0" w:line="240" w:lineRule="auto"/>
            </w:pPr>
          </w:p>
        </w:tc>
      </w:tr>
      <w:tr>
        <w:trPr>
          <w:trHeight w:val="482" w:hRule="atLeast"/>
        </w:trPr>
        <w:tc>
          <w:tcPr>
            <w:tcW w:type="dxa" w:w="4989"/>
            <w:tcMar>
              <w:top w:w="100" w:type="dxa"/>
              <w:start w:w="120" w:type="dxa"/>
              <w:bottom w:w="100" w:type="dxa"/>
              <w:end w:w="120" w:type="dxa"/>
            </w:tcMar>
            <w:vAlign w:val="center"/>
            <w:shd w:fill="FFFFFF"/>
          </w:tcPr>
          <w:p>
            <w:pPr>
              <w:spacing w:before="0" w:after="0" w:line="264" w:lineRule="auto"/>
              <w:jc w:val="left"/>
            </w:pPr>
            <w:r>
              <w:rPr>
                <w:rFonts w:ascii="Arial" w:hAnsi="Arial"/>
                <w:b/>
                <w:i w:val="0"/>
                <w:color w:val="083C2F"/>
                <w:sz w:val="15"/>
              </w:rPr>
              <w:t>Representante</w:t>
            </w:r>
            <w:r>
              <w:rPr>
                <w:rFonts w:ascii="Arial" w:hAnsi="Arial"/>
                <w:b w:val="0"/>
                <w:i w:val="0"/>
                <w:color w:val="64736D"/>
                <w:sz w:val="15"/>
              </w:rPr>
              <w:t xml:space="preserve"> (nombre y apellidos)</w:t>
            </w:r>
          </w:p>
          <w:p>
            <w:pPr>
              <w:spacing w:before="20" w:after="0" w:line="240" w:lineRule="auto"/>
            </w:pPr>
          </w:p>
        </w:tc>
        <w:tc>
          <w:tcPr>
            <w:tcW w:type="dxa" w:w="4989"/>
            <w:tcMar>
              <w:top w:w="100" w:type="dxa"/>
              <w:start w:w="120" w:type="dxa"/>
              <w:bottom w:w="100" w:type="dxa"/>
              <w:end w:w="120" w:type="dxa"/>
            </w:tcMar>
            <w:vAlign w:val="center"/>
            <w:shd w:fill="FFFFFF"/>
          </w:tcPr>
          <w:p>
            <w:pPr>
              <w:spacing w:before="0" w:after="0" w:line="264" w:lineRule="auto"/>
              <w:jc w:val="left"/>
            </w:pPr>
            <w:r>
              <w:rPr>
                <w:rFonts w:ascii="Arial" w:hAnsi="Arial"/>
                <w:b/>
                <w:i w:val="0"/>
                <w:color w:val="083C2F"/>
                <w:sz w:val="15"/>
              </w:rPr>
              <w:t>Representante</w:t>
            </w:r>
            <w:r>
              <w:rPr>
                <w:rFonts w:ascii="Arial" w:hAnsi="Arial"/>
                <w:b w:val="0"/>
                <w:i w:val="0"/>
                <w:color w:val="64736D"/>
                <w:sz w:val="15"/>
              </w:rPr>
              <w:t xml:space="preserve"> (si es una empresa)</w:t>
            </w:r>
          </w:p>
          <w:p>
            <w:pPr>
              <w:spacing w:before="20" w:after="0" w:line="240" w:lineRule="auto"/>
            </w:pPr>
          </w:p>
        </w:tc>
      </w:tr>
      <w:tr>
        <w:trPr>
          <w:trHeight w:val="482" w:hRule="atLeast"/>
        </w:trPr>
        <w:tc>
          <w:tcPr>
            <w:tcW w:type="dxa" w:w="4989"/>
            <w:tcMar>
              <w:top w:w="100" w:type="dxa"/>
              <w:start w:w="120" w:type="dxa"/>
              <w:bottom w:w="100" w:type="dxa"/>
              <w:end w:w="120" w:type="dxa"/>
            </w:tcMar>
            <w:vAlign w:val="center"/>
            <w:shd w:fill="FFFFFF"/>
          </w:tcPr>
          <w:p>
            <w:pPr>
              <w:spacing w:before="0" w:after="0" w:line="264" w:lineRule="auto"/>
              <w:jc w:val="left"/>
            </w:pPr>
            <w:r>
              <w:rPr>
                <w:rFonts w:ascii="Arial" w:hAnsi="Arial"/>
                <w:b/>
                <w:i w:val="0"/>
                <w:color w:val="083C2F"/>
                <w:sz w:val="15"/>
              </w:rPr>
              <w:t>Cargo y DNI o NIE</w:t>
            </w:r>
          </w:p>
          <w:p>
            <w:pPr>
              <w:spacing w:before="20" w:after="0" w:line="240" w:lineRule="auto"/>
            </w:pPr>
          </w:p>
        </w:tc>
        <w:tc>
          <w:tcPr>
            <w:tcW w:type="dxa" w:w="4989"/>
            <w:tcMar>
              <w:top w:w="100" w:type="dxa"/>
              <w:start w:w="120" w:type="dxa"/>
              <w:bottom w:w="100" w:type="dxa"/>
              <w:end w:w="120" w:type="dxa"/>
            </w:tcMar>
            <w:vAlign w:val="center"/>
            <w:shd w:fill="FFFFFF"/>
          </w:tcPr>
          <w:p>
            <w:pPr>
              <w:spacing w:before="0" w:after="0" w:line="264" w:lineRule="auto"/>
              <w:jc w:val="left"/>
            </w:pPr>
            <w:r>
              <w:rPr>
                <w:rFonts w:ascii="Arial" w:hAnsi="Arial"/>
                <w:b/>
                <w:i w:val="0"/>
                <w:color w:val="083C2F"/>
                <w:sz w:val="15"/>
              </w:rPr>
              <w:t>Cargo y DNI o NIE</w:t>
            </w:r>
            <w:r>
              <w:rPr>
                <w:rFonts w:ascii="Arial" w:hAnsi="Arial"/>
                <w:b w:val="0"/>
                <w:i w:val="0"/>
                <w:color w:val="64736D"/>
                <w:sz w:val="15"/>
              </w:rPr>
              <w:t xml:space="preserve"> (si corresponde)</w:t>
            </w:r>
          </w:p>
          <w:p>
            <w:pPr>
              <w:spacing w:before="20" w:after="0" w:line="240" w:lineRule="auto"/>
            </w:pPr>
          </w:p>
        </w:tc>
      </w:tr>
    </w:tbl>
    <w:p>
      <w:pPr>
        <w:pStyle w:val="Heading2"/>
      </w:pPr>
      <w:r>
        <w:t>1. Capacidad y modelo de relación</w:t>
      </w:r>
    </w:p>
    <w:p>
      <w:pPr>
        <w:spacing w:before="0" w:after="100" w:line="288" w:lineRule="auto"/>
      </w:pPr>
      <w:r>
        <w:rPr>
          <w:rFonts w:ascii="Arial" w:hAnsi="Arial"/>
          <w:b w:val="0"/>
          <w:i w:val="0"/>
          <w:color w:val="1C2521"/>
          <w:sz w:val="18"/>
        </w:rPr>
        <w:t>Las personas firmantes declaran que pueden representar a sus respectivas entidades. La AMPA organiza y ofrece el servicio a las familias, gestiona las inscripciones y los cobros, y contrata al proveedor para que lo ejecute. El proveedor presta el servicio con sus propios medios y factura a la AMPA.</w:t>
      </w:r>
    </w:p>
    <w:p>
      <w:pPr>
        <w:spacing w:before="0" w:after="120" w:line="288" w:lineRule="auto"/>
      </w:pPr>
      <w:r>
        <w:rPr>
          <w:rFonts w:ascii="Arial" w:hAnsi="Arial"/>
          <w:b w:val="0"/>
          <w:i w:val="0"/>
          <w:color w:val="1C2521"/>
          <w:sz w:val="18"/>
        </w:rPr>
        <w:t>Este reparto se aplicará según lo que ocurra en la práctica. El nombre del contrato no cambia las responsabilidades reales de cada parte.</w:t>
      </w:r>
    </w:p>
    <w:p>
      <w:pPr>
        <w:pStyle w:val="Heading2"/>
      </w:pPr>
      <w:r>
        <w:t>2. Objeto del contrato</w:t>
      </w:r>
    </w:p>
    <w:p>
      <w:pPr>
        <w:spacing w:before="0" w:after="120" w:line="288" w:lineRule="auto"/>
      </w:pPr>
      <w:r>
        <w:rPr>
          <w:rFonts w:ascii="Arial" w:hAnsi="Arial"/>
          <w:b w:val="0"/>
          <w:i w:val="0"/>
          <w:color w:val="1C2521"/>
          <w:sz w:val="18"/>
        </w:rPr>
        <w:t>El proveedor se compromete a realizar la actividad o servicio descrito en la página siguiente, con los horarios, espacios, personal, materiales y condiciones allí indicados. La ficha del servicio y los anexos firmados forman parte del contrato.</w:t>
      </w:r>
    </w:p>
    <w:p>
      <w:pPr>
        <w:pStyle w:val="Heading1"/>
        <w:pageBreakBefore/>
        <w:spacing w:before="80" w:after="40"/>
      </w:pPr>
      <w:r>
        <w:rPr>
          <w:rFonts w:ascii="Arial" w:hAnsi="Arial"/>
          <w:b/>
          <w:i w:val="0"/>
          <w:color w:val="083C2F"/>
          <w:sz w:val="36"/>
        </w:rPr>
        <w:t>Ficha del servicio y condiciones económicas</w:t>
      </w:r>
    </w:p>
    <w:p>
      <w:pPr>
        <w:spacing w:after="140" w:line="300" w:lineRule="auto"/>
      </w:pPr>
      <w:r>
        <w:rPr>
          <w:rFonts w:ascii="Arial" w:hAnsi="Arial"/>
          <w:b w:val="0"/>
          <w:i w:val="0"/>
          <w:color w:val="64736D"/>
          <w:sz w:val="21"/>
        </w:rPr>
        <w:t>Concretad aquí qué se prestará, cuándo, dónde y con qué precio. Evitad dejar estas decisiones solo en correos o conversaciones.</w:t>
      </w:r>
    </w:p>
    <w:p>
      <w:pPr>
        <w:pStyle w:val="Heading2"/>
      </w:pPr>
      <w:r>
        <w:t>Actividad o servicio</w:t>
      </w:r>
    </w:p>
    <w:tbl>
      <w:tblPr>
        <w:tblW w:type="dxa" w:w="9978"/>
        <w:jc w:val="left"/>
        <w:tblLayout w:type="fixed"/>
        <w:tblLook w:firstColumn="1" w:firstRow="1" w:lastColumn="0" w:lastRow="0" w:noHBand="0" w:noVBand="1" w:val="04A0"/>
        <w:tblInd w:w="120" w:type="dxa"/>
        <w:tblBorders>
          <w:top w:val="single" w:sz="5" w:space="0" w:color="DBE4D5"/>
          <w:left w:val="single" w:sz="5" w:space="0" w:color="DBE4D5"/>
          <w:bottom w:val="single" w:sz="5" w:space="0" w:color="DBE4D5"/>
          <w:right w:val="single" w:sz="5" w:space="0" w:color="DBE4D5"/>
          <w:insideH w:val="single" w:sz="5" w:space="0" w:color="DBE4D5"/>
          <w:insideV w:val="single" w:sz="5" w:space="0" w:color="DBE4D5"/>
        </w:tblBorders>
      </w:tblPr>
      <w:tblGrid>
        <w:gridCol w:w="4989"/>
        <w:gridCol w:w="4989"/>
      </w:tblGrid>
      <w:tr>
        <w:trPr>
          <w:trHeight w:val="369" w:hRule="atLeast"/>
        </w:trPr>
        <w:tc>
          <w:tcPr>
            <w:tcW w:type="dxa" w:w="9978"/>
            <w:gridSpan w:val="2"/>
            <w:tcMar>
              <w:top w:w="100" w:type="dxa"/>
              <w:start w:w="120" w:type="dxa"/>
              <w:bottom w:w="100" w:type="dxa"/>
              <w:end w:w="120" w:type="dxa"/>
            </w:tcMar>
            <w:vAlign w:val="center"/>
            <w:shd w:fill="FFFFFF"/>
          </w:tcPr>
          <w:p>
            <w:pPr>
              <w:spacing w:before="0" w:after="0" w:line="264" w:lineRule="auto"/>
              <w:jc w:val="left"/>
            </w:pPr>
            <w:r>
              <w:rPr>
                <w:rFonts w:ascii="Arial" w:hAnsi="Arial"/>
                <w:b/>
                <w:i w:val="0"/>
                <w:color w:val="083C2F"/>
                <w:sz w:val="15"/>
              </w:rPr>
              <w:t>Nombre de la actividad o servicio</w:t>
            </w:r>
          </w:p>
          <w:p>
            <w:pPr>
              <w:spacing w:before="20" w:after="0" w:line="240" w:lineRule="auto"/>
            </w:pPr>
          </w:p>
        </w:tc>
      </w:tr>
      <w:tr>
        <w:trPr>
          <w:trHeight w:val="369" w:hRule="atLeast"/>
        </w:trPr>
        <w:tc>
          <w:tcPr>
            <w:tcW w:type="dxa" w:w="4989"/>
            <w:tcMar>
              <w:top w:w="100" w:type="dxa"/>
              <w:start w:w="120" w:type="dxa"/>
              <w:bottom w:w="100" w:type="dxa"/>
              <w:end w:w="120" w:type="dxa"/>
            </w:tcMar>
            <w:vAlign w:val="center"/>
            <w:shd w:fill="FFFFFF"/>
          </w:tcPr>
          <w:p>
            <w:pPr>
              <w:spacing w:before="0" w:after="0" w:line="264" w:lineRule="auto"/>
              <w:jc w:val="left"/>
            </w:pPr>
            <w:r>
              <w:rPr>
                <w:rFonts w:ascii="Arial" w:hAnsi="Arial"/>
                <w:b/>
                <w:i w:val="0"/>
                <w:color w:val="083C2F"/>
                <w:sz w:val="15"/>
              </w:rPr>
              <w:t>Personas destinatarias y edades</w:t>
            </w:r>
            <w:r>
              <w:rPr>
                <w:rFonts w:ascii="Arial" w:hAnsi="Arial"/>
                <w:b w:val="0"/>
                <w:i w:val="0"/>
                <w:color w:val="64736D"/>
                <w:sz w:val="15"/>
              </w:rPr>
              <w:t xml:space="preserve"> (cursos o franjas de edad)</w:t>
            </w:r>
          </w:p>
          <w:p>
            <w:pPr>
              <w:spacing w:before="20" w:after="0" w:line="240" w:lineRule="auto"/>
            </w:pPr>
          </w:p>
        </w:tc>
        <w:tc>
          <w:tcPr>
            <w:tcW w:type="dxa" w:w="4989"/>
            <w:tcMar>
              <w:top w:w="100" w:type="dxa"/>
              <w:start w:w="120" w:type="dxa"/>
              <w:bottom w:w="100" w:type="dxa"/>
              <w:end w:w="120" w:type="dxa"/>
            </w:tcMar>
            <w:vAlign w:val="center"/>
            <w:shd w:fill="FFFFFF"/>
          </w:tcPr>
          <w:p>
            <w:pPr>
              <w:spacing w:before="0" w:after="0" w:line="264" w:lineRule="auto"/>
              <w:jc w:val="left"/>
            </w:pPr>
            <w:r>
              <w:rPr>
                <w:rFonts w:ascii="Arial" w:hAnsi="Arial"/>
                <w:b/>
                <w:i w:val="0"/>
                <w:color w:val="083C2F"/>
                <w:sz w:val="15"/>
              </w:rPr>
              <w:t>Centro y espacios autorizados</w:t>
            </w:r>
            <w:r>
              <w:rPr>
                <w:rFonts w:ascii="Arial" w:hAnsi="Arial"/>
                <w:b w:val="0"/>
                <w:i w:val="0"/>
                <w:color w:val="64736D"/>
                <w:sz w:val="15"/>
              </w:rPr>
              <w:t xml:space="preserve"> (aula, gimnasio, patio...)</w:t>
            </w:r>
          </w:p>
          <w:p>
            <w:pPr>
              <w:spacing w:before="20" w:after="0" w:line="240" w:lineRule="auto"/>
            </w:pPr>
          </w:p>
        </w:tc>
      </w:tr>
      <w:tr>
        <w:trPr>
          <w:trHeight w:val="369" w:hRule="atLeast"/>
        </w:trPr>
        <w:tc>
          <w:tcPr>
            <w:tcW w:type="dxa" w:w="4989"/>
            <w:tcMar>
              <w:top w:w="100" w:type="dxa"/>
              <w:start w:w="120" w:type="dxa"/>
              <w:bottom w:w="100" w:type="dxa"/>
              <w:end w:w="120" w:type="dxa"/>
            </w:tcMar>
            <w:vAlign w:val="center"/>
            <w:shd w:fill="FFFFFF"/>
          </w:tcPr>
          <w:p>
            <w:pPr>
              <w:spacing w:before="0" w:after="0" w:line="264" w:lineRule="auto"/>
              <w:jc w:val="left"/>
            </w:pPr>
            <w:r>
              <w:rPr>
                <w:rFonts w:ascii="Arial" w:hAnsi="Arial"/>
                <w:b/>
                <w:i w:val="0"/>
                <w:color w:val="083C2F"/>
                <w:sz w:val="15"/>
              </w:rPr>
              <w:t>Fecha de inicio</w:t>
            </w:r>
          </w:p>
          <w:p>
            <w:pPr>
              <w:spacing w:before="20" w:after="0" w:line="240" w:lineRule="auto"/>
            </w:pPr>
          </w:p>
        </w:tc>
        <w:tc>
          <w:tcPr>
            <w:tcW w:type="dxa" w:w="4989"/>
            <w:tcMar>
              <w:top w:w="100" w:type="dxa"/>
              <w:start w:w="120" w:type="dxa"/>
              <w:bottom w:w="100" w:type="dxa"/>
              <w:end w:w="120" w:type="dxa"/>
            </w:tcMar>
            <w:vAlign w:val="center"/>
            <w:shd w:fill="FFFFFF"/>
          </w:tcPr>
          <w:p>
            <w:pPr>
              <w:spacing w:before="0" w:after="0" w:line="264" w:lineRule="auto"/>
              <w:jc w:val="left"/>
            </w:pPr>
            <w:r>
              <w:rPr>
                <w:rFonts w:ascii="Arial" w:hAnsi="Arial"/>
                <w:b/>
                <w:i w:val="0"/>
                <w:color w:val="083C2F"/>
                <w:sz w:val="15"/>
              </w:rPr>
              <w:t>Fecha de finalización</w:t>
            </w:r>
          </w:p>
          <w:p>
            <w:pPr>
              <w:spacing w:before="20" w:after="0" w:line="240" w:lineRule="auto"/>
            </w:pPr>
          </w:p>
        </w:tc>
      </w:tr>
      <w:tr>
        <w:trPr>
          <w:trHeight w:val="369" w:hRule="atLeast"/>
        </w:trPr>
        <w:tc>
          <w:tcPr>
            <w:tcW w:type="dxa" w:w="4989"/>
            <w:tcMar>
              <w:top w:w="100" w:type="dxa"/>
              <w:start w:w="120" w:type="dxa"/>
              <w:bottom w:w="100" w:type="dxa"/>
              <w:end w:w="120" w:type="dxa"/>
            </w:tcMar>
            <w:vAlign w:val="center"/>
            <w:shd w:fill="FFFFFF"/>
          </w:tcPr>
          <w:p>
            <w:pPr>
              <w:spacing w:before="0" w:after="0" w:line="264" w:lineRule="auto"/>
              <w:jc w:val="left"/>
            </w:pPr>
            <w:r>
              <w:rPr>
                <w:rFonts w:ascii="Arial" w:hAnsi="Arial"/>
                <w:b/>
                <w:i w:val="0"/>
                <w:color w:val="083C2F"/>
                <w:sz w:val="15"/>
              </w:rPr>
              <w:t>Mínimo y máximo de participantes</w:t>
            </w:r>
            <w:r>
              <w:rPr>
                <w:rFonts w:ascii="Arial" w:hAnsi="Arial"/>
                <w:b w:val="0"/>
                <w:i w:val="0"/>
                <w:color w:val="64736D"/>
                <w:sz w:val="15"/>
              </w:rPr>
              <w:t xml:space="preserve"> (plazas)</w:t>
            </w:r>
          </w:p>
          <w:p>
            <w:pPr>
              <w:spacing w:before="20" w:after="0" w:line="240" w:lineRule="auto"/>
            </w:pPr>
          </w:p>
        </w:tc>
        <w:tc>
          <w:tcPr>
            <w:tcW w:type="dxa" w:w="4989"/>
            <w:tcMar>
              <w:top w:w="100" w:type="dxa"/>
              <w:start w:w="120" w:type="dxa"/>
              <w:bottom w:w="100" w:type="dxa"/>
              <w:end w:w="120" w:type="dxa"/>
            </w:tcMar>
            <w:vAlign w:val="center"/>
            <w:shd w:fill="FFFFFF"/>
          </w:tcPr>
          <w:p>
            <w:pPr>
              <w:spacing w:before="0" w:after="0" w:line="264" w:lineRule="auto"/>
              <w:jc w:val="left"/>
            </w:pPr>
            <w:r>
              <w:rPr>
                <w:rFonts w:ascii="Arial" w:hAnsi="Arial"/>
                <w:b/>
                <w:i w:val="0"/>
                <w:color w:val="083C2F"/>
                <w:sz w:val="15"/>
              </w:rPr>
              <w:t>Personal y proporción prevista</w:t>
            </w:r>
            <w:r>
              <w:rPr>
                <w:rFonts w:ascii="Arial" w:hAnsi="Arial"/>
                <w:b w:val="0"/>
                <w:i w:val="0"/>
                <w:color w:val="64736D"/>
                <w:sz w:val="15"/>
              </w:rPr>
              <w:t xml:space="preserve"> (p. ej., 1 monitor por cada 12)</w:t>
            </w:r>
          </w:p>
          <w:p>
            <w:pPr>
              <w:spacing w:before="20" w:after="0" w:line="240" w:lineRule="auto"/>
            </w:pPr>
          </w:p>
        </w:tc>
      </w:tr>
      <w:tr>
        <w:trPr>
          <w:trHeight w:val="369" w:hRule="atLeast"/>
        </w:trPr>
        <w:tc>
          <w:tcPr>
            <w:tcW w:type="dxa" w:w="4989"/>
            <w:tcMar>
              <w:top w:w="100" w:type="dxa"/>
              <w:start w:w="120" w:type="dxa"/>
              <w:bottom w:w="100" w:type="dxa"/>
              <w:end w:w="120" w:type="dxa"/>
            </w:tcMar>
            <w:vAlign w:val="center"/>
            <w:shd w:fill="FFFFFF"/>
          </w:tcPr>
          <w:p>
            <w:pPr>
              <w:spacing w:before="0" w:after="0" w:line="264" w:lineRule="auto"/>
              <w:jc w:val="left"/>
            </w:pPr>
            <w:r>
              <w:rPr>
                <w:rFonts w:ascii="Arial" w:hAnsi="Arial"/>
                <w:b/>
                <w:i w:val="0"/>
                <w:color w:val="083C2F"/>
                <w:sz w:val="15"/>
              </w:rPr>
              <w:t>Contacto de la AMPA</w:t>
            </w:r>
            <w:r>
              <w:rPr>
                <w:rFonts w:ascii="Arial" w:hAnsi="Arial"/>
                <w:b w:val="0"/>
                <w:i w:val="0"/>
                <w:color w:val="64736D"/>
                <w:sz w:val="15"/>
              </w:rPr>
              <w:t xml:space="preserve"> (nombre, teléfono y correo)</w:t>
            </w:r>
          </w:p>
          <w:p>
            <w:pPr>
              <w:spacing w:before="20" w:after="0" w:line="240" w:lineRule="auto"/>
            </w:pPr>
          </w:p>
        </w:tc>
        <w:tc>
          <w:tcPr>
            <w:tcW w:type="dxa" w:w="4989"/>
            <w:tcMar>
              <w:top w:w="100" w:type="dxa"/>
              <w:start w:w="120" w:type="dxa"/>
              <w:bottom w:w="100" w:type="dxa"/>
              <w:end w:w="120" w:type="dxa"/>
            </w:tcMar>
            <w:vAlign w:val="center"/>
            <w:shd w:fill="FFFFFF"/>
          </w:tcPr>
          <w:p>
            <w:pPr>
              <w:spacing w:before="0" w:after="0" w:line="264" w:lineRule="auto"/>
              <w:jc w:val="left"/>
            </w:pPr>
            <w:r>
              <w:rPr>
                <w:rFonts w:ascii="Arial" w:hAnsi="Arial"/>
                <w:b/>
                <w:i w:val="0"/>
                <w:color w:val="083C2F"/>
                <w:sz w:val="15"/>
              </w:rPr>
              <w:t>Contacto del proveedor</w:t>
            </w:r>
            <w:r>
              <w:rPr>
                <w:rFonts w:ascii="Arial" w:hAnsi="Arial"/>
                <w:b w:val="0"/>
                <w:i w:val="0"/>
                <w:color w:val="64736D"/>
                <w:sz w:val="15"/>
              </w:rPr>
              <w:t xml:space="preserve"> (nombre, teléfono y correo)</w:t>
            </w:r>
          </w:p>
          <w:p>
            <w:pPr>
              <w:spacing w:before="20" w:after="0" w:line="240" w:lineRule="auto"/>
            </w:pPr>
          </w:p>
        </w:tc>
      </w:tr>
      <w:tr>
        <w:trPr>
          <w:trHeight w:val="369" w:hRule="atLeast"/>
        </w:trPr>
        <w:tc>
          <w:tcPr>
            <w:tcW w:type="dxa" w:w="4989"/>
            <w:tcMar>
              <w:top w:w="100" w:type="dxa"/>
              <w:start w:w="120" w:type="dxa"/>
              <w:bottom w:w="100" w:type="dxa"/>
              <w:end w:w="120" w:type="dxa"/>
            </w:tcMar>
            <w:vAlign w:val="center"/>
            <w:shd w:fill="FFFFFF"/>
          </w:tcPr>
          <w:p>
            <w:pPr>
              <w:spacing w:before="0" w:after="0" w:line="264" w:lineRule="auto"/>
              <w:jc w:val="left"/>
            </w:pPr>
            <w:r>
              <w:rPr>
                <w:rFonts w:ascii="Arial" w:hAnsi="Arial"/>
                <w:b/>
                <w:i w:val="0"/>
                <w:color w:val="083C2F"/>
                <w:sz w:val="15"/>
              </w:rPr>
              <w:t>Material que aporta la AMPA</w:t>
            </w:r>
            <w:r>
              <w:rPr>
                <w:rFonts w:ascii="Arial" w:hAnsi="Arial"/>
                <w:b w:val="0"/>
                <w:i w:val="0"/>
                <w:color w:val="64736D"/>
                <w:sz w:val="15"/>
              </w:rPr>
              <w:t xml:space="preserve"> (equipamiento o consumibles)</w:t>
            </w:r>
          </w:p>
          <w:p>
            <w:pPr>
              <w:spacing w:before="20" w:after="0" w:line="240" w:lineRule="auto"/>
            </w:pPr>
          </w:p>
        </w:tc>
        <w:tc>
          <w:tcPr>
            <w:tcW w:type="dxa" w:w="4989"/>
            <w:tcMar>
              <w:top w:w="100" w:type="dxa"/>
              <w:start w:w="120" w:type="dxa"/>
              <w:bottom w:w="100" w:type="dxa"/>
              <w:end w:w="120" w:type="dxa"/>
            </w:tcMar>
            <w:vAlign w:val="center"/>
            <w:shd w:fill="FFFFFF"/>
          </w:tcPr>
          <w:p>
            <w:pPr>
              <w:spacing w:before="0" w:after="0" w:line="264" w:lineRule="auto"/>
              <w:jc w:val="left"/>
            </w:pPr>
            <w:r>
              <w:rPr>
                <w:rFonts w:ascii="Arial" w:hAnsi="Arial"/>
                <w:b/>
                <w:i w:val="0"/>
                <w:color w:val="083C2F"/>
                <w:sz w:val="15"/>
              </w:rPr>
              <w:t>Material que aporta el proveedor</w:t>
            </w:r>
            <w:r>
              <w:rPr>
                <w:rFonts w:ascii="Arial" w:hAnsi="Arial"/>
                <w:b w:val="0"/>
                <w:i w:val="0"/>
                <w:color w:val="64736D"/>
                <w:sz w:val="15"/>
              </w:rPr>
              <w:t xml:space="preserve"> (equipamiento o consumibles)</w:t>
            </w:r>
          </w:p>
          <w:p>
            <w:pPr>
              <w:spacing w:before="20" w:after="0" w:line="240" w:lineRule="auto"/>
            </w:pPr>
          </w:p>
        </w:tc>
      </w:tr>
    </w:tbl>
    <w:p>
      <w:pPr>
        <w:pStyle w:val="Heading2"/>
      </w:pPr>
      <w:r>
        <w:t>Grupos, días y horarios</w:t>
      </w:r>
    </w:p>
    <w:p>
      <w:pPr>
        <w:spacing w:before="0" w:after="120" w:line="283" w:lineRule="auto"/>
      </w:pPr>
      <w:r>
        <w:rPr>
          <w:rFonts w:ascii="Arial" w:hAnsi="Arial"/>
          <w:b w:val="0"/>
          <w:i w:val="0"/>
          <w:color w:val="64736D"/>
          <w:sz w:val="17"/>
        </w:rPr>
        <w:t>Identificad cada grupo, por ejemplo «Infantil 1». Añadid otra hoja si necesitáis más filas e incluid el tiempo de entrada, salida o preparación.</w:t>
      </w:r>
    </w:p>
    <w:tbl>
      <w:tblPr>
        <w:tblW w:type="dxa" w:w="9978"/>
        <w:jc w:val="left"/>
        <w:tblLayout w:type="fixed"/>
        <w:tblLook w:firstColumn="1" w:firstRow="1" w:lastColumn="0" w:lastRow="0" w:noHBand="0" w:noVBand="1" w:val="04A0"/>
        <w:tblInd w:w="120" w:type="dxa"/>
        <w:tblBorders>
          <w:top w:val="single" w:sz="5" w:space="0" w:color="DBE4D5"/>
          <w:left w:val="single" w:sz="5" w:space="0" w:color="DBE4D5"/>
          <w:bottom w:val="single" w:sz="5" w:space="0" w:color="DBE4D5"/>
          <w:right w:val="single" w:sz="5" w:space="0" w:color="DBE4D5"/>
          <w:insideH w:val="single" w:sz="5" w:space="0" w:color="DBE4D5"/>
          <w:insideV w:val="single" w:sz="5" w:space="0" w:color="DBE4D5"/>
        </w:tblBorders>
      </w:tblPr>
      <w:tblGrid>
        <w:gridCol w:w="1800"/>
        <w:gridCol w:w="2200"/>
        <w:gridCol w:w="2400"/>
        <w:gridCol w:w="3578"/>
      </w:tblGrid>
      <w:tr>
        <w:trPr>
          <w:trHeight w:val="454" w:hRule="atLeast"/>
          <w:tblHeader w:val="true"/>
        </w:trPr>
        <w:tc>
          <w:tcPr>
            <w:tcW w:type="dxa" w:w="1800"/>
            <w:tcMar>
              <w:top w:w="100" w:type="dxa"/>
              <w:start w:w="120" w:type="dxa"/>
              <w:bottom w:w="100" w:type="dxa"/>
              <w:end w:w="120" w:type="dxa"/>
            </w:tcMar>
            <w:vAlign w:val="center"/>
            <w:shd w:fill="F3F7F5"/>
          </w:tcPr>
          <w:p>
            <w:pPr>
              <w:spacing w:before="0" w:after="0" w:line="264" w:lineRule="auto"/>
              <w:jc w:val="left"/>
            </w:pPr>
            <w:r>
              <w:rPr>
                <w:rFonts w:ascii="Arial" w:hAnsi="Arial"/>
                <w:b/>
                <w:i w:val="0"/>
                <w:color w:val="083C2F"/>
                <w:sz w:val="15"/>
              </w:rPr>
              <w:t>Grupo</w:t>
            </w:r>
          </w:p>
        </w:tc>
        <w:tc>
          <w:tcPr>
            <w:tcW w:type="dxa" w:w="2200"/>
            <w:tcMar>
              <w:top w:w="100" w:type="dxa"/>
              <w:start w:w="120" w:type="dxa"/>
              <w:bottom w:w="100" w:type="dxa"/>
              <w:end w:w="120" w:type="dxa"/>
            </w:tcMar>
            <w:vAlign w:val="center"/>
            <w:shd w:fill="F3F7F5"/>
          </w:tcPr>
          <w:p>
            <w:pPr>
              <w:spacing w:before="0" w:after="0" w:line="264" w:lineRule="auto"/>
              <w:jc w:val="left"/>
            </w:pPr>
            <w:r>
              <w:rPr>
                <w:rFonts w:ascii="Arial" w:hAnsi="Arial"/>
                <w:b/>
                <w:i w:val="0"/>
                <w:color w:val="083C2F"/>
                <w:sz w:val="15"/>
              </w:rPr>
              <w:t>Días</w:t>
            </w:r>
          </w:p>
        </w:tc>
        <w:tc>
          <w:tcPr>
            <w:tcW w:type="dxa" w:w="2400"/>
            <w:tcMar>
              <w:top w:w="100" w:type="dxa"/>
              <w:start w:w="120" w:type="dxa"/>
              <w:bottom w:w="100" w:type="dxa"/>
              <w:end w:w="120" w:type="dxa"/>
            </w:tcMar>
            <w:vAlign w:val="center"/>
            <w:shd w:fill="F3F7F5"/>
          </w:tcPr>
          <w:p>
            <w:pPr>
              <w:spacing w:before="0" w:after="0" w:line="264" w:lineRule="auto"/>
              <w:jc w:val="left"/>
            </w:pPr>
            <w:r>
              <w:rPr>
                <w:rFonts w:ascii="Arial" w:hAnsi="Arial"/>
                <w:b/>
                <w:i w:val="0"/>
                <w:color w:val="083C2F"/>
                <w:sz w:val="15"/>
              </w:rPr>
              <w:t>Horario</w:t>
            </w:r>
          </w:p>
        </w:tc>
        <w:tc>
          <w:tcPr>
            <w:tcW w:type="dxa" w:w="3578"/>
            <w:tcMar>
              <w:top w:w="100" w:type="dxa"/>
              <w:start w:w="120" w:type="dxa"/>
              <w:bottom w:w="100" w:type="dxa"/>
              <w:end w:w="120" w:type="dxa"/>
            </w:tcMar>
            <w:vAlign w:val="center"/>
            <w:shd w:fill="F3F7F5"/>
          </w:tcPr>
          <w:p>
            <w:pPr>
              <w:spacing w:before="0" w:after="0" w:line="264" w:lineRule="auto"/>
              <w:jc w:val="left"/>
            </w:pPr>
            <w:r>
              <w:rPr>
                <w:rFonts w:ascii="Arial" w:hAnsi="Arial"/>
                <w:b/>
                <w:i w:val="0"/>
                <w:color w:val="083C2F"/>
                <w:sz w:val="15"/>
              </w:rPr>
              <w:t>Espacio</w:t>
            </w:r>
          </w:p>
        </w:tc>
      </w:tr>
      <w:tr>
        <w:trPr>
          <w:trHeight w:val="454" w:hRule="atLeast"/>
        </w:trPr>
        <w:tc>
          <w:tcPr>
            <w:tcW w:type="dxa" w:w="1800"/>
            <w:tcMar>
              <w:top w:w="100" w:type="dxa"/>
              <w:start w:w="120" w:type="dxa"/>
              <w:bottom w:w="100" w:type="dxa"/>
              <w:end w:w="120" w:type="dxa"/>
            </w:tcMar>
            <w:vAlign w:val="center"/>
          </w:tcPr>
          <w:p>
            <w:pPr>
              <w:spacing w:before="0" w:after="0" w:line="264" w:lineRule="auto"/>
              <w:jc w:val="left"/>
            </w:pPr>
            <w:r>
              <w:rPr>
                <w:rFonts w:ascii="Arial" w:hAnsi="Arial"/>
                <w:b w:val="0"/>
                <w:i w:val="0"/>
                <w:color w:val="64736D"/>
                <w:sz w:val="16"/>
              </w:rPr>
            </w:r>
          </w:p>
        </w:tc>
        <w:tc>
          <w:tcPr>
            <w:tcW w:type="dxa" w:w="2200"/>
            <w:tcMar>
              <w:top w:w="100" w:type="dxa"/>
              <w:start w:w="120" w:type="dxa"/>
              <w:bottom w:w="100" w:type="dxa"/>
              <w:end w:w="120" w:type="dxa"/>
            </w:tcMar>
            <w:vAlign w:val="center"/>
          </w:tcPr>
          <w:p>
            <w:pPr>
              <w:spacing w:before="0" w:after="0" w:line="264" w:lineRule="auto"/>
              <w:jc w:val="left"/>
            </w:pPr>
            <w:r>
              <w:rPr>
                <w:rFonts w:ascii="Arial" w:hAnsi="Arial"/>
                <w:b w:val="0"/>
                <w:i w:val="0"/>
                <w:color w:val="64736D"/>
                <w:sz w:val="16"/>
              </w:rPr>
            </w:r>
          </w:p>
        </w:tc>
        <w:tc>
          <w:tcPr>
            <w:tcW w:type="dxa" w:w="2400"/>
            <w:tcMar>
              <w:top w:w="100" w:type="dxa"/>
              <w:start w:w="120" w:type="dxa"/>
              <w:bottom w:w="100" w:type="dxa"/>
              <w:end w:w="120" w:type="dxa"/>
            </w:tcMar>
            <w:vAlign w:val="center"/>
          </w:tcPr>
          <w:p>
            <w:pPr>
              <w:spacing w:before="0" w:after="0" w:line="264" w:lineRule="auto"/>
              <w:jc w:val="left"/>
            </w:pPr>
            <w:r>
              <w:rPr>
                <w:rFonts w:ascii="Arial" w:hAnsi="Arial"/>
                <w:b w:val="0"/>
                <w:i w:val="0"/>
                <w:color w:val="64736D"/>
                <w:sz w:val="16"/>
              </w:rPr>
            </w:r>
          </w:p>
        </w:tc>
        <w:tc>
          <w:tcPr>
            <w:tcW w:type="dxa" w:w="3578"/>
            <w:tcMar>
              <w:top w:w="100" w:type="dxa"/>
              <w:start w:w="120" w:type="dxa"/>
              <w:bottom w:w="100" w:type="dxa"/>
              <w:end w:w="120" w:type="dxa"/>
            </w:tcMar>
            <w:vAlign w:val="center"/>
          </w:tcPr>
          <w:p>
            <w:pPr>
              <w:spacing w:before="0" w:after="0" w:line="264" w:lineRule="auto"/>
              <w:jc w:val="left"/>
            </w:pPr>
            <w:r>
              <w:rPr>
                <w:rFonts w:ascii="Arial" w:hAnsi="Arial"/>
                <w:b w:val="0"/>
                <w:i w:val="0"/>
                <w:color w:val="64736D"/>
                <w:sz w:val="16"/>
              </w:rPr>
            </w:r>
          </w:p>
        </w:tc>
      </w:tr>
      <w:tr>
        <w:trPr>
          <w:trHeight w:val="454" w:hRule="atLeast"/>
        </w:trPr>
        <w:tc>
          <w:tcPr>
            <w:tcW w:type="dxa" w:w="1800"/>
            <w:tcMar>
              <w:top w:w="100" w:type="dxa"/>
              <w:start w:w="120" w:type="dxa"/>
              <w:bottom w:w="100" w:type="dxa"/>
              <w:end w:w="120" w:type="dxa"/>
            </w:tcMar>
            <w:vAlign w:val="center"/>
          </w:tcPr>
          <w:p>
            <w:pPr>
              <w:spacing w:before="0" w:after="0" w:line="264" w:lineRule="auto"/>
              <w:jc w:val="left"/>
            </w:pPr>
            <w:r>
              <w:rPr>
                <w:rFonts w:ascii="Arial" w:hAnsi="Arial"/>
                <w:b w:val="0"/>
                <w:i w:val="0"/>
                <w:color w:val="64736D"/>
                <w:sz w:val="16"/>
              </w:rPr>
            </w:r>
          </w:p>
        </w:tc>
        <w:tc>
          <w:tcPr>
            <w:tcW w:type="dxa" w:w="2200"/>
            <w:tcMar>
              <w:top w:w="100" w:type="dxa"/>
              <w:start w:w="120" w:type="dxa"/>
              <w:bottom w:w="100" w:type="dxa"/>
              <w:end w:w="120" w:type="dxa"/>
            </w:tcMar>
            <w:vAlign w:val="center"/>
          </w:tcPr>
          <w:p>
            <w:pPr>
              <w:spacing w:before="0" w:after="0" w:line="264" w:lineRule="auto"/>
              <w:jc w:val="left"/>
            </w:pPr>
            <w:r>
              <w:rPr>
                <w:rFonts w:ascii="Arial" w:hAnsi="Arial"/>
                <w:b w:val="0"/>
                <w:i w:val="0"/>
                <w:color w:val="64736D"/>
                <w:sz w:val="16"/>
              </w:rPr>
            </w:r>
          </w:p>
        </w:tc>
        <w:tc>
          <w:tcPr>
            <w:tcW w:type="dxa" w:w="2400"/>
            <w:tcMar>
              <w:top w:w="100" w:type="dxa"/>
              <w:start w:w="120" w:type="dxa"/>
              <w:bottom w:w="100" w:type="dxa"/>
              <w:end w:w="120" w:type="dxa"/>
            </w:tcMar>
            <w:vAlign w:val="center"/>
          </w:tcPr>
          <w:p>
            <w:pPr>
              <w:spacing w:before="0" w:after="0" w:line="264" w:lineRule="auto"/>
              <w:jc w:val="left"/>
            </w:pPr>
            <w:r>
              <w:rPr>
                <w:rFonts w:ascii="Arial" w:hAnsi="Arial"/>
                <w:b w:val="0"/>
                <w:i w:val="0"/>
                <w:color w:val="64736D"/>
                <w:sz w:val="16"/>
              </w:rPr>
            </w:r>
          </w:p>
        </w:tc>
        <w:tc>
          <w:tcPr>
            <w:tcW w:type="dxa" w:w="3578"/>
            <w:tcMar>
              <w:top w:w="100" w:type="dxa"/>
              <w:start w:w="120" w:type="dxa"/>
              <w:bottom w:w="100" w:type="dxa"/>
              <w:end w:w="120" w:type="dxa"/>
            </w:tcMar>
            <w:vAlign w:val="center"/>
          </w:tcPr>
          <w:p>
            <w:pPr>
              <w:spacing w:before="0" w:after="0" w:line="264" w:lineRule="auto"/>
              <w:jc w:val="left"/>
            </w:pPr>
            <w:r>
              <w:rPr>
                <w:rFonts w:ascii="Arial" w:hAnsi="Arial"/>
                <w:b w:val="0"/>
                <w:i w:val="0"/>
                <w:color w:val="64736D"/>
                <w:sz w:val="16"/>
              </w:rPr>
            </w:r>
          </w:p>
        </w:tc>
      </w:tr>
      <w:tr>
        <w:trPr>
          <w:trHeight w:val="454" w:hRule="atLeast"/>
        </w:trPr>
        <w:tc>
          <w:tcPr>
            <w:tcW w:type="dxa" w:w="1800"/>
            <w:tcMar>
              <w:top w:w="100" w:type="dxa"/>
              <w:start w:w="120" w:type="dxa"/>
              <w:bottom w:w="100" w:type="dxa"/>
              <w:end w:w="120" w:type="dxa"/>
            </w:tcMar>
            <w:vAlign w:val="center"/>
          </w:tcPr>
          <w:p>
            <w:pPr>
              <w:spacing w:before="0" w:after="0" w:line="264" w:lineRule="auto"/>
              <w:jc w:val="left"/>
            </w:pPr>
            <w:r>
              <w:rPr>
                <w:rFonts w:ascii="Arial" w:hAnsi="Arial"/>
                <w:b w:val="0"/>
                <w:i w:val="0"/>
                <w:color w:val="64736D"/>
                <w:sz w:val="16"/>
              </w:rPr>
            </w:r>
          </w:p>
        </w:tc>
        <w:tc>
          <w:tcPr>
            <w:tcW w:type="dxa" w:w="2200"/>
            <w:tcMar>
              <w:top w:w="100" w:type="dxa"/>
              <w:start w:w="120" w:type="dxa"/>
              <w:bottom w:w="100" w:type="dxa"/>
              <w:end w:w="120" w:type="dxa"/>
            </w:tcMar>
            <w:vAlign w:val="center"/>
          </w:tcPr>
          <w:p>
            <w:pPr>
              <w:spacing w:before="0" w:after="0" w:line="264" w:lineRule="auto"/>
              <w:jc w:val="left"/>
            </w:pPr>
            <w:r>
              <w:rPr>
                <w:rFonts w:ascii="Arial" w:hAnsi="Arial"/>
                <w:b w:val="0"/>
                <w:i w:val="0"/>
                <w:color w:val="64736D"/>
                <w:sz w:val="16"/>
              </w:rPr>
            </w:r>
          </w:p>
        </w:tc>
        <w:tc>
          <w:tcPr>
            <w:tcW w:type="dxa" w:w="2400"/>
            <w:tcMar>
              <w:top w:w="100" w:type="dxa"/>
              <w:start w:w="120" w:type="dxa"/>
              <w:bottom w:w="100" w:type="dxa"/>
              <w:end w:w="120" w:type="dxa"/>
            </w:tcMar>
            <w:vAlign w:val="center"/>
          </w:tcPr>
          <w:p>
            <w:pPr>
              <w:spacing w:before="0" w:after="0" w:line="264" w:lineRule="auto"/>
              <w:jc w:val="left"/>
            </w:pPr>
            <w:r>
              <w:rPr>
                <w:rFonts w:ascii="Arial" w:hAnsi="Arial"/>
                <w:b w:val="0"/>
                <w:i w:val="0"/>
                <w:color w:val="64736D"/>
                <w:sz w:val="16"/>
              </w:rPr>
            </w:r>
          </w:p>
        </w:tc>
        <w:tc>
          <w:tcPr>
            <w:tcW w:type="dxa" w:w="3578"/>
            <w:tcMar>
              <w:top w:w="100" w:type="dxa"/>
              <w:start w:w="120" w:type="dxa"/>
              <w:bottom w:w="100" w:type="dxa"/>
              <w:end w:w="120" w:type="dxa"/>
            </w:tcMar>
            <w:vAlign w:val="center"/>
          </w:tcPr>
          <w:p>
            <w:pPr>
              <w:spacing w:before="0" w:after="0" w:line="264" w:lineRule="auto"/>
              <w:jc w:val="left"/>
            </w:pPr>
            <w:r>
              <w:rPr>
                <w:rFonts w:ascii="Arial" w:hAnsi="Arial"/>
                <w:b w:val="0"/>
                <w:i w:val="0"/>
                <w:color w:val="64736D"/>
                <w:sz w:val="16"/>
              </w:rPr>
            </w:r>
          </w:p>
        </w:tc>
      </w:tr>
    </w:tbl>
    <w:p>
      <w:pPr>
        <w:pStyle w:val="Heading2"/>
      </w:pPr>
      <w:r>
        <w:t>Precio, facturación y pago</w:t>
      </w:r>
    </w:p>
    <w:p>
      <w:pPr>
        <w:spacing w:before="0" w:after="120" w:line="283" w:lineRule="auto"/>
      </w:pPr>
      <w:r>
        <w:rPr>
          <w:rFonts w:ascii="Arial" w:hAnsi="Arial"/>
          <w:b w:val="0"/>
          <w:i w:val="0"/>
          <w:color w:val="64736D"/>
          <w:sz w:val="17"/>
        </w:rPr>
        <w:t>El proveedor emitirá facturas completas. Los cambios de precio, grupo mínimo o servicio solo tendrán efecto si ambas partes los aceptan por escrito.</w:t>
      </w:r>
    </w:p>
    <w:tbl>
      <w:tblPr>
        <w:tblW w:type="dxa" w:w="9978"/>
        <w:jc w:val="left"/>
        <w:tblLayout w:type="fixed"/>
        <w:tblLook w:firstColumn="1" w:firstRow="1" w:lastColumn="0" w:lastRow="0" w:noHBand="0" w:noVBand="1" w:val="04A0"/>
        <w:tblInd w:w="120" w:type="dxa"/>
        <w:tblBorders>
          <w:top w:val="single" w:sz="5" w:space="0" w:color="DBE4D5"/>
          <w:left w:val="single" w:sz="5" w:space="0" w:color="DBE4D5"/>
          <w:bottom w:val="single" w:sz="5" w:space="0" w:color="DBE4D5"/>
          <w:right w:val="single" w:sz="5" w:space="0" w:color="DBE4D5"/>
          <w:insideH w:val="single" w:sz="5" w:space="0" w:color="DBE4D5"/>
          <w:insideV w:val="single" w:sz="5" w:space="0" w:color="DBE4D5"/>
        </w:tblBorders>
      </w:tblPr>
      <w:tblGrid>
        <w:gridCol w:w="4989"/>
        <w:gridCol w:w="4989"/>
      </w:tblGrid>
      <w:tr>
        <w:trPr>
          <w:trHeight w:val="369" w:hRule="atLeast"/>
        </w:trPr>
        <w:tc>
          <w:tcPr>
            <w:tcW w:type="dxa" w:w="4989"/>
            <w:tcMar>
              <w:top w:w="100" w:type="dxa"/>
              <w:start w:w="120" w:type="dxa"/>
              <w:bottom w:w="100" w:type="dxa"/>
              <w:end w:w="120" w:type="dxa"/>
            </w:tcMar>
            <w:vAlign w:val="center"/>
            <w:shd w:fill="FFFFFF"/>
          </w:tcPr>
          <w:p>
            <w:pPr>
              <w:spacing w:before="0" w:after="0" w:line="264" w:lineRule="auto"/>
              <w:jc w:val="left"/>
            </w:pPr>
            <w:r>
              <w:rPr>
                <w:rFonts w:ascii="Arial" w:hAnsi="Arial"/>
                <w:b/>
                <w:i w:val="0"/>
                <w:color w:val="083C2F"/>
                <w:sz w:val="15"/>
              </w:rPr>
              <w:t>Precio del proveedor</w:t>
            </w:r>
            <w:r>
              <w:rPr>
                <w:rFonts w:ascii="Arial" w:hAnsi="Arial"/>
                <w:b w:val="0"/>
                <w:i w:val="0"/>
                <w:color w:val="64736D"/>
                <w:sz w:val="15"/>
              </w:rPr>
              <w:t xml:space="preserve"> (por grupo, participante, hora o mes)</w:t>
            </w:r>
          </w:p>
          <w:p>
            <w:pPr>
              <w:spacing w:before="20" w:after="0" w:line="240" w:lineRule="auto"/>
            </w:pPr>
          </w:p>
        </w:tc>
        <w:tc>
          <w:tcPr>
            <w:tcW w:type="dxa" w:w="4989"/>
            <w:tcMar>
              <w:top w:w="100" w:type="dxa"/>
              <w:start w:w="120" w:type="dxa"/>
              <w:bottom w:w="100" w:type="dxa"/>
              <w:end w:w="120" w:type="dxa"/>
            </w:tcMar>
            <w:vAlign w:val="center"/>
            <w:shd w:fill="FFFFFF"/>
          </w:tcPr>
          <w:p>
            <w:pPr>
              <w:spacing w:before="0" w:after="0" w:line="264" w:lineRule="auto"/>
              <w:jc w:val="left"/>
            </w:pPr>
            <w:r>
              <w:rPr>
                <w:rFonts w:ascii="Arial" w:hAnsi="Arial"/>
                <w:b/>
                <w:i w:val="0"/>
                <w:color w:val="083C2F"/>
                <w:sz w:val="15"/>
              </w:rPr>
              <w:t>Impuestos</w:t>
            </w:r>
            <w:r>
              <w:rPr>
                <w:rFonts w:ascii="Arial" w:hAnsi="Arial"/>
                <w:b w:val="0"/>
                <w:i w:val="0"/>
                <w:color w:val="64736D"/>
                <w:sz w:val="15"/>
              </w:rPr>
              <w:t xml:space="preserve"> (tipo, importe o motivo de exención)</w:t>
            </w:r>
          </w:p>
          <w:p>
            <w:pPr>
              <w:spacing w:before="20" w:after="0" w:line="240" w:lineRule="auto"/>
            </w:pPr>
          </w:p>
        </w:tc>
      </w:tr>
      <w:tr>
        <w:trPr>
          <w:trHeight w:val="369" w:hRule="atLeast"/>
        </w:trPr>
        <w:tc>
          <w:tcPr>
            <w:tcW w:type="dxa" w:w="4989"/>
            <w:tcMar>
              <w:top w:w="100" w:type="dxa"/>
              <w:start w:w="120" w:type="dxa"/>
              <w:bottom w:w="100" w:type="dxa"/>
              <w:end w:w="120" w:type="dxa"/>
            </w:tcMar>
            <w:vAlign w:val="center"/>
            <w:shd w:fill="FFFFFF"/>
          </w:tcPr>
          <w:p>
            <w:pPr>
              <w:spacing w:before="0" w:after="0" w:line="264" w:lineRule="auto"/>
              <w:jc w:val="left"/>
            </w:pPr>
            <w:r>
              <w:rPr>
                <w:rFonts w:ascii="Arial" w:hAnsi="Arial"/>
                <w:b/>
                <w:i w:val="0"/>
                <w:color w:val="083C2F"/>
                <w:sz w:val="15"/>
              </w:rPr>
              <w:t>Importe total previsto</w:t>
            </w:r>
            <w:r>
              <w:rPr>
                <w:rFonts w:ascii="Arial" w:hAnsi="Arial"/>
                <w:b w:val="0"/>
                <w:i w:val="0"/>
                <w:color w:val="64736D"/>
                <w:sz w:val="15"/>
              </w:rPr>
              <w:t xml:space="preserve"> (estimación para toda la duración)</w:t>
            </w:r>
          </w:p>
          <w:p>
            <w:pPr>
              <w:spacing w:before="20" w:after="0" w:line="240" w:lineRule="auto"/>
            </w:pPr>
          </w:p>
        </w:tc>
        <w:tc>
          <w:tcPr>
            <w:tcW w:type="dxa" w:w="4989"/>
            <w:tcMar>
              <w:top w:w="100" w:type="dxa"/>
              <w:start w:w="120" w:type="dxa"/>
              <w:bottom w:w="100" w:type="dxa"/>
              <w:end w:w="120" w:type="dxa"/>
            </w:tcMar>
            <w:vAlign w:val="center"/>
            <w:shd w:fill="FFFFFF"/>
          </w:tcPr>
          <w:p>
            <w:pPr>
              <w:spacing w:before="0" w:after="0" w:line="264" w:lineRule="auto"/>
              <w:jc w:val="left"/>
            </w:pPr>
            <w:r>
              <w:rPr>
                <w:rFonts w:ascii="Arial" w:hAnsi="Arial"/>
                <w:b/>
                <w:i w:val="0"/>
                <w:color w:val="083C2F"/>
                <w:sz w:val="15"/>
              </w:rPr>
              <w:t>Periodicidad de las facturas</w:t>
            </w:r>
            <w:r>
              <w:rPr>
                <w:rFonts w:ascii="Arial" w:hAnsi="Arial"/>
                <w:b w:val="0"/>
                <w:i w:val="0"/>
                <w:color w:val="64736D"/>
                <w:sz w:val="15"/>
              </w:rPr>
              <w:t xml:space="preserve"> (mensual, trimestral...)</w:t>
            </w:r>
          </w:p>
          <w:p>
            <w:pPr>
              <w:spacing w:before="20" w:after="0" w:line="240" w:lineRule="auto"/>
            </w:pPr>
          </w:p>
        </w:tc>
      </w:tr>
      <w:tr>
        <w:trPr>
          <w:trHeight w:val="369" w:hRule="atLeast"/>
        </w:trPr>
        <w:tc>
          <w:tcPr>
            <w:tcW w:type="dxa" w:w="4989"/>
            <w:tcMar>
              <w:top w:w="100" w:type="dxa"/>
              <w:start w:w="120" w:type="dxa"/>
              <w:bottom w:w="100" w:type="dxa"/>
              <w:end w:w="120" w:type="dxa"/>
            </w:tcMar>
            <w:vAlign w:val="center"/>
            <w:shd w:fill="FFFFFF"/>
          </w:tcPr>
          <w:p>
            <w:pPr>
              <w:spacing w:before="0" w:after="0" w:line="264" w:lineRule="auto"/>
              <w:jc w:val="left"/>
            </w:pPr>
            <w:r>
              <w:rPr>
                <w:rFonts w:ascii="Arial" w:hAnsi="Arial"/>
                <w:b/>
                <w:i w:val="0"/>
                <w:color w:val="083C2F"/>
                <w:sz w:val="15"/>
              </w:rPr>
              <w:t>Plazo y forma de pago</w:t>
            </w:r>
            <w:r>
              <w:rPr>
                <w:rFonts w:ascii="Arial" w:hAnsi="Arial"/>
                <w:b w:val="0"/>
                <w:i w:val="0"/>
                <w:color w:val="64736D"/>
                <w:sz w:val="15"/>
              </w:rPr>
              <w:t xml:space="preserve"> (p. ej., transferencia en 15 días)</w:t>
            </w:r>
          </w:p>
          <w:p>
            <w:pPr>
              <w:spacing w:before="20" w:after="0" w:line="240" w:lineRule="auto"/>
            </w:pPr>
          </w:p>
        </w:tc>
        <w:tc>
          <w:tcPr>
            <w:tcW w:type="dxa" w:w="4989"/>
            <w:tcMar>
              <w:top w:w="100" w:type="dxa"/>
              <w:start w:w="120" w:type="dxa"/>
              <w:bottom w:w="100" w:type="dxa"/>
              <w:end w:w="120" w:type="dxa"/>
            </w:tcMar>
            <w:vAlign w:val="center"/>
            <w:shd w:fill="FFFFFF"/>
          </w:tcPr>
          <w:p>
            <w:pPr>
              <w:spacing w:before="0" w:after="0" w:line="264" w:lineRule="auto"/>
              <w:jc w:val="left"/>
            </w:pPr>
            <w:r>
              <w:rPr>
                <w:rFonts w:ascii="Arial" w:hAnsi="Arial"/>
                <w:b/>
                <w:i w:val="0"/>
                <w:color w:val="083C2F"/>
                <w:sz w:val="15"/>
              </w:rPr>
              <w:t>Cuenta bancaria del proveedor</w:t>
            </w:r>
            <w:r>
              <w:rPr>
                <w:rFonts w:ascii="Arial" w:hAnsi="Arial"/>
                <w:b w:val="0"/>
                <w:i w:val="0"/>
                <w:color w:val="64736D"/>
                <w:sz w:val="15"/>
              </w:rPr>
              <w:t xml:space="preserve"> (IBAN o cuenta acordada)</w:t>
            </w:r>
          </w:p>
          <w:p>
            <w:pPr>
              <w:spacing w:before="20" w:after="0" w:line="240" w:lineRule="auto"/>
            </w:pPr>
          </w:p>
        </w:tc>
      </w:tr>
    </w:tbl>
    <w:p>
      <w:pPr>
        <w:pStyle w:val="Heading1"/>
        <w:pageBreakBefore/>
        <w:spacing w:before="80" w:after="40"/>
      </w:pPr>
      <w:r>
        <w:rPr>
          <w:rFonts w:ascii="Arial" w:hAnsi="Arial"/>
          <w:b/>
          <w:i w:val="0"/>
          <w:color w:val="083C2F"/>
          <w:sz w:val="36"/>
        </w:rPr>
        <w:t>Responsabilidades y personal</w:t>
      </w:r>
    </w:p>
    <w:p>
      <w:pPr>
        <w:spacing w:after="140" w:line="300" w:lineRule="auto"/>
      </w:pPr>
      <w:r>
        <w:rPr>
          <w:rFonts w:ascii="Arial" w:hAnsi="Arial"/>
          <w:b w:val="0"/>
          <w:i w:val="0"/>
          <w:color w:val="64736D"/>
          <w:sz w:val="21"/>
        </w:rPr>
        <w:t>El contrato separa la gestión con las familias de la ejecución diaria del servicio.</w:t>
      </w:r>
    </w:p>
    <w:p>
      <w:pPr>
        <w:pStyle w:val="Heading2"/>
      </w:pPr>
      <w:r>
        <w:t>3. Tareas de la AMPA</w:t>
      </w:r>
    </w:p>
    <w:p>
      <w:pPr>
        <w:spacing w:before="0" w:after="120" w:line="288" w:lineRule="auto"/>
      </w:pPr>
      <w:r>
        <w:rPr>
          <w:rFonts w:ascii="Arial" w:hAnsi="Arial"/>
          <w:b w:val="0"/>
          <w:i w:val="0"/>
          <w:color w:val="1C2521"/>
          <w:sz w:val="18"/>
        </w:rPr>
        <w:t>La AMPA asume la organización general del servicio frente a las familias y cumplirá las decisiones que le correspondan como entidad organizadora.</w:t>
      </w:r>
    </w:p>
    <w:p>
      <w:pPr>
        <w:pStyle w:val="ListBullet"/>
        <w:spacing w:before="0" w:after="60" w:line="276" w:lineRule="auto"/>
        <w:ind w:left="340" w:hanging="170"/>
      </w:pPr>
      <w:r>
        <w:rPr>
          <w:rFonts w:ascii="Arial" w:hAnsi="Arial"/>
          <w:b w:val="0"/>
          <w:i w:val="0"/>
          <w:color w:val="1C2521"/>
          <w:sz w:val="18"/>
        </w:rPr>
        <w:t>Definir la oferta, informar a las familias y gestionar inscripciones, cuotas, bajas y devoluciones.</w:t>
      </w:r>
    </w:p>
    <w:p>
      <w:pPr>
        <w:pStyle w:val="ListBullet"/>
        <w:spacing w:before="0" w:after="60" w:line="276" w:lineRule="auto"/>
        <w:ind w:left="340" w:hanging="170"/>
      </w:pPr>
      <w:r>
        <w:rPr>
          <w:rFonts w:ascii="Arial" w:hAnsi="Arial"/>
          <w:b w:val="0"/>
          <w:i w:val="0"/>
          <w:color w:val="1C2521"/>
          <w:sz w:val="18"/>
        </w:rPr>
        <w:t>Facilitar al proveedor la información necesaria y actualizada para prestar el servicio.</w:t>
      </w:r>
    </w:p>
    <w:p>
      <w:pPr>
        <w:pStyle w:val="ListBullet"/>
        <w:spacing w:before="0" w:after="60" w:line="276" w:lineRule="auto"/>
        <w:ind w:left="340" w:hanging="170"/>
      </w:pPr>
      <w:r>
        <w:rPr>
          <w:rFonts w:ascii="Arial" w:hAnsi="Arial"/>
          <w:b w:val="0"/>
          <w:i w:val="0"/>
          <w:color w:val="1C2521"/>
          <w:sz w:val="18"/>
        </w:rPr>
        <w:t>Coordinar con el centro el uso de espacios y comunicar sus normas e instrucciones.</w:t>
      </w:r>
    </w:p>
    <w:p>
      <w:pPr>
        <w:pStyle w:val="ListBullet"/>
        <w:spacing w:before="0" w:after="60" w:line="276" w:lineRule="auto"/>
        <w:ind w:left="340" w:hanging="170"/>
      </w:pPr>
      <w:r>
        <w:rPr>
          <w:rFonts w:ascii="Arial" w:hAnsi="Arial"/>
          <w:b w:val="0"/>
          <w:i w:val="0"/>
          <w:color w:val="1C2521"/>
          <w:sz w:val="18"/>
        </w:rPr>
        <w:t>Designar una persona de contacto y responder a las decisiones que no correspondan al personal del proveedor.</w:t>
      </w:r>
    </w:p>
    <w:p>
      <w:pPr>
        <w:pStyle w:val="ListBullet"/>
        <w:spacing w:before="0" w:after="60" w:line="276" w:lineRule="auto"/>
        <w:ind w:left="340" w:hanging="170"/>
      </w:pPr>
      <w:r>
        <w:rPr>
          <w:rFonts w:ascii="Arial" w:hAnsi="Arial"/>
          <w:b w:val="0"/>
          <w:i w:val="0"/>
          <w:color w:val="1C2521"/>
          <w:sz w:val="18"/>
        </w:rPr>
        <w:t>No pedir al proveedor actuaciones contrarias a la ley, a la seguridad o a este contrato.</w:t>
      </w:r>
    </w:p>
    <w:p>
      <w:pPr>
        <w:pStyle w:val="Heading2"/>
      </w:pPr>
      <w:r>
        <w:t>4. Tareas del proveedor</w:t>
      </w:r>
    </w:p>
    <w:p>
      <w:pPr>
        <w:spacing w:before="0" w:after="120" w:line="288" w:lineRule="auto"/>
      </w:pPr>
      <w:r>
        <w:rPr>
          <w:rFonts w:ascii="Arial" w:hAnsi="Arial"/>
          <w:b w:val="0"/>
          <w:i w:val="0"/>
          <w:color w:val="1C2521"/>
          <w:sz w:val="18"/>
        </w:rPr>
        <w:t>El proveedor asume la ejecución profesional del servicio y la organización de sus medios y de su personal.</w:t>
      </w:r>
    </w:p>
    <w:p>
      <w:pPr>
        <w:pStyle w:val="ListBullet"/>
        <w:spacing w:before="0" w:after="60" w:line="276" w:lineRule="auto"/>
        <w:ind w:left="340" w:hanging="170"/>
      </w:pPr>
      <w:r>
        <w:rPr>
          <w:rFonts w:ascii="Arial" w:hAnsi="Arial"/>
          <w:b w:val="0"/>
          <w:i w:val="0"/>
          <w:color w:val="1C2521"/>
          <w:sz w:val="18"/>
        </w:rPr>
        <w:t>Prestar el servicio acordado con continuidad, puntualidad y una calidad adecuada.</w:t>
      </w:r>
    </w:p>
    <w:p>
      <w:pPr>
        <w:pStyle w:val="ListBullet"/>
        <w:spacing w:before="0" w:after="60" w:line="276" w:lineRule="auto"/>
        <w:ind w:left="340" w:hanging="170"/>
      </w:pPr>
      <w:r>
        <w:rPr>
          <w:rFonts w:ascii="Arial" w:hAnsi="Arial"/>
          <w:b w:val="0"/>
          <w:i w:val="0"/>
          <w:color w:val="1C2521"/>
          <w:sz w:val="18"/>
        </w:rPr>
        <w:t>Aportar personal suficiente, formado y legalmente habilitado cuando sea necesario.</w:t>
      </w:r>
    </w:p>
    <w:p>
      <w:pPr>
        <w:pStyle w:val="ListBullet"/>
        <w:spacing w:before="0" w:after="60" w:line="276" w:lineRule="auto"/>
        <w:ind w:left="340" w:hanging="170"/>
      </w:pPr>
      <w:r>
        <w:rPr>
          <w:rFonts w:ascii="Arial" w:hAnsi="Arial"/>
          <w:b w:val="0"/>
          <w:i w:val="0"/>
          <w:color w:val="1C2521"/>
          <w:sz w:val="18"/>
        </w:rPr>
        <w:t>Cumplir sus obligaciones laborales, fiscales, de Seguridad Social y de prevención de riesgos.</w:t>
      </w:r>
    </w:p>
    <w:p>
      <w:pPr>
        <w:pStyle w:val="ListBullet"/>
        <w:spacing w:before="0" w:after="60" w:line="276" w:lineRule="auto"/>
        <w:ind w:left="340" w:hanging="170"/>
      </w:pPr>
      <w:r>
        <w:rPr>
          <w:rFonts w:ascii="Arial" w:hAnsi="Arial"/>
          <w:b w:val="0"/>
          <w:i w:val="0"/>
          <w:color w:val="1C2521"/>
          <w:sz w:val="18"/>
        </w:rPr>
        <w:t>Aplicar los protocolos de protección de menores, emergencias e incidencias que correspondan.</w:t>
      </w:r>
    </w:p>
    <w:p>
      <w:pPr>
        <w:pStyle w:val="ListBullet"/>
        <w:spacing w:before="0" w:after="60" w:line="276" w:lineRule="auto"/>
        <w:ind w:left="340" w:hanging="170"/>
      </w:pPr>
      <w:r>
        <w:rPr>
          <w:rFonts w:ascii="Arial" w:hAnsi="Arial"/>
          <w:b w:val="0"/>
          <w:i w:val="0"/>
          <w:color w:val="1C2521"/>
          <w:sz w:val="18"/>
        </w:rPr>
        <w:t>Mantener vigentes los seguros, permisos y documentos exigibles para la actividad.</w:t>
      </w:r>
    </w:p>
    <w:p>
      <w:pPr>
        <w:pStyle w:val="ListBullet"/>
        <w:spacing w:before="0" w:after="60" w:line="276" w:lineRule="auto"/>
        <w:ind w:left="340" w:hanging="170"/>
      </w:pPr>
      <w:r>
        <w:rPr>
          <w:rFonts w:ascii="Arial" w:hAnsi="Arial"/>
          <w:b w:val="0"/>
          <w:i w:val="0"/>
          <w:color w:val="1C2521"/>
          <w:sz w:val="18"/>
        </w:rPr>
        <w:t>Mantener el control de participantes y asistencia que le corresponda y facilitar a la AMPA, cuando lo solicite, el listado actualizado de cada grupo y los datos necesarios para gestionar el servicio.</w:t>
      </w:r>
    </w:p>
    <w:p>
      <w:pPr>
        <w:pStyle w:val="ListBullet"/>
        <w:spacing w:before="0" w:after="60" w:line="276" w:lineRule="auto"/>
        <w:ind w:left="340" w:hanging="170"/>
      </w:pPr>
      <w:r>
        <w:rPr>
          <w:rFonts w:ascii="Arial" w:hAnsi="Arial"/>
          <w:b w:val="0"/>
          <w:i w:val="0"/>
          <w:color w:val="1C2521"/>
          <w:sz w:val="18"/>
        </w:rPr>
        <w:t>Avisar a la AMPA de cualquier problema que afecte al servicio, a las personas o a las instalaciones en los plazos de este contrato.</w:t>
      </w:r>
    </w:p>
    <w:p>
      <w:pPr>
        <w:pStyle w:val="Heading2"/>
      </w:pPr>
      <w:r>
        <w:t>5. Coordinación sin confundir funciones</w:t>
      </w:r>
    </w:p>
    <w:p>
      <w:pPr>
        <w:spacing w:before="0" w:after="100" w:line="288" w:lineRule="auto"/>
      </w:pPr>
      <w:r>
        <w:rPr>
          <w:rFonts w:ascii="Arial" w:hAnsi="Arial"/>
          <w:b w:val="0"/>
          <w:i w:val="0"/>
          <w:color w:val="1C2521"/>
          <w:sz w:val="18"/>
        </w:rPr>
        <w:t>La AMPA podrá comprobar el resultado contratado, la asistencia, la seguridad y el cumplimiento de horarios. Podrá pedir en cualquier momento el listado actualizado de participantes asignados a cada grupo y los registros de asistencia que tenga el proveedor, limitados a los datos necesarios para gestionar la actividad.</w:t>
      </w:r>
    </w:p>
    <w:p>
      <w:pPr>
        <w:spacing w:before="0" w:after="100" w:line="288" w:lineRule="auto"/>
      </w:pPr>
      <w:r>
        <w:rPr>
          <w:rFonts w:ascii="Arial" w:hAnsi="Arial"/>
          <w:b w:val="0"/>
          <w:i w:val="0"/>
          <w:color w:val="1C2521"/>
          <w:sz w:val="18"/>
        </w:rPr>
        <w:t>El proveedor seguirá organizando y dirigiendo a su personal: asignará tareas, turnos, descansos, sustituciones y forma de trabajo.</w:t>
      </w:r>
    </w:p>
    <w:p>
      <w:pPr>
        <w:spacing w:before="0" w:after="120" w:line="288" w:lineRule="auto"/>
      </w:pPr>
      <w:r>
        <w:rPr>
          <w:rFonts w:ascii="Arial" w:hAnsi="Arial"/>
          <w:b w:val="0"/>
          <w:i w:val="0"/>
          <w:color w:val="1C2521"/>
          <w:sz w:val="18"/>
        </w:rPr>
        <w:t>El personal del proveedor no mantiene una relación laboral con la AMPA. Esta frase no evita que exista esa relación si, en la práctica, la AMPA actúa como empleadora. Si cambia la forma real de trabajar, las partes revisarán el contrato.</w:t>
      </w:r>
    </w:p>
    <w:p>
      <w:pPr>
        <w:pStyle w:val="Heading2"/>
      </w:pPr>
      <w:r>
        <w:t>6. Sustituciones y subcontratación</w:t>
      </w:r>
    </w:p>
    <w:p>
      <w:pPr>
        <w:spacing w:before="0" w:after="100" w:line="288" w:lineRule="auto"/>
      </w:pPr>
      <w:r>
        <w:rPr>
          <w:rFonts w:ascii="Arial" w:hAnsi="Arial"/>
          <w:b w:val="0"/>
          <w:i w:val="0"/>
          <w:color w:val="1C2521"/>
          <w:sz w:val="18"/>
        </w:rPr>
        <w:t>El proveedor cubrirá las ausencias con personal que cumpla los mismos requisitos. Comunicará a la AMPA cualquier sustitución tan pronto como la conozca y, si es posible, antes de que empiece la sesión, indicando quién realizará la actividad y confirmando que cumple los requisitos aplicables.</w:t>
      </w:r>
    </w:p>
    <w:p>
      <w:pPr>
        <w:spacing w:before="0" w:after="100" w:line="288" w:lineRule="auto"/>
      </w:pPr>
      <w:r>
        <w:rPr>
          <w:rFonts w:ascii="Arial" w:hAnsi="Arial"/>
          <w:b w:val="0"/>
          <w:i w:val="0"/>
          <w:color w:val="1C2521"/>
          <w:sz w:val="18"/>
        </w:rPr>
        <w:t>Si no puede prestar una sesión, avisará en cuanto lo sepa y con tiempo suficiente para informar a las familias; en todo caso, antes de la hora prevista siempre que sea posible. Propondrá una sustitución, recuperación o cancelación conforme a este contrato.</w:t>
      </w:r>
    </w:p>
    <w:p>
      <w:pPr>
        <w:spacing w:before="0" w:after="120" w:line="288" w:lineRule="auto"/>
      </w:pPr>
      <w:r>
        <w:rPr>
          <w:rFonts w:ascii="Arial" w:hAnsi="Arial"/>
          <w:b w:val="0"/>
          <w:i w:val="0"/>
          <w:color w:val="1C2521"/>
          <w:sz w:val="18"/>
        </w:rPr>
        <w:t>No podrá ceder o subcontratar la parte principal del servicio sin autorización escrita de la AMPA. Aunque exista autorización, el proveedor seguirá respondiendo de la ejecución y deberá trasladar a la otra entidad las obligaciones aplicables, incluidas las de menores, seguridad y datos.</w:t>
      </w:r>
    </w:p>
    <w:p>
      <w:pPr>
        <w:pStyle w:val="Heading1"/>
        <w:pageBreakBefore/>
        <w:spacing w:before="80" w:after="40"/>
      </w:pPr>
      <w:r>
        <w:rPr>
          <w:rFonts w:ascii="Arial" w:hAnsi="Arial"/>
          <w:b/>
          <w:i w:val="0"/>
          <w:color w:val="083C2F"/>
          <w:sz w:val="36"/>
        </w:rPr>
        <w:t>Menores, incidencias y espacios</w:t>
      </w:r>
    </w:p>
    <w:p>
      <w:pPr>
        <w:spacing w:after="140" w:line="300" w:lineRule="auto"/>
      </w:pPr>
      <w:r>
        <w:rPr>
          <w:rFonts w:ascii="Arial" w:hAnsi="Arial"/>
          <w:b w:val="0"/>
          <w:i w:val="0"/>
          <w:color w:val="64736D"/>
          <w:sz w:val="21"/>
        </w:rPr>
        <w:t>Completad los protocolos concretos con el centro y el proveedor antes de empezar la actividad.</w:t>
      </w:r>
    </w:p>
    <w:p>
      <w:pPr>
        <w:pStyle w:val="Heading2"/>
      </w:pPr>
      <w:r>
        <w:t>7. Protección de menores</w:t>
      </w:r>
    </w:p>
    <w:p>
      <w:pPr>
        <w:spacing w:before="0" w:after="100" w:line="288" w:lineRule="auto"/>
      </w:pPr>
      <w:r>
        <w:rPr>
          <w:rFonts w:ascii="Arial" w:hAnsi="Arial"/>
          <w:b w:val="0"/>
          <w:i w:val="0"/>
          <w:color w:val="1C2521"/>
          <w:sz w:val="18"/>
        </w:rPr>
        <w:t>Cuando exista contacto habitual con menores, el proveedor comprobará antes de cada incorporación que su personal puede trabajar con ellos y conservará la acreditación necesaria. También garantizará la formación, los protocolos y la figura de protección que exija el tipo de actividad.</w:t>
      </w:r>
    </w:p>
    <w:p>
      <w:pPr>
        <w:spacing w:before="0" w:after="120" w:line="288" w:lineRule="auto"/>
      </w:pPr>
      <w:r>
        <w:rPr>
          <w:rFonts w:ascii="Arial" w:hAnsi="Arial"/>
          <w:b w:val="0"/>
          <w:i w:val="0"/>
          <w:color w:val="1C2521"/>
          <w:sz w:val="18"/>
        </w:rPr>
        <w:t>Cualquier indicio de violencia, trato inadecuado o riesgo se atenderá de inmediato siguiendo el protocolo aplicable. El proveedor protegerá al menor, avisará sin demora a la AMPA y realizará las comunicaciones obligatorias a los servicios o autoridades competentes. Avisar a la AMPA no sustituye esas comunicaciones.</w:t>
      </w:r>
    </w:p>
    <w:p>
      <w:pPr>
        <w:pStyle w:val="Heading2"/>
      </w:pPr>
      <w:r>
        <w:t>8. Entrega, recogida y custodia</w:t>
      </w:r>
    </w:p>
    <w:p>
      <w:pPr>
        <w:spacing w:before="0" w:after="100" w:line="288" w:lineRule="auto"/>
      </w:pPr>
      <w:r>
        <w:rPr>
          <w:rFonts w:ascii="Arial" w:hAnsi="Arial"/>
          <w:b w:val="0"/>
          <w:i w:val="0"/>
          <w:color w:val="1C2521"/>
          <w:sz w:val="18"/>
        </w:rPr>
        <w:t>La ficha del servicio o un anexo indicará cuándo comienza y termina la responsabilidad de atención del proveedor. Este comprobará las incorporaciones y entregará a cada menor solo a las personas autorizadas o según el procedimiento acordado.</w:t>
      </w:r>
    </w:p>
    <w:p>
      <w:pPr>
        <w:spacing w:before="0" w:after="120" w:line="288" w:lineRule="auto"/>
      </w:pPr>
      <w:r>
        <w:rPr>
          <w:rFonts w:ascii="Arial" w:hAnsi="Arial"/>
          <w:b w:val="0"/>
          <w:i w:val="0"/>
          <w:color w:val="1C2521"/>
          <w:sz w:val="18"/>
        </w:rPr>
        <w:t>Las ausencias, retrasos y recogidas no autorizadas se gestionarán con el protocolo pactado. Ningún menor quedará solo. Si la familia no aparece, el proveedor contactará con las personas indicadas y avisará a la AMPA conforme al orden previsto.</w:t>
      </w:r>
    </w:p>
    <w:p>
      <w:pPr>
        <w:pStyle w:val="Heading2"/>
      </w:pPr>
      <w:r>
        <w:t>9. Emergencias e incidencias</w:t>
      </w:r>
    </w:p>
    <w:p>
      <w:pPr>
        <w:spacing w:before="0" w:after="100" w:line="288" w:lineRule="auto"/>
      </w:pPr>
      <w:r>
        <w:rPr>
          <w:rFonts w:ascii="Arial" w:hAnsi="Arial"/>
          <w:b w:val="0"/>
          <w:i w:val="0"/>
          <w:color w:val="1C2521"/>
          <w:sz w:val="18"/>
        </w:rPr>
        <w:t>Ante una urgencia, el proveedor protegerá a las personas, pedirá ayuda al 112 cuando sea necesario y avisará de inmediato a la familia y a la AMPA mediante los contactos de la ficha del servicio. Solo realizará actuaciones para las que su personal esté preparado y autorizado.</w:t>
      </w:r>
    </w:p>
    <w:p>
      <w:pPr>
        <w:spacing w:before="0" w:after="120" w:line="288" w:lineRule="auto"/>
      </w:pPr>
      <w:r>
        <w:rPr>
          <w:rFonts w:ascii="Arial" w:hAnsi="Arial"/>
          <w:b w:val="0"/>
          <w:i w:val="0"/>
          <w:color w:val="1C2521"/>
          <w:sz w:val="18"/>
        </w:rPr>
        <w:t>El aviso urgente se hará tan pronto como se conozca el hecho, sin esperar a que termine la actividad. Además, el proveedor enviará a la AMPA un resumen escrito en un máximo de 24 horas con los datos imprescindibles: qué ocurrió, cuándo, quién intervino, qué medidas se tomaron y qué seguimiento propone. Si aún faltan datos, enviará una primera comunicación y la completará después.</w:t>
      </w:r>
    </w:p>
    <w:p>
      <w:pPr>
        <w:pStyle w:val="ListBullet"/>
        <w:spacing w:before="0" w:after="60" w:line="276" w:lineRule="auto"/>
        <w:ind w:left="340" w:hanging="170"/>
      </w:pPr>
      <w:r>
        <w:rPr>
          <w:rFonts w:ascii="Arial" w:hAnsi="Arial"/>
          <w:b w:val="0"/>
          <w:i w:val="0"/>
          <w:color w:val="1C2521"/>
          <w:sz w:val="18"/>
        </w:rPr>
        <w:t>Lesión, atención sanitaria, conducta grave o incidencia con una persona participante o menor.</w:t>
      </w:r>
    </w:p>
    <w:p>
      <w:pPr>
        <w:pStyle w:val="ListBullet"/>
        <w:spacing w:before="0" w:after="60" w:line="276" w:lineRule="auto"/>
        <w:ind w:left="340" w:hanging="170"/>
      </w:pPr>
      <w:r>
        <w:rPr>
          <w:rFonts w:ascii="Arial" w:hAnsi="Arial"/>
          <w:b w:val="0"/>
          <w:i w:val="0"/>
          <w:color w:val="1C2521"/>
          <w:sz w:val="18"/>
        </w:rPr>
        <w:t>Ausencia o retraso del personal que impida o altere una sesión.</w:t>
      </w:r>
    </w:p>
    <w:p>
      <w:pPr>
        <w:pStyle w:val="ListBullet"/>
        <w:spacing w:before="0" w:after="60" w:line="276" w:lineRule="auto"/>
        <w:ind w:left="340" w:hanging="170"/>
      </w:pPr>
      <w:r>
        <w:rPr>
          <w:rFonts w:ascii="Arial" w:hAnsi="Arial"/>
          <w:b w:val="0"/>
          <w:i w:val="0"/>
          <w:color w:val="1C2521"/>
          <w:sz w:val="18"/>
        </w:rPr>
        <w:t>Daño, rotura, pérdida o riesgo relacionado con instalaciones, llaves, accesos o materiales.</w:t>
      </w:r>
    </w:p>
    <w:p>
      <w:pPr>
        <w:pStyle w:val="ListBullet"/>
        <w:spacing w:before="0" w:after="60" w:line="276" w:lineRule="auto"/>
        <w:ind w:left="340" w:hanging="170"/>
      </w:pPr>
      <w:r>
        <w:rPr>
          <w:rFonts w:ascii="Arial" w:hAnsi="Arial"/>
          <w:b w:val="0"/>
          <w:i w:val="0"/>
          <w:color w:val="1C2521"/>
          <w:sz w:val="18"/>
        </w:rPr>
        <w:t>Pérdida, acceso indebido o error que pueda afectar a datos personales.</w:t>
      </w:r>
    </w:p>
    <w:p>
      <w:pPr>
        <w:pStyle w:val="Heading2"/>
      </w:pPr>
      <w:r>
        <w:t>10. Instalaciones, materiales y prevención</w:t>
      </w:r>
    </w:p>
    <w:p>
      <w:pPr>
        <w:spacing w:before="0" w:after="100" w:line="288" w:lineRule="auto"/>
      </w:pPr>
      <w:r>
        <w:rPr>
          <w:rFonts w:ascii="Arial" w:hAnsi="Arial"/>
          <w:b w:val="0"/>
          <w:i w:val="0"/>
          <w:color w:val="1C2521"/>
          <w:sz w:val="18"/>
        </w:rPr>
        <w:t>La autorización del centro y sus condiciones de uso son independientes de este contrato. El proveedor respetará los accesos, aforos, llaves, limpieza, emergencias y demás instrucciones recibidas. Ante un daño o rotura, protegerá la zona si existe riesgo y avisará de inmediato a la AMPA y al responsable del espacio; después lo incluirá en el informe escrito de la incidencia.</w:t>
      </w:r>
    </w:p>
    <w:p>
      <w:pPr>
        <w:spacing w:before="0" w:after="100" w:line="288" w:lineRule="auto"/>
      </w:pPr>
      <w:r>
        <w:rPr>
          <w:rFonts w:ascii="Arial" w:hAnsi="Arial"/>
          <w:b w:val="0"/>
          <w:i w:val="0"/>
          <w:color w:val="1C2521"/>
          <w:sz w:val="18"/>
        </w:rPr>
        <w:t>Cada parte responderá de los materiales que aporta. El proveedor asumirá la reparación o reposición de los daños que causen sus actuaciones, su personal o sus materiales por negligencia o incumplimiento, sin que el seguro limite esta obligación.</w:t>
      </w:r>
    </w:p>
    <w:p>
      <w:pPr>
        <w:spacing w:before="0" w:after="120" w:line="288" w:lineRule="auto"/>
      </w:pPr>
      <w:r>
        <w:rPr>
          <w:rFonts w:ascii="Arial" w:hAnsi="Arial"/>
          <w:b w:val="0"/>
          <w:i w:val="0"/>
          <w:color w:val="1C2521"/>
          <w:sz w:val="18"/>
        </w:rPr>
        <w:t>Cuando coincidan personas trabajadoras de distintas entidades en el mismo centro, las partes y el titular del espacio intercambiarán la información preventiva necesaria y aplicarán las medidas de coordinación que correspondan.</w:t>
      </w:r>
    </w:p>
    <w:p>
      <w:pPr>
        <w:pStyle w:val="Heading1"/>
        <w:pageBreakBefore/>
        <w:spacing w:before="80" w:after="40"/>
      </w:pPr>
      <w:r>
        <w:rPr>
          <w:rFonts w:ascii="Arial" w:hAnsi="Arial"/>
          <w:b/>
          <w:i w:val="0"/>
          <w:color w:val="083C2F"/>
          <w:sz w:val="36"/>
        </w:rPr>
        <w:t>Cambios, seguros y datos personales</w:t>
      </w:r>
    </w:p>
    <w:p>
      <w:pPr>
        <w:spacing w:after="140" w:line="300" w:lineRule="auto"/>
      </w:pPr>
      <w:r>
        <w:rPr>
          <w:rFonts w:ascii="Arial" w:hAnsi="Arial"/>
          <w:b w:val="0"/>
          <w:i w:val="0"/>
          <w:color w:val="64736D"/>
          <w:sz w:val="21"/>
        </w:rPr>
        <w:t>Acordad por escrito qué hacer si el servicio no puede prestarse como estaba previsto.</w:t>
      </w:r>
    </w:p>
    <w:p>
      <w:pPr>
        <w:pStyle w:val="Heading2"/>
      </w:pPr>
      <w:r>
        <w:t>11. Cambios, suspensiones y cancelaciones</w:t>
      </w:r>
    </w:p>
    <w:p>
      <w:pPr>
        <w:spacing w:before="0" w:after="100" w:line="288" w:lineRule="auto"/>
      </w:pPr>
      <w:r>
        <w:rPr>
          <w:rFonts w:ascii="Arial" w:hAnsi="Arial"/>
          <w:b w:val="0"/>
          <w:i w:val="0"/>
          <w:color w:val="1C2521"/>
          <w:sz w:val="18"/>
        </w:rPr>
        <w:t>Los cambios de horario, espacio, contenido o número de grupos necesitarán acuerdo escrito, salvo una actuación urgente para proteger a las personas. Las sustituciones de personal se comunicarán como indica la cláusula 6 y no necesitarán autorización si se mantienen todos los requisitos acordados.</w:t>
      </w:r>
    </w:p>
    <w:p>
      <w:pPr>
        <w:spacing w:before="0" w:after="100" w:line="288" w:lineRule="auto"/>
      </w:pPr>
      <w:r>
        <w:rPr>
          <w:rFonts w:ascii="Arial" w:hAnsi="Arial"/>
          <w:b w:val="0"/>
          <w:i w:val="0"/>
          <w:color w:val="1C2521"/>
          <w:sz w:val="18"/>
        </w:rPr>
        <w:t>Si el proveedor no puede prestar una sesión por una causa que le corresponde, ofrecerá una recuperación adecuada o descontará su importe. El aviso a la AMPA no elimina esta obligación ni los daños que pueda causar un incumplimiento.</w:t>
      </w:r>
    </w:p>
    <w:p>
      <w:pPr>
        <w:spacing w:before="0" w:after="120" w:line="288" w:lineRule="auto"/>
      </w:pPr>
      <w:r>
        <w:rPr>
          <w:rFonts w:ascii="Arial" w:hAnsi="Arial"/>
          <w:b w:val="0"/>
          <w:i w:val="0"/>
          <w:color w:val="1C2521"/>
          <w:sz w:val="18"/>
        </w:rPr>
        <w:t>Si una causa ajena e inevitable impide temporalmente el servicio, las partes buscarán primero una alternativa razonable. Si no existe, dejarán por escrito qué sesiones se cancelan y cómo se reparten los costes ya asumidos. La AMPA gestionará con las familias las devoluciones que le correspondan.</w:t>
      </w:r>
    </w:p>
    <w:p>
      <w:pPr>
        <w:pStyle w:val="Heading2"/>
      </w:pPr>
      <w:r>
        <w:t>12. Seguros y responsabilidad</w:t>
      </w:r>
    </w:p>
    <w:p>
      <w:pPr>
        <w:spacing w:before="0" w:after="100" w:line="288" w:lineRule="auto"/>
      </w:pPr>
      <w:r>
        <w:rPr>
          <w:rFonts w:ascii="Arial" w:hAnsi="Arial"/>
          <w:b w:val="0"/>
          <w:i w:val="0"/>
          <w:color w:val="1C2521"/>
          <w:sz w:val="18"/>
        </w:rPr>
        <w:t>El proveedor mantendrá durante el contrato un seguro de responsabilidad civil adecuado al servicio y aportará prueba de su vigencia. También contará con seguro de accidentes u otras coberturas cuando lo exijan la actividad, la normativa, el centro o lo acordado en la ficha.</w:t>
      </w:r>
    </w:p>
    <w:p>
      <w:pPr>
        <w:spacing w:before="0" w:after="100" w:line="288" w:lineRule="auto"/>
      </w:pPr>
      <w:r>
        <w:rPr>
          <w:rFonts w:ascii="Arial" w:hAnsi="Arial"/>
          <w:b w:val="0"/>
          <w:i w:val="0"/>
          <w:color w:val="1C2521"/>
          <w:sz w:val="18"/>
        </w:rPr>
        <w:t>Cada parte responderá de los daños que cause por sus actos, omisiones o incumplimientos. El proveedor reparará o indemnizará los daños a participantes, familias, AMPA, centro o instalaciones que sean consecuencia de una actuación incorrecta, negligencia o incumplimiento suyo, de su personal o de sus materiales.</w:t>
      </w:r>
    </w:p>
    <w:p>
      <w:pPr>
        <w:spacing w:before="0" w:after="120" w:line="288" w:lineRule="auto"/>
      </w:pPr>
      <w:r>
        <w:rPr>
          <w:rFonts w:ascii="Arial" w:hAnsi="Arial"/>
          <w:b w:val="0"/>
          <w:i w:val="0"/>
          <w:color w:val="1C2521"/>
          <w:sz w:val="18"/>
        </w:rPr>
        <w:t>El seguro no elimina ni limita esa responsabilidad ni sustituye los protocolos de prevención. Ninguna cláusula libera a la AMPA de las decisiones que realmente le corresponden como organizadora ni al proveedor de la ejecución que controla.</w:t>
      </w:r>
    </w:p>
    <w:p>
      <w:pPr>
        <w:pStyle w:val="Heading2"/>
      </w:pPr>
      <w:r>
        <w:t>13. Papel de cada parte respecto a los datos</w:t>
      </w:r>
    </w:p>
    <w:p>
      <w:pPr>
        <w:spacing w:before="0" w:after="120" w:line="283" w:lineRule="auto"/>
      </w:pPr>
      <w:r>
        <w:rPr>
          <w:rFonts w:ascii="Arial" w:hAnsi="Arial"/>
          <w:b w:val="0"/>
          <w:i w:val="0"/>
          <w:color w:val="64736D"/>
          <w:sz w:val="17"/>
        </w:rPr>
        <w:t>Marcad una opción antes de firmar. Si la realidad cambia, revisadla.</w:t>
      </w:r>
    </w:p>
    <w:p>
      <w:pPr>
        <w:spacing w:before="60" w:after="20" w:line="264" w:lineRule="auto"/>
        <w:ind w:left="0"/>
      </w:pPr>
      <w:r>
        <w:rPr>
          <w:rFonts w:ascii="Arial" w:hAnsi="Arial"/>
          <w:b/>
          <w:i w:val="0"/>
          <w:color w:val="1C2521"/>
          <w:sz w:val="18"/>
        </w:rPr>
        <w:t>☐  No se comparten datos de participantes</w:t>
      </w:r>
    </w:p>
    <w:p>
      <w:pPr>
        <w:spacing w:before="0" w:after="80" w:line="276" w:lineRule="auto"/>
        <w:ind w:left="397"/>
      </w:pPr>
      <w:r>
        <w:rPr>
          <w:rFonts w:ascii="Arial" w:hAnsi="Arial"/>
          <w:b w:val="0"/>
          <w:i w:val="0"/>
          <w:color w:val="64736D"/>
          <w:sz w:val="16"/>
        </w:rPr>
        <w:t>El proveedor presta el servicio sin recibir listados ni datos individuales de la AMPA.</w:t>
      </w:r>
    </w:p>
    <w:p>
      <w:pPr>
        <w:spacing w:before="60" w:after="20" w:line="264" w:lineRule="auto"/>
        <w:ind w:left="0"/>
      </w:pPr>
      <w:r>
        <w:rPr>
          <w:rFonts w:ascii="Arial" w:hAnsi="Arial"/>
          <w:b/>
          <w:i w:val="0"/>
          <w:color w:val="1C2521"/>
          <w:sz w:val="18"/>
        </w:rPr>
        <w:t>☐  Cada parte usa datos para sus propios fines</w:t>
      </w:r>
    </w:p>
    <w:p>
      <w:pPr>
        <w:spacing w:before="0" w:after="80" w:line="276" w:lineRule="auto"/>
        <w:ind w:left="397"/>
      </w:pPr>
      <w:r>
        <w:rPr>
          <w:rFonts w:ascii="Arial" w:hAnsi="Arial"/>
          <w:b w:val="0"/>
          <w:i w:val="0"/>
          <w:color w:val="64736D"/>
          <w:sz w:val="16"/>
        </w:rPr>
        <w:t>Cada entidad decide de forma independiente para qué usa los datos que obtiene y cumple sus propias obligaciones como responsable.</w:t>
      </w:r>
    </w:p>
    <w:p>
      <w:pPr>
        <w:spacing w:before="60" w:after="20" w:line="264" w:lineRule="auto"/>
        <w:ind w:left="0"/>
      </w:pPr>
      <w:r>
        <w:rPr>
          <w:rFonts w:ascii="Arial" w:hAnsi="Arial"/>
          <w:b/>
          <w:i w:val="0"/>
          <w:color w:val="1C2521"/>
          <w:sz w:val="18"/>
        </w:rPr>
        <w:t>☐  El proveedor sigue instrucciones de la AMPA</w:t>
      </w:r>
    </w:p>
    <w:p>
      <w:pPr>
        <w:spacing w:before="0" w:after="80" w:line="276" w:lineRule="auto"/>
        <w:ind w:left="397"/>
      </w:pPr>
      <w:r>
        <w:rPr>
          <w:rFonts w:ascii="Arial" w:hAnsi="Arial"/>
          <w:b w:val="0"/>
          <w:i w:val="0"/>
          <w:color w:val="64736D"/>
          <w:sz w:val="16"/>
        </w:rPr>
        <w:t>El proveedor usa datos por cuenta de la AMPA. Debe firmarse el acuerdo independiente de encargo de tratamiento antes de recibirlos.</w:t>
      </w:r>
    </w:p>
    <w:p>
      <w:pPr>
        <w:spacing w:before="60" w:after="20" w:line="264" w:lineRule="auto"/>
        <w:ind w:left="0"/>
      </w:pPr>
      <w:r>
        <w:rPr>
          <w:rFonts w:ascii="Arial" w:hAnsi="Arial"/>
          <w:b/>
          <w:i w:val="0"/>
          <w:color w:val="1C2521"/>
          <w:sz w:val="18"/>
        </w:rPr>
        <w:t>☐  Hay decisiones conjuntas sobre fines y medios</w:t>
      </w:r>
    </w:p>
    <w:p>
      <w:pPr>
        <w:spacing w:before="0" w:after="80" w:line="276" w:lineRule="auto"/>
        <w:ind w:left="397"/>
      </w:pPr>
      <w:r>
        <w:rPr>
          <w:rFonts w:ascii="Arial" w:hAnsi="Arial"/>
          <w:b w:val="0"/>
          <w:i w:val="0"/>
          <w:color w:val="64736D"/>
          <w:sz w:val="16"/>
        </w:rPr>
        <w:t>No firméis una cláusula genérica: analizad la corresponsabilidad y preparad un acuerdo específico.</w:t>
      </w:r>
    </w:p>
    <w:p>
      <w:pPr>
        <w:pStyle w:val="Heading2"/>
      </w:pPr>
      <w:r>
        <w:t>14. Reglas comunes de privacidad y confidencialidad</w:t>
      </w:r>
    </w:p>
    <w:p>
      <w:pPr>
        <w:spacing w:before="0" w:after="100" w:line="288" w:lineRule="auto"/>
      </w:pPr>
      <w:r>
        <w:rPr>
          <w:rFonts w:ascii="Arial" w:hAnsi="Arial"/>
          <w:b w:val="0"/>
          <w:i w:val="0"/>
          <w:color w:val="1C2521"/>
          <w:sz w:val="18"/>
        </w:rPr>
        <w:t>Las partes compartirán solo los datos necesarios, limitarán el acceso, los protegerán y avisarán sin demora de cualquier pérdida, acceso indebido o error. El proveedor no utilizará los datos, imágenes o contactos para publicidad, redes sociales u otros fines propios sin una base válida y la información correspondiente.</w:t>
      </w:r>
    </w:p>
    <w:p>
      <w:pPr>
        <w:spacing w:before="0" w:after="120" w:line="288" w:lineRule="auto"/>
      </w:pPr>
      <w:r>
        <w:rPr>
          <w:rFonts w:ascii="Arial" w:hAnsi="Arial"/>
          <w:b w:val="0"/>
          <w:i w:val="0"/>
          <w:color w:val="1C2521"/>
          <w:sz w:val="18"/>
        </w:rPr>
        <w:t>Al terminar el servicio, cada parte devolverá o eliminará lo que ya no deba conservar, según el papel marcado y la normativa aplicable. El deber de confidencialidad continúa después del contrato.</w:t>
      </w:r>
    </w:p>
    <w:p>
      <w:pPr>
        <w:pStyle w:val="Heading1"/>
        <w:pageBreakBefore/>
        <w:spacing w:before="80" w:after="40"/>
      </w:pPr>
      <w:r>
        <w:rPr>
          <w:rFonts w:ascii="Arial" w:hAnsi="Arial"/>
          <w:b/>
          <w:i w:val="0"/>
          <w:color w:val="083C2F"/>
          <w:sz w:val="36"/>
        </w:rPr>
        <w:t>Duración, terminación y firmas</w:t>
      </w:r>
    </w:p>
    <w:p>
      <w:pPr>
        <w:spacing w:after="140" w:line="300" w:lineRule="auto"/>
      </w:pPr>
      <w:r>
        <w:rPr>
          <w:rFonts w:ascii="Arial" w:hAnsi="Arial"/>
          <w:b w:val="0"/>
          <w:i w:val="0"/>
          <w:color w:val="64736D"/>
          <w:sz w:val="21"/>
        </w:rPr>
        <w:t>Revisad el contrato completo y sus anexos antes de firmar. Cada parte debe conservar una copia.</w:t>
      </w:r>
    </w:p>
    <w:p>
      <w:pPr>
        <w:pStyle w:val="Heading2"/>
      </w:pPr>
      <w:r>
        <w:t>15. Incumplimiento y terminación anticipada</w:t>
      </w:r>
    </w:p>
    <w:p>
      <w:pPr>
        <w:spacing w:before="0" w:after="100" w:line="288" w:lineRule="auto"/>
      </w:pPr>
      <w:r>
        <w:rPr>
          <w:rFonts w:ascii="Arial" w:hAnsi="Arial"/>
          <w:b w:val="0"/>
          <w:i w:val="0"/>
          <w:color w:val="1C2521"/>
          <w:sz w:val="18"/>
        </w:rPr>
        <w:t>Si una parte incumple, la otra se lo comunicará por escrito y dará un plazo razonable para corregirlo. Se propone un plazo de cinco días hábiles, salvo que la urgencia o la naturaleza del problema exijan actuar antes.</w:t>
      </w:r>
    </w:p>
    <w:p>
      <w:pPr>
        <w:spacing w:before="0" w:after="120" w:line="288" w:lineRule="auto"/>
      </w:pPr>
      <w:r>
        <w:rPr>
          <w:rFonts w:ascii="Arial" w:hAnsi="Arial"/>
          <w:b w:val="0"/>
          <w:i w:val="0"/>
          <w:color w:val="1C2521"/>
          <w:sz w:val="18"/>
        </w:rPr>
        <w:t>Podrá terminarse el contrato de inmediato ante un riesgo grave para menores o participantes, falta de habilitación esencial, uso indebido de datos, subcontratación no autorizada, impago reiterado o un incumplimiento grave que no pueda corregirse. La terminación no borra las facturas, devoluciones, daños o entregas de información que sigan pendientes.</w:t>
      </w:r>
    </w:p>
    <w:p>
      <w:pPr>
        <w:pStyle w:val="Heading2"/>
      </w:pPr>
      <w:r>
        <w:t>16. Duración y avisos</w:t>
      </w:r>
    </w:p>
    <w:p>
      <w:pPr>
        <w:spacing w:before="0" w:after="120" w:line="283" w:lineRule="auto"/>
      </w:pPr>
      <w:r>
        <w:rPr>
          <w:rFonts w:ascii="Arial" w:hAnsi="Arial"/>
          <w:b w:val="0"/>
          <w:i w:val="0"/>
          <w:color w:val="64736D"/>
          <w:sz w:val="17"/>
        </w:rPr>
        <w:t>No habrá renovación automática salvo que se indique de forma expresa.</w:t>
      </w:r>
    </w:p>
    <w:tbl>
      <w:tblPr>
        <w:tblW w:type="dxa" w:w="9978"/>
        <w:jc w:val="left"/>
        <w:tblLayout w:type="fixed"/>
        <w:tblLook w:firstColumn="1" w:firstRow="1" w:lastColumn="0" w:lastRow="0" w:noHBand="0" w:noVBand="1" w:val="04A0"/>
        <w:tblInd w:w="120" w:type="dxa"/>
        <w:tblBorders>
          <w:top w:val="single" w:sz="5" w:space="0" w:color="DBE4D5"/>
          <w:left w:val="single" w:sz="5" w:space="0" w:color="DBE4D5"/>
          <w:bottom w:val="single" w:sz="5" w:space="0" w:color="DBE4D5"/>
          <w:right w:val="single" w:sz="5" w:space="0" w:color="DBE4D5"/>
          <w:insideH w:val="single" w:sz="5" w:space="0" w:color="DBE4D5"/>
          <w:insideV w:val="single" w:sz="5" w:space="0" w:color="DBE4D5"/>
        </w:tblBorders>
      </w:tblPr>
      <w:tblGrid>
        <w:gridCol w:w="4989"/>
        <w:gridCol w:w="4989"/>
      </w:tblGrid>
      <w:tr>
        <w:trPr>
          <w:trHeight w:val="454" w:hRule="atLeast"/>
        </w:trPr>
        <w:tc>
          <w:tcPr>
            <w:tcW w:type="dxa" w:w="4989"/>
            <w:tcMar>
              <w:top w:w="100" w:type="dxa"/>
              <w:start w:w="120" w:type="dxa"/>
              <w:bottom w:w="100" w:type="dxa"/>
              <w:end w:w="120" w:type="dxa"/>
            </w:tcMar>
            <w:vAlign w:val="center"/>
            <w:shd w:fill="FFFFFF"/>
          </w:tcPr>
          <w:p>
            <w:pPr>
              <w:spacing w:before="0" w:after="0" w:line="264" w:lineRule="auto"/>
              <w:jc w:val="left"/>
            </w:pPr>
            <w:r>
              <w:rPr>
                <w:rFonts w:ascii="Arial" w:hAnsi="Arial"/>
                <w:b/>
                <w:i w:val="0"/>
                <w:color w:val="083C2F"/>
                <w:sz w:val="15"/>
              </w:rPr>
              <w:t>Fecha de entrada en vigor</w:t>
            </w:r>
          </w:p>
          <w:p>
            <w:pPr>
              <w:spacing w:before="40" w:after="0" w:line="240" w:lineRule="auto"/>
            </w:pPr>
          </w:p>
        </w:tc>
        <w:tc>
          <w:tcPr>
            <w:tcW w:type="dxa" w:w="4989"/>
            <w:tcMar>
              <w:top w:w="100" w:type="dxa"/>
              <w:start w:w="120" w:type="dxa"/>
              <w:bottom w:w="100" w:type="dxa"/>
              <w:end w:w="120" w:type="dxa"/>
            </w:tcMar>
            <w:vAlign w:val="center"/>
            <w:shd w:fill="FFFFFF"/>
          </w:tcPr>
          <w:p>
            <w:pPr>
              <w:spacing w:before="0" w:after="0" w:line="264" w:lineRule="auto"/>
              <w:jc w:val="left"/>
            </w:pPr>
            <w:r>
              <w:rPr>
                <w:rFonts w:ascii="Arial" w:hAnsi="Arial"/>
                <w:b/>
                <w:i w:val="0"/>
                <w:color w:val="083C2F"/>
                <w:sz w:val="15"/>
              </w:rPr>
              <w:t>Fecha de finalización</w:t>
            </w:r>
          </w:p>
          <w:p>
            <w:pPr>
              <w:spacing w:before="40" w:after="0" w:line="240" w:lineRule="auto"/>
            </w:pPr>
          </w:p>
        </w:tc>
      </w:tr>
      <w:tr>
        <w:trPr>
          <w:trHeight w:val="454" w:hRule="atLeast"/>
        </w:trPr>
        <w:tc>
          <w:tcPr>
            <w:tcW w:type="dxa" w:w="4989"/>
            <w:tcMar>
              <w:top w:w="100" w:type="dxa"/>
              <w:start w:w="120" w:type="dxa"/>
              <w:bottom w:w="100" w:type="dxa"/>
              <w:end w:w="120" w:type="dxa"/>
            </w:tcMar>
            <w:vAlign w:val="center"/>
            <w:shd w:fill="FFFFFF"/>
          </w:tcPr>
          <w:p>
            <w:pPr>
              <w:spacing w:before="0" w:after="0" w:line="264" w:lineRule="auto"/>
              <w:jc w:val="left"/>
            </w:pPr>
            <w:r>
              <w:rPr>
                <w:rFonts w:ascii="Arial" w:hAnsi="Arial"/>
                <w:b/>
                <w:i w:val="0"/>
                <w:color w:val="083C2F"/>
                <w:sz w:val="15"/>
              </w:rPr>
              <w:t>¿Existe renovación?</w:t>
            </w:r>
            <w:r>
              <w:rPr>
                <w:rFonts w:ascii="Arial" w:hAnsi="Arial"/>
                <w:b w:val="0"/>
                <w:i w:val="0"/>
                <w:color w:val="64736D"/>
                <w:sz w:val="15"/>
              </w:rPr>
              <w:t xml:space="preserve"> (no o condiciones concretas)</w:t>
            </w:r>
          </w:p>
          <w:p>
            <w:pPr>
              <w:spacing w:before="40" w:after="0" w:line="240" w:lineRule="auto"/>
            </w:pPr>
          </w:p>
        </w:tc>
        <w:tc>
          <w:tcPr>
            <w:tcW w:type="dxa" w:w="4989"/>
            <w:tcMar>
              <w:top w:w="100" w:type="dxa"/>
              <w:start w:w="120" w:type="dxa"/>
              <w:bottom w:w="100" w:type="dxa"/>
              <w:end w:w="120" w:type="dxa"/>
            </w:tcMar>
            <w:vAlign w:val="center"/>
            <w:shd w:fill="FFFFFF"/>
          </w:tcPr>
          <w:p>
            <w:pPr>
              <w:spacing w:before="0" w:after="0" w:line="264" w:lineRule="auto"/>
              <w:jc w:val="left"/>
            </w:pPr>
            <w:r>
              <w:rPr>
                <w:rFonts w:ascii="Arial" w:hAnsi="Arial"/>
                <w:b/>
                <w:i w:val="0"/>
                <w:color w:val="083C2F"/>
                <w:sz w:val="15"/>
              </w:rPr>
              <w:t>Preaviso para no renovar</w:t>
            </w:r>
            <w:r>
              <w:rPr>
                <w:rFonts w:ascii="Arial" w:hAnsi="Arial"/>
                <w:b w:val="0"/>
                <w:i w:val="0"/>
                <w:color w:val="64736D"/>
                <w:sz w:val="15"/>
              </w:rPr>
              <w:t xml:space="preserve"> (número de días)</w:t>
            </w:r>
          </w:p>
          <w:p>
            <w:pPr>
              <w:spacing w:before="40" w:after="0" w:line="240" w:lineRule="auto"/>
            </w:pPr>
          </w:p>
        </w:tc>
      </w:tr>
      <w:tr>
        <w:trPr>
          <w:trHeight w:val="454" w:hRule="atLeast"/>
        </w:trPr>
        <w:tc>
          <w:tcPr>
            <w:tcW w:type="dxa" w:w="4989"/>
            <w:tcMar>
              <w:top w:w="100" w:type="dxa"/>
              <w:start w:w="120" w:type="dxa"/>
              <w:bottom w:w="100" w:type="dxa"/>
              <w:end w:w="120" w:type="dxa"/>
            </w:tcMar>
            <w:vAlign w:val="center"/>
            <w:shd w:fill="FFFFFF"/>
          </w:tcPr>
          <w:p>
            <w:pPr>
              <w:spacing w:before="0" w:after="0" w:line="264" w:lineRule="auto"/>
              <w:jc w:val="left"/>
            </w:pPr>
            <w:r>
              <w:rPr>
                <w:rFonts w:ascii="Arial" w:hAnsi="Arial"/>
                <w:b/>
                <w:i w:val="0"/>
                <w:color w:val="083C2F"/>
                <w:sz w:val="15"/>
              </w:rPr>
              <w:t>Correo de la AMPA para avisos</w:t>
            </w:r>
          </w:p>
          <w:p>
            <w:pPr>
              <w:spacing w:before="40" w:after="0" w:line="240" w:lineRule="auto"/>
            </w:pPr>
          </w:p>
        </w:tc>
        <w:tc>
          <w:tcPr>
            <w:tcW w:type="dxa" w:w="4989"/>
            <w:tcMar>
              <w:top w:w="100" w:type="dxa"/>
              <w:start w:w="120" w:type="dxa"/>
              <w:bottom w:w="100" w:type="dxa"/>
              <w:end w:w="120" w:type="dxa"/>
            </w:tcMar>
            <w:vAlign w:val="center"/>
            <w:shd w:fill="FFFFFF"/>
          </w:tcPr>
          <w:p>
            <w:pPr>
              <w:spacing w:before="0" w:after="0" w:line="264" w:lineRule="auto"/>
              <w:jc w:val="left"/>
            </w:pPr>
            <w:r>
              <w:rPr>
                <w:rFonts w:ascii="Arial" w:hAnsi="Arial"/>
                <w:b/>
                <w:i w:val="0"/>
                <w:color w:val="083C2F"/>
                <w:sz w:val="15"/>
              </w:rPr>
              <w:t>Correo del proveedor para avisos</w:t>
            </w:r>
          </w:p>
          <w:p>
            <w:pPr>
              <w:spacing w:before="40" w:after="0" w:line="240" w:lineRule="auto"/>
            </w:pPr>
          </w:p>
        </w:tc>
      </w:tr>
    </w:tbl>
    <w:p>
      <w:pPr>
        <w:pStyle w:val="Heading2"/>
      </w:pPr>
      <w:r>
        <w:t>17. Acuerdos finales y resolución de conflictos</w:t>
      </w:r>
    </w:p>
    <w:p>
      <w:pPr>
        <w:spacing w:before="0" w:after="100" w:line="288" w:lineRule="auto"/>
      </w:pPr>
      <w:r>
        <w:rPr>
          <w:rFonts w:ascii="Arial" w:hAnsi="Arial"/>
          <w:b w:val="0"/>
          <w:i w:val="0"/>
          <w:color w:val="1C2521"/>
          <w:sz w:val="18"/>
        </w:rPr>
        <w:t>Este contrato, la ficha del servicio y sus anexos recogen el acuerdo entre las partes. Cualquier cambio se hará por escrito y se firmará. Si existe contradicción, prevalecerá el documento posterior que identifique con claridad qué cláusula modifica.</w:t>
      </w:r>
    </w:p>
    <w:p>
      <w:pPr>
        <w:spacing w:before="0" w:after="120" w:line="288" w:lineRule="auto"/>
      </w:pPr>
      <w:r>
        <w:rPr>
          <w:rFonts w:ascii="Arial" w:hAnsi="Arial"/>
          <w:b w:val="0"/>
          <w:i w:val="0"/>
          <w:color w:val="1C2521"/>
          <w:sz w:val="18"/>
        </w:rPr>
        <w:t>Las partes intentarán resolver primero cualquier desacuerdo mediante una reunión y dejarán constancia de la solución. Si no es posible, se aplicará la legislación española y serán competentes los juzgados que correspondan según las normas aplicables; no se impone aquí un fuero que pueda resultar inválido.</w:t>
      </w:r>
    </w:p>
    <w:p>
      <w:pPr>
        <w:pStyle w:val="Heading2"/>
      </w:pPr>
      <w:r>
        <w:t>Firmas</w:t>
      </w:r>
    </w:p>
    <w:p>
      <w:pPr>
        <w:spacing w:before="0" w:after="120" w:line="283" w:lineRule="auto"/>
      </w:pPr>
      <w:r>
        <w:rPr>
          <w:rFonts w:ascii="Arial" w:hAnsi="Arial"/>
          <w:b w:val="0"/>
          <w:i w:val="0"/>
          <w:color w:val="64736D"/>
          <w:sz w:val="17"/>
        </w:rPr>
        <w:t>La firma confirma la aceptación del contrato y de los anexos identificados.</w:t>
      </w:r>
    </w:p>
    <w:tbl>
      <w:tblPr>
        <w:tblW w:type="dxa" w:w="9978"/>
        <w:jc w:val="left"/>
        <w:tblLayout w:type="fixed"/>
        <w:tblLook w:firstColumn="1" w:firstRow="1" w:lastColumn="0" w:lastRow="0" w:noHBand="0" w:noVBand="1" w:val="04A0"/>
        <w:tblInd w:w="120" w:type="dxa"/>
        <w:tblBorders>
          <w:top w:val="single" w:sz="5" w:space="0" w:color="DBE4D5"/>
          <w:left w:val="single" w:sz="5" w:space="0" w:color="DBE4D5"/>
          <w:bottom w:val="single" w:sz="5" w:space="0" w:color="DBE4D5"/>
          <w:right w:val="single" w:sz="5" w:space="0" w:color="DBE4D5"/>
          <w:insideH w:val="single" w:sz="5" w:space="0" w:color="DBE4D5"/>
          <w:insideV w:val="single" w:sz="5" w:space="0" w:color="DBE4D5"/>
        </w:tblBorders>
      </w:tblPr>
      <w:tblGrid>
        <w:gridCol w:w="4989"/>
        <w:gridCol w:w="4989"/>
      </w:tblGrid>
      <w:tr>
        <w:trPr>
          <w:trHeight w:val="1928" w:hRule="atLeast"/>
        </w:trPr>
        <w:tc>
          <w:tcPr>
            <w:tcW w:type="dxa" w:w="4989"/>
            <w:tcMar>
              <w:top w:w="100" w:type="dxa"/>
              <w:start w:w="120" w:type="dxa"/>
              <w:bottom w:w="100" w:type="dxa"/>
              <w:end w:w="120" w:type="dxa"/>
            </w:tcMar>
            <w:vAlign w:val="top"/>
          </w:tcPr>
          <w:p>
            <w:pPr>
              <w:spacing w:before="0" w:after="0" w:line="264" w:lineRule="auto"/>
              <w:jc w:val="left"/>
            </w:pPr>
            <w:r>
              <w:rPr>
                <w:rFonts w:ascii="Arial" w:hAnsi="Arial"/>
                <w:b/>
                <w:i w:val="0"/>
                <w:color w:val="083C2F"/>
                <w:sz w:val="16"/>
              </w:rPr>
              <w:t>Por la AMPA</w:t>
            </w:r>
          </w:p>
        </w:tc>
        <w:tc>
          <w:tcPr>
            <w:tcW w:type="dxa" w:w="4989"/>
            <w:tcMar>
              <w:top w:w="100" w:type="dxa"/>
              <w:start w:w="120" w:type="dxa"/>
              <w:bottom w:w="100" w:type="dxa"/>
              <w:end w:w="120" w:type="dxa"/>
            </w:tcMar>
            <w:vAlign w:val="top"/>
          </w:tcPr>
          <w:p>
            <w:pPr>
              <w:spacing w:before="0" w:after="0" w:line="264" w:lineRule="auto"/>
              <w:jc w:val="left"/>
            </w:pPr>
            <w:r>
              <w:rPr>
                <w:rFonts w:ascii="Arial" w:hAnsi="Arial"/>
                <w:b/>
                <w:i w:val="0"/>
                <w:color w:val="083C2F"/>
                <w:sz w:val="16"/>
              </w:rPr>
              <w:t>Por el proveedor</w:t>
            </w:r>
          </w:p>
        </w:tc>
      </w:tr>
    </w:tbl>
    <w:p>
      <w:pPr>
        <w:spacing w:before="0" w:after="0" w:line="120" w:lineRule="exact"/>
      </w:pPr>
      <w:r>
        <w:rPr>
          <w:sz w:val="2"/>
        </w:rPr>
      </w:r>
    </w:p>
    <w:tbl>
      <w:tblPr>
        <w:tblW w:type="dxa" w:w="9978"/>
        <w:jc w:val="left"/>
        <w:tblLayout w:type="fixed"/>
        <w:tblLook w:firstColumn="1" w:firstRow="1" w:lastColumn="0" w:lastRow="0" w:noHBand="0" w:noVBand="1" w:val="04A0"/>
        <w:tblInd w:w="120" w:type="dxa"/>
        <w:tblBorders>
          <w:top w:val="single" w:sz="5" w:space="0" w:color="DBE4D5"/>
          <w:left w:val="single" w:sz="5" w:space="0" w:color="DBE4D5"/>
          <w:bottom w:val="single" w:sz="5" w:space="0" w:color="DBE4D5"/>
          <w:right w:val="single" w:sz="5" w:space="0" w:color="DBE4D5"/>
          <w:insideH w:val="single" w:sz="5" w:space="0" w:color="DBE4D5"/>
          <w:insideV w:val="single" w:sz="5" w:space="0" w:color="DBE4D5"/>
        </w:tblBorders>
      </w:tblPr>
      <w:tblGrid>
        <w:gridCol w:w="9978"/>
      </w:tblGrid>
      <w:tr>
        <w:tc>
          <w:tcPr>
            <w:tcW w:type="dxa" w:w="9978"/>
            <w:tcMar>
              <w:top w:w="100" w:type="dxa"/>
              <w:start w:w="120" w:type="dxa"/>
              <w:bottom w:w="100" w:type="dxa"/>
              <w:end w:w="120" w:type="dxa"/>
            </w:tcMar>
            <w:vAlign w:val="center"/>
            <w:shd w:fill="FBF7F0"/>
          </w:tcPr>
          <w:p>
            <w:pPr>
              <w:spacing w:before="0" w:after="0" w:line="264" w:lineRule="auto"/>
              <w:jc w:val="left"/>
            </w:pPr>
            <w:r>
              <w:rPr>
                <w:rFonts w:ascii="Arial" w:hAnsi="Arial"/>
                <w:b/>
                <w:i w:val="0"/>
                <w:color w:val="083C2F"/>
                <w:sz w:val="18"/>
              </w:rPr>
              <w:t>Adaptad este recurso a vuestra AMPA</w:t>
            </w:r>
          </w:p>
          <w:p>
            <w:pPr>
              <w:spacing w:before="40" w:after="0" w:line="283" w:lineRule="auto"/>
            </w:pPr>
            <w:r>
              <w:rPr>
                <w:rFonts w:ascii="Arial" w:hAnsi="Arial"/>
                <w:b w:val="0"/>
                <w:i w:val="0"/>
                <w:color w:val="64736D"/>
                <w:sz w:val="18"/>
              </w:rPr>
              <w:t>Modelo orientativo. Adaptadlo a la actividad, al centro, a vuestra comunidad autónoma y a la situación fiscal y laboral real. Antes de firmar, comprobad la documentación del proveedor y pedid revisión profesional cuando el servicio, el importe o los riesgos lo aconsejen.</w:t>
            </w:r>
          </w:p>
        </w:tc>
      </w:tr>
    </w:tbl>
    <w:sectPr w:rsidR="00FC693F" w:rsidRPr="0006063C" w:rsidSect="00034616">
      <w:footerReference w:type="default" r:id="rId9"/>
      <w:headerReference w:type="default" r:id="rId10"/>
      <w:pgSz w:w="11906" w:h="16838"/>
      <w:pgMar w:top="1020" w:right="964" w:bottom="1020" w:left="964" w:header="397" w:footer="397"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p>
  <w:tbl>
    <w:tblPr>
      <w:tblW w:type="dxa" w:w="9978"/>
      <w:jc w:val="left"/>
      <w:tblLayout w:type="fixed"/>
      <w:tblLook w:firstColumn="1" w:firstRow="1" w:lastColumn="0" w:lastRow="0" w:noHBand="0" w:noVBand="1" w:val="04A0"/>
      <w:tblInd w:w="120" w:type="dxa"/>
    </w:tblPr>
    <w:tblGrid>
      <w:gridCol w:w="4989"/>
      <w:gridCol w:w="4989"/>
    </w:tblGrid>
    <w:tr>
      <w:tc>
        <w:tcPr>
          <w:tcW w:type="dxa" w:w="4989"/>
          <w:tcMar>
            <w:top w:w="100" w:type="dxa"/>
            <w:start w:w="120" w:type="dxa"/>
            <w:bottom w:w="100" w:type="dxa"/>
            <w:end w:w="120" w:type="dxa"/>
          </w:tcMar>
          <w:vAlign w:val="center"/>
        </w:tcPr>
        <w:p>
          <w:pPr>
            <w:spacing w:before="0" w:after="0" w:line="264" w:lineRule="auto"/>
            <w:jc w:val="left"/>
          </w:pPr>
          <w:r>
            <w:rPr>
              <w:rFonts w:ascii="Arial" w:hAnsi="Arial"/>
              <w:b w:val="0"/>
              <w:i w:val="0"/>
              <w:color w:val="64736D"/>
              <w:sz w:val="14"/>
            </w:rPr>
            <w:t>Recurso práctico para juntas de AMPA</w:t>
          </w:r>
        </w:p>
      </w:tc>
      <w:tc>
        <w:tcPr>
          <w:tcW w:type="dxa" w:w="4989"/>
          <w:tcMar>
            <w:top w:w="100" w:type="dxa"/>
            <w:start w:w="120" w:type="dxa"/>
            <w:bottom w:w="100" w:type="dxa"/>
            <w:end w:w="120" w:type="dxa"/>
          </w:tcMar>
          <w:vAlign w:val="center"/>
        </w:tcPr>
        <w:p>
          <w:pPr>
            <w:jc w:val="right"/>
          </w:pPr>
          <w:hyperlink r:id="rId1">
            <w:r>
              <w:rPr>
                <w:rFonts w:ascii="Arial" w:hAnsi="Arial"/>
                <w:color w:val="083C2F"/>
                <w:sz w:val="14"/>
              </w:rPr>
              <w:t>Más recursos gratuitos en abacoapp.es</w:t>
            </w:r>
          </w:hyperlink>
          <w:r>
            <w:rPr>
              <w:rFonts w:ascii="Arial" w:hAnsi="Arial"/>
              <w:b w:val="0"/>
              <w:i w:val="0"/>
              <w:color w:val="64736D"/>
              <w:sz w:val="14"/>
            </w:rPr>
            <w:t xml:space="preserve">  ·  </w:t>
          </w:r>
          <w:r>
            <w:rPr>
              <w:rFonts w:ascii="Arial" w:hAnsi="Arial"/>
              <w:b w:val="0"/>
              <w:i w:val="0"/>
              <w:color w:val="64736D"/>
              <w:sz w:val="15"/>
            </w:rPr>
            <w:fldChar w:fldCharType="begin"/>
            <w:instrText xml:space="preserve"> PAGE </w:instrText>
            <w:fldChar w:fldCharType="separate"/>
            <w:t>1</w:t>
            <w:fldChar w:fldCharType="end"/>
          </w:r>
        </w:p>
      </w:tc>
    </w:tr>
  </w:tbl>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before="0" w:after="0"/>
    </w:pPr>
    <w:r>
      <w:rPr>
        <w:rFonts w:ascii="Arial" w:hAnsi="Arial"/>
        <w:b w:val="0"/>
        <w:i w:val="0"/>
        <w:color w:val="FFFFFF"/>
        <w:sz w:val="2"/>
      </w:rPr>
    </w:r>
  </w:p>
  <w:tbl>
    <w:tblPr>
      <w:tblW w:type="dxa" w:w="9978"/>
      <w:jc w:val="left"/>
      <w:tblLayout w:type="fixed"/>
      <w:tblLook w:firstColumn="1" w:firstRow="1" w:lastColumn="0" w:lastRow="0" w:noHBand="0" w:noVBand="1" w:val="04A0"/>
      <w:tblInd w:w="120" w:type="dxa"/>
    </w:tblPr>
    <w:tblGrid>
      <w:gridCol w:w="2500"/>
      <w:gridCol w:w="7478"/>
    </w:tblGrid>
    <w:tr>
      <w:tc>
        <w:tcPr>
          <w:tcW w:type="dxa" w:w="2500"/>
          <w:tcMar>
            <w:top w:w="0" w:type="dxa"/>
            <w:start w:w="0" w:type="dxa"/>
            <w:bottom w:w="0" w:type="dxa"/>
            <w:end w:w="0" w:type="dxa"/>
          </w:tcMar>
          <w:vAlign w:val="center"/>
        </w:tcPr>
        <w:p>
          <w:pPr>
            <w:spacing w:before="0" w:after="0"/>
          </w:pPr>
          <w:r>
            <w:drawing>
              <wp:inline xmlns:a="http://schemas.openxmlformats.org/drawingml/2006/main" xmlns:pic="http://schemas.openxmlformats.org/drawingml/2006/picture">
                <wp:extent cx="648000" cy="166320"/>
                <wp:docPr id="1" name="Picture 1" descr="Logotipo de Ábaco" title="Ábaco"/>
                <wp:cNvGraphicFramePr>
                  <a:graphicFrameLocks noChangeAspect="1"/>
                </wp:cNvGraphicFramePr>
                <a:graphic>
                  <a:graphicData uri="http://schemas.openxmlformats.org/drawingml/2006/picture">
                    <pic:pic>
                      <pic:nvPicPr>
                        <pic:cNvPr id="0" name="logo_full.png"/>
                        <pic:cNvPicPr/>
                      </pic:nvPicPr>
                      <pic:blipFill>
                        <a:blip r:embed="rId1"/>
                        <a:stretch>
                          <a:fillRect/>
                        </a:stretch>
                      </pic:blipFill>
                      <pic:spPr>
                        <a:xfrm>
                          <a:off x="0" y="0"/>
                          <a:ext cx="648000" cy="166320"/>
                        </a:xfrm>
                        <a:prstGeom prst="rect"/>
                      </pic:spPr>
                    </pic:pic>
                  </a:graphicData>
                </a:graphic>
              </wp:inline>
            </w:drawing>
          </w:r>
        </w:p>
      </w:tc>
      <w:tc>
        <w:tcPr>
          <w:tcW w:type="dxa" w:w="7478"/>
          <w:tcMar>
            <w:top w:w="0" w:type="dxa"/>
            <w:start w:w="0" w:type="dxa"/>
            <w:bottom w:w="0" w:type="dxa"/>
            <w:end w:w="0" w:type="dxa"/>
          </w:tcMar>
          <w:vAlign w:val="center"/>
        </w:tcPr>
        <w:p>
          <w:pPr>
            <w:spacing w:before="0" w:after="0"/>
            <w:jc w:val="right"/>
          </w:pPr>
          <w:r>
            <w:rPr>
              <w:rFonts w:ascii="Arial" w:hAnsi="Arial"/>
              <w:b w:val="0"/>
              <w:i w:val="0"/>
              <w:color w:val="64736D"/>
              <w:sz w:val="15"/>
            </w:rPr>
            <w:t xml:space="preserve">La herramienta que organiza toda tu AMPA  ·  </w:t>
          </w:r>
          <w:hyperlink r:id="rId2">
            <w:r>
              <w:rPr>
                <w:rFonts w:ascii="Arial" w:hAnsi="Arial"/>
                <w:color w:val="083C2F"/>
                <w:sz w:val="15"/>
              </w:rPr>
              <w:t>abacoapp.es</w:t>
            </w:r>
          </w:hyperlink>
        </w:p>
      </w:tc>
    </w:tr>
  </w:tbl>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before="0" w:after="120" w:line="300" w:lineRule="auto"/>
    </w:pPr>
    <w:rPr>
      <w:rFonts w:ascii="Arial" w:hAnsi="Arial"/>
      <w:color w:val="1C2521"/>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60" w:after="200"/>
      <w:outlineLvl w:val="0"/>
    </w:pPr>
    <w:rPr>
      <w:rFonts w:asciiTheme="majorHAnsi" w:eastAsiaTheme="majorEastAsia" w:hAnsiTheme="majorHAnsi" w:cstheme="majorBidi" w:ascii="Arial" w:hAnsi="Arial"/>
      <w:b/>
      <w:bCs/>
      <w:color w:val="083C2F"/>
      <w:sz w:val="32"/>
      <w:szCs w:val="28"/>
    </w:rPr>
  </w:style>
  <w:style w:type="paragraph" w:styleId="Heading2">
    <w:name w:val="heading 2"/>
    <w:basedOn w:val="Normal"/>
    <w:next w:val="Normal"/>
    <w:link w:val="Heading2Char"/>
    <w:uiPriority w:val="9"/>
    <w:unhideWhenUsed/>
    <w:qFormat/>
    <w:rsid w:val="00FC693F"/>
    <w:pPr>
      <w:keepNext/>
      <w:keepLines/>
      <w:spacing w:before="360" w:after="140"/>
      <w:outlineLvl w:val="1"/>
    </w:pPr>
    <w:rPr>
      <w:rFonts w:asciiTheme="majorHAnsi" w:eastAsiaTheme="majorEastAsia" w:hAnsiTheme="majorHAnsi" w:cstheme="majorBidi" w:ascii="Arial" w:hAnsi="Arial"/>
      <w:b/>
      <w:bCs/>
      <w:color w:val="083C2F"/>
      <w:sz w:val="25"/>
      <w:szCs w:val="26"/>
    </w:rPr>
  </w:style>
  <w:style w:type="paragraph" w:styleId="Heading3">
    <w:name w:val="heading 3"/>
    <w:basedOn w:val="Normal"/>
    <w:next w:val="Normal"/>
    <w:link w:val="Heading3Char"/>
    <w:uiPriority w:val="9"/>
    <w:unhideWhenUsed/>
    <w:qFormat/>
    <w:rsid w:val="00FC693F"/>
    <w:pPr>
      <w:keepNext/>
      <w:keepLines/>
      <w:spacing w:before="200" w:after="100"/>
      <w:outlineLvl w:val="2"/>
    </w:pPr>
    <w:rPr>
      <w:rFonts w:asciiTheme="majorHAnsi" w:eastAsiaTheme="majorEastAsia" w:hAnsiTheme="majorHAnsi" w:cstheme="majorBidi" w:ascii="Arial" w:hAnsi="Arial"/>
      <w:b/>
      <w:bCs/>
      <w:color w:val="083C2F"/>
      <w:sz w:val="22"/>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https://abacoapp.es/tool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hyperlink" Target="https://abacoapp.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Contrato de prestación de actividades y servicios</dc:title>
  <dc:subject>Recurso práctico para juntas de AMPA</dc:subject>
  <dc:creator>Ábaco</dc:creator>
  <cp:keywords/>
  <dc:description>generated by python-docx</dc:description>
  <cp:lastModifiedBy/>
  <cp:revision>1</cp:revision>
  <dcterms:created xsi:type="dcterms:W3CDTF">2013-12-23T23:15:00Z</dcterms:created>
  <dcterms:modified xsi:type="dcterms:W3CDTF">2013-12-23T23:15:00Z</dcterms:modified>
  <cp:category/>
</cp:coreProperties>
</file>