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7362E5" w14:textId="2B4B0BF1" w:rsidR="00CC2559" w:rsidRDefault="00CC2559" w:rsidP="00CC2559">
      <w:pPr>
        <w:spacing w:after="60"/>
      </w:pPr>
      <w:r>
        <w:rPr>
          <w:color w:val="868788"/>
          <w:sz w:val="18"/>
          <w:szCs w:val="18"/>
          <w:i/>
          <w:iCs/>
        </w:rPr>
        <w:t xml:space="preserve">Finiti Legal Technologies, Inc.</w:t>
      </w:r>
    </w:p>
    <w:p w14:paraId="16115EED" w14:textId="77777777" w:rsidR="00CC2559" w:rsidRDefault="00CC2559" w:rsidP="00CC2559">
      <w:pPr>
        <w:spacing w:before="200" w:after="60"/>
      </w:pPr>
      <w:r>
        <w:rPr>
          <w:rFonts w:ascii="Georgia" w:eastAsia="Georgia" w:hAnsi="Georgia" w:cs="Georgia"/>
          <w:sz w:val="48"/>
          <w:szCs w:val="48"/>
        </w:rPr>
        <w:t xml:space="preserve">Service Level Agreement</w:t>
      </w:r>
    </w:p>
    <w:p w14:paraId="3B76C918" w14:textId="77777777" w:rsidR="005F5D6E" w:rsidRDefault="005F5D6E" w:rsidP="005F5D6E">
      <w:pPr>
        <w:spacing w:after="160" w:line="276" w:lineRule="auto"/>
      </w:pPr>
      <w:r>
        <w:rPr>
          <w:rFonts w:eastAsia="Satoshi Variable"/>
          <w:i/>
          <w:iCs/>
        </w:rPr>
        <w:t xml:space="preserve">Version: August 2026. This document is published at www.finiti.legal/sla and is the current version of the Finiti Service Level Agreement.</w:t>
      </w:r>
    </w:p>
    <w:p w14:paraId="3B76C918" w14:textId="77777777" w:rsidR="005F5D6E" w:rsidRDefault="005F5D6E" w:rsidP="005F5D6E">
      <w:pPr>
        <w:spacing w:after="160" w:line="276" w:lineRule="auto"/>
      </w:pPr>
      <w:r>
        <w:rPr>
          <w:rFonts w:eastAsia="Satoshi Variable"/>
        </w:rPr>
        <w:t xml:space="preserve">This Service Level Agreement (this "SLA") forms part of, and is incorporated by reference into, the agreement between Finiti Legal Technologies, Inc. ("Finiti") and the customer identified in that agreement ("Customer") governing Customer's access to and use of the Finiti platform and related services (the "Agreement"). Capitalised terms used but not defined in this SLA have the meanings given in the Agreement or in the Finiti Data Processing Agreement (the "DPA"). In the event of conflict, the order of precedence set out in the Agreement applies.</w:t>
      </w:r>
    </w:p>
    <w:p w14:paraId="7B9303B2" w14:textId="3E4A304B" w:rsidR="00CC2559" w:rsidRDefault="00CC2559" w:rsidP="00CC2559">
      <w:pPr>
        <w:spacing w:before="320" w:after="160"/>
      </w:pPr>
      <w:r>
        <w:rPr>
          <w:rFonts w:ascii="Georgia" w:eastAsia="Georgia" w:hAnsi="Georgia" w:cs="Georgia"/>
          <w:sz w:val="28"/>
          <w:szCs w:val="28"/>
        </w:rPr>
        <w:t xml:space="preserve">1. Scope</w:t>
      </w:r>
    </w:p>
    <w:p w14:paraId="3B76C918" w14:textId="77777777" w:rsidR="005F5D6E" w:rsidRDefault="005F5D6E" w:rsidP="005F5D6E">
      <w:pPr>
        <w:spacing w:after="160" w:line="276" w:lineRule="auto"/>
      </w:pPr>
      <w:r>
        <w:rPr>
          <w:rFonts w:eastAsia="Satoshi Variable"/>
        </w:rPr>
        <w:t xml:space="preserve">This SLA applies to the Finiti platform as made available to Customer under an order form. Where Customer has selected a deployment model other than managed SaaS, the commitments in this SLA apply as modified by Section 6 (Deployment models), because availability of infrastructure operated by Customer is outside Finiti's control.</w:t>
      </w:r>
    </w:p>
    <w:p w14:paraId="3B76C918" w14:textId="77777777" w:rsidR="005F5D6E" w:rsidRDefault="005F5D6E" w:rsidP="005F5D6E">
      <w:pPr>
        <w:spacing w:after="160" w:line="276" w:lineRule="auto"/>
      </w:pPr>
      <w:r>
        <w:rPr>
          <w:rFonts w:eastAsia="Satoshi Variable"/>
        </w:rPr>
        <w:t xml:space="preserve">This SLA does not apply to Beta Products, previews, or other pre-release features, which are provided as described in the Agreement.</w:t>
      </w:r>
    </w:p>
    <w:p w14:paraId="7B9303B2" w14:textId="3E4A304B" w:rsidR="00CC2559" w:rsidRDefault="00CC2559" w:rsidP="00CC2559">
      <w:pPr>
        <w:spacing w:before="320" w:after="160"/>
      </w:pPr>
      <w:r>
        <w:rPr>
          <w:rFonts w:ascii="Georgia" w:eastAsia="Georgia" w:hAnsi="Georgia" w:cs="Georgia"/>
          <w:sz w:val="28"/>
          <w:szCs w:val="28"/>
        </w:rPr>
        <w:t xml:space="preserve">2. Support channels and hours</w:t>
      </w:r>
    </w:p>
    <w:tbl>
      <w:tblPr>
        <w:tblStyle w:val="LightGrid-Accent1"/>
        <w:tblW w:w="0" w:type="auto"/>
        <w:tblLayout w:type="fixed"/>
        <w:tblLook w:val="04A0" w:firstRow="1" w:lastRow="0" w:firstColumn="1" w:lastColumn="0" w:noHBand="0" w:noVBand="1"/>
      </w:tblPr>
      <w:tblGrid>
        <w:gridCol w:w="3168"/>
        <w:gridCol w:w="6192"/>
      </w:tblGrid>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Support hours</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Monday to Friday, 9:00–18:00 US Eastern, excluding public holidays observed by Finiti</w:t>
            </w:r>
          </w:p>
        </w:tc>
      </w:tr>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Channels</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Email to the Finiti support address; dedicated shared Slack channel for enterprise customers</w:t>
            </w:r>
          </w:p>
        </w:tc>
      </w:tr>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Account contact</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A named account contact is assigned to each customer</w:t>
            </w:r>
          </w:p>
        </w:tc>
      </w:tr>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Availability monitoring</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Critical availability incidents are monitored 24/7 by automated alerting with engineering escalation, including outside support hours</w:t>
            </w:r>
          </w:p>
        </w:tc>
      </w:tr>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Language</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Support is provided in English</w:t>
            </w:r>
          </w:p>
        </w:tc>
      </w:tr>
    </w:tbl>
    <w:p w14:paraId="7B9303B2" w14:textId="3E4A304B" w:rsidR="00CC2559" w:rsidRDefault="00CC2559" w:rsidP="00CC2559">
      <w:pPr>
        <w:spacing w:before="320" w:after="160"/>
      </w:pPr>
      <w:r>
        <w:rPr>
          <w:rFonts w:ascii="Georgia" w:eastAsia="Georgia" w:hAnsi="Georgia" w:cs="Georgia"/>
          <w:sz w:val="28"/>
          <w:szCs w:val="28"/>
        </w:rPr>
        <w:t xml:space="preserve">3. Severity classification</w:t>
      </w:r>
    </w:p>
    <w:p w14:paraId="3B76C918" w14:textId="77777777" w:rsidR="005F5D6E" w:rsidRDefault="005F5D6E" w:rsidP="005F5D6E">
      <w:pPr>
        <w:spacing w:after="160" w:line="276" w:lineRule="auto"/>
      </w:pPr>
      <w:r>
        <w:rPr>
          <w:rFonts w:eastAsia="Satoshi Variable"/>
        </w:rPr>
        <w:t xml:space="preserve">Finiti classifies each reported issue on receipt. Where Customer and Finiti disagree on severity, the parties will discuss in good faith and Finiti will apply the higher classification pending agreement.</w:t>
      </w:r>
    </w:p>
    <w:tbl>
      <w:tblPr>
        <w:tblStyle w:val="LightGrid-Accent1"/>
        <w:tblW w:w="0" w:type="auto"/>
        <w:tblLayout w:type="fixed"/>
        <w:tblLook w:val="04A0" w:firstRow="1" w:lastRow="0" w:firstColumn="1" w:lastColumn="0" w:noHBand="0" w:noVBand="1"/>
      </w:tblPr>
      <w:tblGrid>
        <w:gridCol w:w="3168"/>
        <w:gridCol w:w="6192"/>
      </w:tblGrid>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Severity</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b/>
                <w:bCs/>
              </w:rPr>
              <w:t xml:space="preserve">Definition</w:t>
            </w:r>
          </w:p>
        </w:tc>
      </w:tr>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Critical</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The platform is unavailable, or a defect prevents all or substantially all Authorized Users from performing core workflows, with no reasonable workaround. Includes confirmed Security Incidents affecting Customer Personal Data.</w:t>
            </w:r>
          </w:p>
        </w:tc>
      </w:tr>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High</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A core function is materially impaired or unavailable for a significant group of Authorized Users, or output integrity is materially affected, but a workaround exists or other functions remain usable.</w:t>
            </w:r>
          </w:p>
        </w:tc>
      </w:tr>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Normal</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A defect or degradation affecting a non-core function, a limited group of users, or performance, with a reasonable workaround available.</w:t>
            </w:r>
          </w:p>
        </w:tc>
      </w:tr>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Low</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Questions, configuration and how-to requests, cosmetic issues, documentation errors, and feature requests.</w:t>
            </w:r>
          </w:p>
        </w:tc>
      </w:tr>
    </w:tbl>
    <w:p w14:paraId="7B9303B2" w14:textId="3E4A304B" w:rsidR="00CC2559" w:rsidRDefault="00CC2559" w:rsidP="00CC2559">
      <w:pPr>
        <w:spacing w:before="320" w:after="160"/>
      </w:pPr>
      <w:r>
        <w:rPr>
          <w:rFonts w:ascii="Georgia" w:eastAsia="Georgia" w:hAnsi="Georgia" w:cs="Georgia"/>
          <w:sz w:val="28"/>
          <w:szCs w:val="28"/>
        </w:rPr>
        <w:t xml:space="preserve">4. Response and update targets</w:t>
      </w:r>
    </w:p>
    <w:p w14:paraId="3B76C918" w14:textId="77777777" w:rsidR="005F5D6E" w:rsidRDefault="005F5D6E" w:rsidP="005F5D6E">
      <w:pPr>
        <w:spacing w:after="160" w:line="276" w:lineRule="auto"/>
      </w:pPr>
      <w:r>
        <w:rPr>
          <w:rFonts w:eastAsia="Satoshi Variable"/>
        </w:rPr>
        <w:t xml:space="preserve">Response time is measured from Finiti's receipt of a report through a supported channel. Targets for Critical issues are measured on a 24/7 basis; targets for all other severities are measured during support hours. These are response and communication targets, not resolution guarantees: the time required to resolve an issue depends on its nature, and Finiti will use commercially reasonable efforts to resolve each issue as quickly as reasonably practicable.</w:t>
      </w:r>
    </w:p>
    <w:tbl>
      <w:tblPr>
        <w:tblStyle w:val="LightGrid-Accent1"/>
        <w:tblW w:w="0" w:type="auto"/>
        <w:tblLayout w:type="fixed"/>
        <w:tblLook w:val="04A0" w:firstRow="1" w:lastRow="0" w:firstColumn="1" w:lastColumn="0" w:noHBand="0" w:noVBand="1"/>
      </w:tblPr>
      <w:tblGrid>
        <w:gridCol w:w="3168"/>
        <w:gridCol w:w="6192"/>
      </w:tblGrid>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Severity</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b/>
                <w:bCs/>
              </w:rPr>
              <w:t xml:space="preserve">Target initial response · Update cadence</w:t>
            </w:r>
          </w:p>
        </w:tc>
      </w:tr>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Critical</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4 hours · updates at least every 24 hours until resolved or downgraded</w:t>
            </w:r>
          </w:p>
        </w:tc>
      </w:tr>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High</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1 business day · updates at least every 2 business days</w:t>
            </w:r>
          </w:p>
        </w:tc>
      </w:tr>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Normal</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1 business day · updates as work progresses</w:t>
            </w:r>
          </w:p>
        </w:tc>
      </w:tr>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Low</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2 business days · updates as work progresses</w:t>
            </w:r>
          </w:p>
        </w:tc>
      </w:tr>
    </w:tbl>
    <w:p w14:paraId="7B9303B2" w14:textId="3E4A304B" w:rsidR="00CC2559" w:rsidRDefault="00CC2559" w:rsidP="00CC2559">
      <w:pPr>
        <w:spacing w:before="320" w:after="160"/>
      </w:pPr>
      <w:r>
        <w:rPr>
          <w:rFonts w:ascii="Georgia" w:eastAsia="Georgia" w:hAnsi="Georgia" w:cs="Georgia"/>
          <w:sz w:val="28"/>
          <w:szCs w:val="28"/>
        </w:rPr>
        <w:t xml:space="preserve">5. Planned maintenance</w:t>
      </w:r>
    </w:p>
    <w:p w14:paraId="3B76C918" w14:textId="77777777" w:rsidR="005F5D6E" w:rsidRDefault="005F5D6E" w:rsidP="005F5D6E">
      <w:pPr>
        <w:spacing w:after="160" w:line="276" w:lineRule="auto"/>
      </w:pPr>
      <w:r>
        <w:rPr>
          <w:rFonts w:eastAsia="Satoshi Variable"/>
        </w:rPr>
        <w:t xml:space="preserve">Finiti performs routine maintenance and deploys updates without interruption to service wherever practicable. Where planned maintenance is expected to cause an interruption, Finiti will give Customer at least 5 business days' prior notice and will schedule the work outside 9:00–18:00 US Eastern wherever reasonably practicable. Notified planned maintenance is not treated as a service interruption for the purposes of this SLA.</w:t>
      </w:r>
    </w:p>
    <w:p w14:paraId="3B76C918" w14:textId="77777777" w:rsidR="005F5D6E" w:rsidRDefault="005F5D6E" w:rsidP="005F5D6E">
      <w:pPr>
        <w:spacing w:after="160" w:line="276" w:lineRule="auto"/>
      </w:pPr>
      <w:r>
        <w:rPr>
          <w:rFonts w:eastAsia="Satoshi Variable"/>
        </w:rPr>
        <w:t xml:space="preserve">Finiti may perform emergency maintenance without prior notice where necessary to preserve the security, integrity, or availability of the platform, and will notify Customer as soon as reasonably practicable.</w:t>
      </w:r>
    </w:p>
    <w:p w14:paraId="7B9303B2" w14:textId="3E4A304B" w:rsidR="00CC2559" w:rsidRDefault="00CC2559" w:rsidP="00CC2559">
      <w:pPr>
        <w:spacing w:before="320" w:after="160"/>
      </w:pPr>
      <w:r>
        <w:rPr>
          <w:rFonts w:ascii="Georgia" w:eastAsia="Georgia" w:hAnsi="Georgia" w:cs="Georgia"/>
          <w:sz w:val="28"/>
          <w:szCs w:val="28"/>
        </w:rPr>
        <w:t xml:space="preserve">6. Deployment models</w:t>
      </w:r>
    </w:p>
    <w:tbl>
      <w:tblPr>
        <w:tblStyle w:val="LightGrid-Accent1"/>
        <w:tblW w:w="0" w:type="auto"/>
        <w:tblLayout w:type="fixed"/>
        <w:tblLook w:val="04A0" w:firstRow="1" w:lastRow="0" w:firstColumn="1" w:lastColumn="0" w:noHBand="0" w:noVBand="1"/>
      </w:tblPr>
      <w:tblGrid>
        <w:gridCol w:w="3168"/>
        <w:gridCol w:w="6192"/>
      </w:tblGrid>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Managed SaaS</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Finiti hosts and operates the platform. Updates are delivered continuously. This SLA applies in full.</w:t>
            </w:r>
          </w:p>
        </w:tc>
      </w:tr>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Managed deployment in Customer's cloud tenant</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Finiti manages the application within infrastructure operated by Customer. Updates are managed and coordinated with Customer. Finiti's obligations under this SLA apply only to components operated by Finiti and are conditional on Customer's infrastructure, network, and identity provider being available, and on Customer having approved the telemetry required for Finiti to detect and diagnose incidents.</w:t>
            </w:r>
          </w:p>
        </w:tc>
      </w:tr>
      <w:tr w:rsidR="007B464E" w:rsidRPr="007B464E" w14:paraId="1B88E104" w14:textId="77777777" w:rsidTr="000F3B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14:paraId="042EC99C" w14:textId="77777777" w:rsidR="007B464E" w:rsidRPr="007B464E" w:rsidRDefault="007B464E" w:rsidP="000F3B01">
            <w:pPr>
              <w:rPr>
                <w:rFonts w:cs="Satoshi Variable"/>
                <w:sz w:val="15"/>
                <w:szCs w:val="8"/>
              </w:rPr>
            </w:pPr>
            <w:r>
              <w:rPr>
                <w:rFonts w:cs="Satoshi Variable"/>
                <w:sz w:val="15"/>
                <w:szCs w:val="8"/>
                <w:b/>
                <w:bCs/>
              </w:rPr>
              <w:t xml:space="preserve">Full on-premise / air-gapped</w:t>
            </w:r>
          </w:p>
        </w:tc>
        <w:tc>
          <w:tcPr>
            <w:tcW w:w="6192" w:type="dxa"/>
          </w:tcPr>
          <w:p w14:paraId="11F91435" w14:textId="77777777" w:rsidR="007B464E" w:rsidRPr="007B464E" w:rsidRDefault="007B464E" w:rsidP="000F3B01">
            <w:pPr>
              <w:cnfStyle w:val="100000000000" w:firstRow="1" w:lastRow="0" w:firstColumn="0" w:lastColumn="0" w:oddVBand="0" w:evenVBand="0" w:oddHBand="0" w:evenHBand="0" w:firstRowFirstColumn="0" w:firstRowLastColumn="0" w:lastRowFirstColumn="0" w:lastRowLastColumn="0"/>
              <w:rPr>
                <w:rFonts w:cs="Satoshi Variable"/>
                <w:sz w:val="15"/>
                <w:szCs w:val="8"/>
              </w:rPr>
            </w:pPr>
            <w:r>
              <w:rPr>
                <w:rFonts w:cs="Satoshi Variable"/>
                <w:sz w:val="15"/>
                <w:szCs w:val="8"/>
              </w:rPr>
              <w:t xml:space="preserve">Customer operates the infrastructure and the platform runs within Customer's environment. Updates are delivered as versioned packages on an agreed cadence. Finiti is not responsible for the availability of Customer's infrastructure; the support response targets in Section 4 continue to apply, subject to the diagnostic information Customer is able to provide.</w:t>
            </w:r>
          </w:p>
        </w:tc>
      </w:tr>
    </w:tbl>
    <w:p w14:paraId="7B9303B2" w14:textId="3E4A304B" w:rsidR="00CC2559" w:rsidRDefault="00CC2559" w:rsidP="00CC2559">
      <w:pPr>
        <w:spacing w:before="320" w:after="160"/>
      </w:pPr>
      <w:r>
        <w:rPr>
          <w:rFonts w:ascii="Georgia" w:eastAsia="Georgia" w:hAnsi="Georgia" w:cs="Georgia"/>
          <w:sz w:val="28"/>
          <w:szCs w:val="28"/>
        </w:rPr>
        <w:t xml:space="preserve">7. Incident management</w:t>
      </w:r>
    </w:p>
    <w:p w14:paraId="3B76C918" w14:textId="77777777" w:rsidR="005F5D6E" w:rsidRDefault="005F5D6E" w:rsidP="005F5D6E">
      <w:pPr>
        <w:spacing w:after="160" w:line="276" w:lineRule="auto"/>
      </w:pPr>
      <w:r>
        <w:rPr>
          <w:rFonts w:eastAsia="Satoshi Variable"/>
        </w:rPr>
        <w:t xml:space="preserve">Finiti maintains a documented incident-response process covering detection, severity classification, containment, eradication, recovery, and post-incident review. For any Critical incident, Finiti will provide a written root cause analysis to Customer on request within 15 business days of resolution, describing the cause, the impact, the remediation applied, and the preventative measures adopted.</w:t>
      </w:r>
    </w:p>
    <w:p w14:paraId="3B76C918" w14:textId="77777777" w:rsidR="005F5D6E" w:rsidRDefault="005F5D6E" w:rsidP="005F5D6E">
      <w:pPr>
        <w:spacing w:after="160" w:line="276" w:lineRule="auto"/>
      </w:pPr>
      <w:r>
        <w:rPr>
          <w:rFonts w:eastAsia="Satoshi Variable"/>
        </w:rPr>
        <w:t xml:space="preserve">Security Incidents affecting Customer Personal Data are notified in accordance with the DPA, and in any event no later than 72 hours after Finiti becomes aware of the incident. Nothing in this SLA limits Finiti's obligations under the DPA.</w:t>
      </w:r>
    </w:p>
    <w:p w14:paraId="7B9303B2" w14:textId="3E4A304B" w:rsidR="00CC2559" w:rsidRDefault="00CC2559" w:rsidP="00CC2559">
      <w:pPr>
        <w:spacing w:before="320" w:after="160"/>
      </w:pPr>
      <w:r>
        <w:rPr>
          <w:rFonts w:ascii="Georgia" w:eastAsia="Georgia" w:hAnsi="Georgia" w:cs="Georgia"/>
          <w:sz w:val="28"/>
          <w:szCs w:val="28"/>
        </w:rPr>
        <w:t xml:space="preserve">8. Business continuity and disaster recovery</w:t>
      </w:r>
    </w:p>
    <w:p w14:paraId="3B76C918" w14:textId="77777777" w:rsidR="005F5D6E" w:rsidRDefault="005F5D6E" w:rsidP="005F5D6E">
      <w:pPr>
        <w:spacing w:after="160" w:line="276" w:lineRule="auto"/>
      </w:pPr>
      <w:r>
        <w:rPr>
          <w:rFonts w:eastAsia="Satoshi Variable"/>
        </w:rPr>
        <w:t xml:space="preserve">Finiti maintains a documented business continuity and disaster recovery plan, which is tested at least annually. Production environments in the managed SaaS deployment are deployed across multiple availability zones with automated failover, and backups are taken on a regular cadence, encrypted, and tested for restorability.</w:t>
      </w:r>
    </w:p>
    <w:p w14:paraId="3B76C918" w14:textId="77777777" w:rsidR="005F5D6E" w:rsidRDefault="005F5D6E" w:rsidP="005F5D6E">
      <w:pPr>
        <w:spacing w:after="160" w:line="276" w:lineRule="auto"/>
      </w:pPr>
      <w:r>
        <w:rPr>
          <w:rFonts w:eastAsia="Satoshi Variable"/>
        </w:rPr>
        <w:t xml:space="preserve">Finiti's documented recovery objectives, and the date and outcome of the most recent test, are available to Customer on request.</w:t>
      </w:r>
    </w:p>
    <w:p w14:paraId="7B9303B2" w14:textId="3E4A304B" w:rsidR="00CC2559" w:rsidRDefault="00CC2559" w:rsidP="00CC2559">
      <w:pPr>
        <w:spacing w:before="320" w:after="160"/>
      </w:pPr>
      <w:r>
        <w:rPr>
          <w:rFonts w:ascii="Georgia" w:eastAsia="Georgia" w:hAnsi="Georgia" w:cs="Georgia"/>
          <w:sz w:val="28"/>
          <w:szCs w:val="28"/>
        </w:rPr>
        <w:t xml:space="preserve">9. Exclusions</w:t>
      </w:r>
    </w:p>
    <w:p w14:paraId="3B76C918" w14:textId="77777777" w:rsidR="005F5D6E" w:rsidRDefault="005F5D6E" w:rsidP="005F5D6E">
      <w:pPr>
        <w:spacing w:after="160" w:line="276" w:lineRule="auto"/>
      </w:pPr>
      <w:r>
        <w:rPr>
          <w:rFonts w:eastAsia="Satoshi Variable"/>
        </w:rPr>
        <w:t xml:space="preserve">Finiti has no liability under this SLA for, and the response targets in Section 4 do not apply to, any unavailability, interruption, or degradation to the extent arising from:</w:t>
      </w:r>
    </w:p>
    <w:p w14:paraId="4031F5E8" w14:textId="77777777" w:rsidR="005F5D6E" w:rsidRDefault="005F5D6E" w:rsidP="005F5D6E">
      <w:pPr>
        <w:pStyle w:val="ListParagraph"/>
        <w:numPr>
          <w:ilvl w:val="0"/>
          <w:numId w:val="8"/>
        </w:numPr>
        <w:spacing w:after="90" w:line="270" w:lineRule="auto"/>
      </w:pPr>
      <w:r>
        <w:rPr>
          <w:rFonts w:eastAsia="Satoshi Variable"/>
        </w:rPr>
        <w:t xml:space="preserve">notified planned maintenance, or emergency maintenance carried out under Section 5;</w:t>
      </w:r>
    </w:p>
    <w:p w14:paraId="4031F5E8" w14:textId="77777777" w:rsidR="005F5D6E" w:rsidRDefault="005F5D6E" w:rsidP="005F5D6E">
      <w:pPr>
        <w:pStyle w:val="ListParagraph"/>
        <w:numPr>
          <w:ilvl w:val="0"/>
          <w:numId w:val="8"/>
        </w:numPr>
        <w:spacing w:after="90" w:line="270" w:lineRule="auto"/>
      </w:pPr>
      <w:r>
        <w:rPr>
          <w:rFonts w:eastAsia="Satoshi Variable"/>
        </w:rPr>
        <w:t xml:space="preserve">a Force Majeure Event as defined in the Agreement;</w:t>
      </w:r>
    </w:p>
    <w:p w14:paraId="4031F5E8" w14:textId="77777777" w:rsidR="005F5D6E" w:rsidRDefault="005F5D6E" w:rsidP="005F5D6E">
      <w:pPr>
        <w:pStyle w:val="ListParagraph"/>
        <w:numPr>
          <w:ilvl w:val="0"/>
          <w:numId w:val="8"/>
        </w:numPr>
        <w:spacing w:after="90" w:line="270" w:lineRule="auto"/>
      </w:pPr>
      <w:r>
        <w:rPr>
          <w:rFonts w:eastAsia="Satoshi Variable"/>
        </w:rPr>
        <w:t xml:space="preserve">failure or unavailability of Customer's own systems, networks, devices, identity provider, or internet connectivity, or of infrastructure operated by Customer in a client-tenant or on-premise deployment;</w:t>
      </w:r>
    </w:p>
    <w:p w14:paraId="4031F5E8" w14:textId="77777777" w:rsidR="005F5D6E" w:rsidRDefault="005F5D6E" w:rsidP="005F5D6E">
      <w:pPr>
        <w:pStyle w:val="ListParagraph"/>
        <w:numPr>
          <w:ilvl w:val="0"/>
          <w:numId w:val="8"/>
        </w:numPr>
        <w:spacing w:after="90" w:line="270" w:lineRule="auto"/>
      </w:pPr>
      <w:r>
        <w:rPr>
          <w:rFonts w:eastAsia="Satoshi Variable"/>
        </w:rPr>
        <w:t xml:space="preserve">failure or degradation of a third-party service or Non-Finiti Application that Customer has directed Finiti to integrate with, or of a Sub-processor that Customer has declined to approve;</w:t>
      </w:r>
    </w:p>
    <w:p w14:paraId="4031F5E8" w14:textId="77777777" w:rsidR="005F5D6E" w:rsidRDefault="005F5D6E" w:rsidP="005F5D6E">
      <w:pPr>
        <w:pStyle w:val="ListParagraph"/>
        <w:numPr>
          <w:ilvl w:val="0"/>
          <w:numId w:val="8"/>
        </w:numPr>
        <w:spacing w:after="90" w:line="270" w:lineRule="auto"/>
      </w:pPr>
      <w:r>
        <w:rPr>
          <w:rFonts w:eastAsia="Satoshi Variable"/>
        </w:rPr>
        <w:t xml:space="preserve">Customer's use of the platform other than in accordance with the Agreement or the Documentation, or unauthorised modification of the platform;</w:t>
      </w:r>
    </w:p>
    <w:p w14:paraId="4031F5E8" w14:textId="77777777" w:rsidR="005F5D6E" w:rsidRDefault="005F5D6E" w:rsidP="005F5D6E">
      <w:pPr>
        <w:pStyle w:val="ListParagraph"/>
        <w:numPr>
          <w:ilvl w:val="0"/>
          <w:numId w:val="8"/>
        </w:numPr>
        <w:spacing w:after="90" w:line="270" w:lineRule="auto"/>
      </w:pPr>
      <w:r>
        <w:rPr>
          <w:rFonts w:eastAsia="Satoshi Variable"/>
        </w:rPr>
        <w:t xml:space="preserve">suspension of access exercised in accordance with the Agreement, including for non-payment or breach of the service restrictions; or</w:t>
      </w:r>
    </w:p>
    <w:p w14:paraId="4031F5E8" w14:textId="77777777" w:rsidR="005F5D6E" w:rsidRDefault="005F5D6E" w:rsidP="005F5D6E">
      <w:pPr>
        <w:pStyle w:val="ListParagraph"/>
        <w:numPr>
          <w:ilvl w:val="0"/>
          <w:numId w:val="8"/>
        </w:numPr>
        <w:spacing w:after="90" w:line="270" w:lineRule="auto"/>
      </w:pPr>
      <w:r>
        <w:rPr>
          <w:rFonts w:eastAsia="Satoshi Variable"/>
        </w:rPr>
        <w:t xml:space="preserve">Beta Products, previews, and other pre-release features.</w:t>
      </w:r>
    </w:p>
    <w:p w14:paraId="7B9303B2" w14:textId="3E4A304B" w:rsidR="00CC2559" w:rsidRDefault="00CC2559" w:rsidP="00CC2559">
      <w:pPr>
        <w:spacing w:before="320" w:after="160"/>
      </w:pPr>
      <w:r>
        <w:rPr>
          <w:rFonts w:ascii="Georgia" w:eastAsia="Georgia" w:hAnsi="Georgia" w:cs="Georgia"/>
          <w:sz w:val="28"/>
          <w:szCs w:val="28"/>
        </w:rPr>
        <w:t xml:space="preserve">10. Changes to this SLA</w:t>
      </w:r>
    </w:p>
    <w:p w14:paraId="3B76C918" w14:textId="77777777" w:rsidR="005F5D6E" w:rsidRDefault="005F5D6E" w:rsidP="005F5D6E">
      <w:pPr>
        <w:spacing w:after="160" w:line="276" w:lineRule="auto"/>
      </w:pPr>
      <w:r>
        <w:rPr>
          <w:rFonts w:eastAsia="Satoshi Variable"/>
        </w:rPr>
        <w:t xml:space="preserve">Finiti may update this SLA from time to time, provided that no update will materially reduce the commitments in it during a Subscription Period for which Customer has already paid. Finiti will give Customer at least 30 days' written notice of any material change, which may be given by email or by publication in the Finiti trust centre.</w:t>
      </w:r>
    </w:p>
    <w:sectPr w:rsidR="007B464E">
      <w:headerReference w:type="default" r:id="rId8"/>
      <w:footerReference w:type="default" r:id="rId9"/>
      <w:pgSz w:w="12240" w:h="15840"/>
      <w:pgMar w:top="1440" w:right="1440" w:bottom="1800" w:left="1440" w:header="720" w:footer="4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0B1D17" w14:textId="77777777" w:rsidR="00200D98" w:rsidRDefault="00200D98">
      <w:r>
        <w:separator/>
      </w:r>
    </w:p>
  </w:endnote>
  <w:endnote w:type="continuationSeparator" w:id="0">
    <w:p w14:paraId="1245D50D" w14:textId="77777777" w:rsidR="00200D98" w:rsidRDefault="00200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Satoshi Variable">
    <w:panose1 w:val="00000000000000000000"/>
    <w:charset w:val="4D"/>
    <w:family w:val="auto"/>
    <w:pitch w:val="variable"/>
    <w:sig w:usb0="80000047" w:usb1="00000001" w:usb2="00000000" w:usb3="00000000" w:csb0="00000093" w:csb1="00000000"/>
  </w:font>
  <w:font w:name="Satoshi">
    <w:panose1 w:val="00000000000000000000"/>
    <w:charset w:val="4D"/>
    <w:family w:val="auto"/>
    <w:pitch w:val="variable"/>
    <w:sig w:usb0="80000047" w:usb1="00000001" w:usb2="00000000" w:usb3="00000000" w:csb0="00000093" w:csb1="00000000"/>
  </w:font>
  <w:font w:name="Erode">
    <w:panose1 w:val="00000000000000000000"/>
    <w:charset w:val="4D"/>
    <w:family w:val="auto"/>
    <w:notTrueType/>
    <w:pitch w:val="variable"/>
    <w:sig w:usb0="80000007" w:usb1="1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400"/>
      <w:gridCol w:w="5960"/>
    </w:tblGrid>
    <w:tr w:rsidR="001A77E7" w14:paraId="009AC3E7" w14:textId="77777777">
      <w:tc>
        <w:tcPr>
          <w:tcW w:w="34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bottom"/>
        </w:tcPr>
        <w:p w14:paraId="0A94F536" w14:textId="77777777" w:rsidR="001A77E7" w:rsidRDefault="00000000">
          <w:r>
            <w:rPr>
              <w:noProof/>
            </w:rPr>
            <w:drawing>
              <wp:inline distT="0" distB="0" distL="0" distR="0" wp14:anchorId="3ED1D3F6" wp14:editId="12BD6135">
                <wp:extent cx="1238250" cy="762000"/>
                <wp:effectExtent l="0" t="0" r="0" b="0"/>
                <wp:docPr id="1189283845" name="Picture 1189283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238250" cy="762000"/>
                        </a:xfrm>
                        <a:prstGeom prst="rect">
                          <a:avLst/>
                        </a:prstGeom>
                      </pic:spPr>
                    </pic:pic>
                  </a:graphicData>
                </a:graphic>
              </wp:inline>
            </w:drawing>
          </w:r>
        </w:p>
      </w:tc>
      <w:tc>
        <w:tcPr>
          <w:tcW w:w="59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bottom"/>
        </w:tcPr>
        <w:p w14:paraId="0F8FDD7B" w14:textId="77777777" w:rsidR="001A77E7" w:rsidRDefault="00000000">
          <w:pPr>
            <w:spacing w:after="60"/>
            <w:jc w:val="right"/>
          </w:pPr>
          <w:r>
            <w:rPr>
              <w:b/>
              <w:bCs/>
              <w:sz w:val="18"/>
              <w:szCs w:val="18"/>
            </w:rPr>
            <w:t>Finiti Legal</w:t>
          </w:r>
        </w:p>
        <w:p w14:paraId="1D306864" w14:textId="77777777" w:rsidR="001A77E7" w:rsidRDefault="001A77E7">
          <w:pPr>
            <w:spacing w:after="40"/>
            <w:jc w:val="right"/>
          </w:pPr>
          <w:hyperlink r:id="rId2" w:history="1">
            <w:r>
              <w:rPr>
                <w:color w:val="555758"/>
                <w:sz w:val="16"/>
                <w:szCs w:val="16"/>
              </w:rPr>
              <w:t>www.finiti.legal</w:t>
            </w:r>
          </w:hyperlink>
        </w:p>
        <w:p w14:paraId="65217A59" w14:textId="77777777" w:rsidR="001A77E7" w:rsidRDefault="00000000">
          <w:pPr>
            <w:spacing w:after="40"/>
            <w:jc w:val="right"/>
          </w:pPr>
          <w:r>
            <w:rPr>
              <w:color w:val="555758"/>
              <w:sz w:val="16"/>
              <w:szCs w:val="16"/>
            </w:rPr>
            <w:t>908 Broadway, San Francisco, CA</w:t>
          </w:r>
        </w:p>
        <w:p w14:paraId="505FA71C" w14:textId="77777777" w:rsidR="001A77E7" w:rsidRDefault="00000000">
          <w:pPr>
            <w:jc w:val="right"/>
          </w:pPr>
          <w:r>
            <w:rPr>
              <w:color w:val="555758"/>
              <w:sz w:val="16"/>
              <w:szCs w:val="16"/>
            </w:rPr>
            <w:t>United States</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4685EB" w14:textId="77777777" w:rsidR="00200D98" w:rsidRDefault="00200D98">
      <w:r>
        <w:separator/>
      </w:r>
    </w:p>
  </w:footnote>
  <w:footnote w:type="continuationSeparator" w:id="0">
    <w:p w14:paraId="60533DCD" w14:textId="77777777" w:rsidR="00200D98" w:rsidRDefault="00200D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DCF874" w14:textId="77777777" w:rsidR="001A77E7" w:rsidRDefault="00000000">
    <w:r>
      <w:rPr>
        <w:noProof/>
      </w:rPr>
      <w:drawing>
        <wp:inline distT="0" distB="0" distL="0" distR="0" wp14:anchorId="6AEC14FF" wp14:editId="7DEE6CD3">
          <wp:extent cx="1828800" cy="36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828800" cy="361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2C620E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F423EC"/>
    <w:multiLevelType w:val="hybridMultilevel"/>
    <w:tmpl w:val="5CD6FBF6"/>
    <w:lvl w:ilvl="0" w:tplc="292268BC">
      <w:start w:val="3"/>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A17A6"/>
    <w:multiLevelType w:val="hybridMultilevel"/>
    <w:tmpl w:val="053AF9E2"/>
    <w:lvl w:ilvl="0" w:tplc="17B61EFC">
      <w:start w:val="1"/>
      <w:numFmt w:val="bullet"/>
      <w:lvlText w:val="✓"/>
      <w:lvlJc w:val="left"/>
      <w:pPr>
        <w:ind w:left="540" w:hanging="270"/>
      </w:pPr>
      <w:rPr>
        <w:b/>
        <w:bCs/>
        <w:color w:val="6C9EAB"/>
      </w:rPr>
    </w:lvl>
    <w:lvl w:ilvl="1" w:tplc="EF94AAD0">
      <w:numFmt w:val="decimal"/>
      <w:lvlText w:val=""/>
      <w:lvlJc w:val="left"/>
    </w:lvl>
    <w:lvl w:ilvl="2" w:tplc="9C7E2F2A">
      <w:numFmt w:val="decimal"/>
      <w:lvlText w:val=""/>
      <w:lvlJc w:val="left"/>
    </w:lvl>
    <w:lvl w:ilvl="3" w:tplc="B7523CB0">
      <w:numFmt w:val="decimal"/>
      <w:lvlText w:val=""/>
      <w:lvlJc w:val="left"/>
    </w:lvl>
    <w:lvl w:ilvl="4" w:tplc="8C82E960">
      <w:numFmt w:val="decimal"/>
      <w:lvlText w:val=""/>
      <w:lvlJc w:val="left"/>
    </w:lvl>
    <w:lvl w:ilvl="5" w:tplc="8D1E29E4">
      <w:numFmt w:val="decimal"/>
      <w:lvlText w:val=""/>
      <w:lvlJc w:val="left"/>
    </w:lvl>
    <w:lvl w:ilvl="6" w:tplc="7A581468">
      <w:numFmt w:val="decimal"/>
      <w:lvlText w:val=""/>
      <w:lvlJc w:val="left"/>
    </w:lvl>
    <w:lvl w:ilvl="7" w:tplc="4634B05E">
      <w:numFmt w:val="decimal"/>
      <w:lvlText w:val=""/>
      <w:lvlJc w:val="left"/>
    </w:lvl>
    <w:lvl w:ilvl="8" w:tplc="82F67ED2">
      <w:numFmt w:val="decimal"/>
      <w:lvlText w:val=""/>
      <w:lvlJc w:val="left"/>
    </w:lvl>
  </w:abstractNum>
  <w:abstractNum w:abstractNumId="3" w15:restartNumberingAfterBreak="0">
    <w:nsid w:val="22D63563"/>
    <w:multiLevelType w:val="hybridMultilevel"/>
    <w:tmpl w:val="896ECB66"/>
    <w:lvl w:ilvl="0" w:tplc="8AF21050">
      <w:start w:val="1"/>
      <w:numFmt w:val="bullet"/>
      <w:lvlText w:val="✕"/>
      <w:lvlJc w:val="left"/>
      <w:pPr>
        <w:ind w:left="540" w:hanging="270"/>
      </w:pPr>
      <w:rPr>
        <w:color w:val="868788"/>
      </w:rPr>
    </w:lvl>
    <w:lvl w:ilvl="1" w:tplc="2E68CC94">
      <w:numFmt w:val="decimal"/>
      <w:lvlText w:val=""/>
      <w:lvlJc w:val="left"/>
    </w:lvl>
    <w:lvl w:ilvl="2" w:tplc="003EB8E8">
      <w:numFmt w:val="decimal"/>
      <w:lvlText w:val=""/>
      <w:lvlJc w:val="left"/>
    </w:lvl>
    <w:lvl w:ilvl="3" w:tplc="523E7DBE">
      <w:numFmt w:val="decimal"/>
      <w:lvlText w:val=""/>
      <w:lvlJc w:val="left"/>
    </w:lvl>
    <w:lvl w:ilvl="4" w:tplc="3EDA7EA4">
      <w:numFmt w:val="decimal"/>
      <w:lvlText w:val=""/>
      <w:lvlJc w:val="left"/>
    </w:lvl>
    <w:lvl w:ilvl="5" w:tplc="C5AC0A30">
      <w:numFmt w:val="decimal"/>
      <w:lvlText w:val=""/>
      <w:lvlJc w:val="left"/>
    </w:lvl>
    <w:lvl w:ilvl="6" w:tplc="3620E968">
      <w:numFmt w:val="decimal"/>
      <w:lvlText w:val=""/>
      <w:lvlJc w:val="left"/>
    </w:lvl>
    <w:lvl w:ilvl="7" w:tplc="E9B67074">
      <w:numFmt w:val="decimal"/>
      <w:lvlText w:val=""/>
      <w:lvlJc w:val="left"/>
    </w:lvl>
    <w:lvl w:ilvl="8" w:tplc="A5345026">
      <w:numFmt w:val="decimal"/>
      <w:lvlText w:val=""/>
      <w:lvlJc w:val="left"/>
    </w:lvl>
  </w:abstractNum>
  <w:abstractNum w:abstractNumId="4" w15:restartNumberingAfterBreak="0">
    <w:nsid w:val="2D263452"/>
    <w:multiLevelType w:val="multilevel"/>
    <w:tmpl w:val="4304572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rPr>
    </w:lvl>
    <w:lvl w:ilvl="2">
      <w:start w:val="1"/>
      <w:numFmt w:val="lowerLetter"/>
      <w:lvlText w:val="(%3)"/>
      <w:lvlJc w:val="left"/>
      <w:pPr>
        <w:ind w:left="1224" w:hanging="504"/>
      </w:pPr>
      <w:rPr>
        <w:rFonts w:hint="default"/>
      </w:rPr>
    </w:lvl>
    <w:lvl w:ilvl="3">
      <w:start w:val="1"/>
      <w:numFmt w:val="lowerRoman"/>
      <w:lvlText w:val="(%4)"/>
      <w:lvlJc w:val="right"/>
      <w:pPr>
        <w:ind w:left="180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E4016CF"/>
    <w:multiLevelType w:val="hybridMultilevel"/>
    <w:tmpl w:val="8E9EA6D2"/>
    <w:lvl w:ilvl="0" w:tplc="41F0EADA">
      <w:start w:val="1"/>
      <w:numFmt w:val="bullet"/>
      <w:lvlText w:val="•"/>
      <w:lvlJc w:val="left"/>
      <w:pPr>
        <w:ind w:left="720" w:hanging="360"/>
      </w:pPr>
    </w:lvl>
    <w:lvl w:ilvl="1" w:tplc="356248AC">
      <w:numFmt w:val="decimal"/>
      <w:lvlText w:val=""/>
      <w:lvlJc w:val="left"/>
    </w:lvl>
    <w:lvl w:ilvl="2" w:tplc="50044014">
      <w:numFmt w:val="decimal"/>
      <w:lvlText w:val=""/>
      <w:lvlJc w:val="left"/>
    </w:lvl>
    <w:lvl w:ilvl="3" w:tplc="9C609688">
      <w:numFmt w:val="decimal"/>
      <w:lvlText w:val=""/>
      <w:lvlJc w:val="left"/>
    </w:lvl>
    <w:lvl w:ilvl="4" w:tplc="893C4CDA">
      <w:numFmt w:val="decimal"/>
      <w:lvlText w:val=""/>
      <w:lvlJc w:val="left"/>
    </w:lvl>
    <w:lvl w:ilvl="5" w:tplc="C4B013C6">
      <w:numFmt w:val="decimal"/>
      <w:lvlText w:val=""/>
      <w:lvlJc w:val="left"/>
    </w:lvl>
    <w:lvl w:ilvl="6" w:tplc="10AE30E2">
      <w:numFmt w:val="decimal"/>
      <w:lvlText w:val=""/>
      <w:lvlJc w:val="left"/>
    </w:lvl>
    <w:lvl w:ilvl="7" w:tplc="C5C217BC">
      <w:numFmt w:val="decimal"/>
      <w:lvlText w:val=""/>
      <w:lvlJc w:val="left"/>
    </w:lvl>
    <w:lvl w:ilvl="8" w:tplc="0B1A4846">
      <w:numFmt w:val="decimal"/>
      <w:lvlText w:val=""/>
      <w:lvlJc w:val="left"/>
    </w:lvl>
  </w:abstractNum>
  <w:abstractNum w:abstractNumId="6" w15:restartNumberingAfterBreak="0">
    <w:nsid w:val="47EA0E86"/>
    <w:multiLevelType w:val="hybridMultilevel"/>
    <w:tmpl w:val="9918A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60270C"/>
    <w:multiLevelType w:val="hybridMultilevel"/>
    <w:tmpl w:val="6CBA9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48193E"/>
    <w:multiLevelType w:val="hybridMultilevel"/>
    <w:tmpl w:val="29FC32F6"/>
    <w:lvl w:ilvl="0" w:tplc="553C75B0">
      <w:start w:val="1"/>
      <w:numFmt w:val="bullet"/>
      <w:lvlText w:val="•"/>
      <w:lvlJc w:val="left"/>
      <w:pPr>
        <w:ind w:left="540" w:hanging="270"/>
      </w:pPr>
      <w:rPr>
        <w:color w:val="6C9EAB"/>
      </w:rPr>
    </w:lvl>
    <w:lvl w:ilvl="1" w:tplc="73B0AD68">
      <w:numFmt w:val="decimal"/>
      <w:lvlText w:val=""/>
      <w:lvlJc w:val="left"/>
    </w:lvl>
    <w:lvl w:ilvl="2" w:tplc="02F85824">
      <w:numFmt w:val="decimal"/>
      <w:lvlText w:val=""/>
      <w:lvlJc w:val="left"/>
    </w:lvl>
    <w:lvl w:ilvl="3" w:tplc="D124E27A">
      <w:numFmt w:val="decimal"/>
      <w:lvlText w:val=""/>
      <w:lvlJc w:val="left"/>
    </w:lvl>
    <w:lvl w:ilvl="4" w:tplc="F8E4050C">
      <w:numFmt w:val="decimal"/>
      <w:lvlText w:val=""/>
      <w:lvlJc w:val="left"/>
    </w:lvl>
    <w:lvl w:ilvl="5" w:tplc="031A3790">
      <w:numFmt w:val="decimal"/>
      <w:lvlText w:val=""/>
      <w:lvlJc w:val="left"/>
    </w:lvl>
    <w:lvl w:ilvl="6" w:tplc="1C2416CA">
      <w:numFmt w:val="decimal"/>
      <w:lvlText w:val=""/>
      <w:lvlJc w:val="left"/>
    </w:lvl>
    <w:lvl w:ilvl="7" w:tplc="9BE2B56A">
      <w:numFmt w:val="decimal"/>
      <w:lvlText w:val=""/>
      <w:lvlJc w:val="left"/>
    </w:lvl>
    <w:lvl w:ilvl="8" w:tplc="4950D130">
      <w:numFmt w:val="decimal"/>
      <w:lvlText w:val=""/>
      <w:lvlJc w:val="left"/>
    </w:lvl>
  </w:abstractNum>
  <w:abstractNum w:abstractNumId="9" w15:restartNumberingAfterBreak="0">
    <w:nsid w:val="792A00E3"/>
    <w:multiLevelType w:val="hybridMultilevel"/>
    <w:tmpl w:val="6AA4A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595D22"/>
    <w:multiLevelType w:val="hybridMultilevel"/>
    <w:tmpl w:val="3594F1E6"/>
    <w:lvl w:ilvl="0" w:tplc="8FFE733E">
      <w:start w:val="1"/>
      <w:numFmt w:val="bullet"/>
      <w:lvlText w:val="●"/>
      <w:lvlJc w:val="left"/>
      <w:pPr>
        <w:ind w:left="720" w:hanging="360"/>
      </w:pPr>
    </w:lvl>
    <w:lvl w:ilvl="1" w:tplc="82462E72">
      <w:start w:val="1"/>
      <w:numFmt w:val="bullet"/>
      <w:lvlText w:val="○"/>
      <w:lvlJc w:val="left"/>
      <w:pPr>
        <w:ind w:left="1440" w:hanging="360"/>
      </w:pPr>
    </w:lvl>
    <w:lvl w:ilvl="2" w:tplc="39920A08">
      <w:start w:val="1"/>
      <w:numFmt w:val="bullet"/>
      <w:lvlText w:val="■"/>
      <w:lvlJc w:val="left"/>
      <w:pPr>
        <w:ind w:left="2160" w:hanging="360"/>
      </w:pPr>
    </w:lvl>
    <w:lvl w:ilvl="3" w:tplc="37703582">
      <w:start w:val="1"/>
      <w:numFmt w:val="bullet"/>
      <w:lvlText w:val="●"/>
      <w:lvlJc w:val="left"/>
      <w:pPr>
        <w:ind w:left="2880" w:hanging="360"/>
      </w:pPr>
    </w:lvl>
    <w:lvl w:ilvl="4" w:tplc="24E48596">
      <w:start w:val="1"/>
      <w:numFmt w:val="bullet"/>
      <w:lvlText w:val="○"/>
      <w:lvlJc w:val="left"/>
      <w:pPr>
        <w:ind w:left="3600" w:hanging="360"/>
      </w:pPr>
    </w:lvl>
    <w:lvl w:ilvl="5" w:tplc="7278FBB4">
      <w:start w:val="1"/>
      <w:numFmt w:val="bullet"/>
      <w:lvlText w:val="■"/>
      <w:lvlJc w:val="left"/>
      <w:pPr>
        <w:ind w:left="4320" w:hanging="360"/>
      </w:pPr>
    </w:lvl>
    <w:lvl w:ilvl="6" w:tplc="F0127EC8">
      <w:start w:val="1"/>
      <w:numFmt w:val="bullet"/>
      <w:lvlText w:val="●"/>
      <w:lvlJc w:val="left"/>
      <w:pPr>
        <w:ind w:left="5040" w:hanging="360"/>
      </w:pPr>
    </w:lvl>
    <w:lvl w:ilvl="7" w:tplc="67522DE0">
      <w:start w:val="1"/>
      <w:numFmt w:val="bullet"/>
      <w:lvlText w:val="●"/>
      <w:lvlJc w:val="left"/>
      <w:pPr>
        <w:ind w:left="5760" w:hanging="360"/>
      </w:pPr>
    </w:lvl>
    <w:lvl w:ilvl="8" w:tplc="75AEFB32">
      <w:start w:val="1"/>
      <w:numFmt w:val="bullet"/>
      <w:lvlText w:val="●"/>
      <w:lvlJc w:val="left"/>
      <w:pPr>
        <w:ind w:left="6480" w:hanging="360"/>
      </w:pPr>
    </w:lvl>
  </w:abstractNum>
  <w:num w:numId="1" w16cid:durableId="1378776233">
    <w:abstractNumId w:val="10"/>
    <w:lvlOverride w:ilvl="0">
      <w:startOverride w:val="1"/>
    </w:lvlOverride>
  </w:num>
  <w:num w:numId="2" w16cid:durableId="1621374778">
    <w:abstractNumId w:val="2"/>
    <w:lvlOverride w:ilvl="0">
      <w:startOverride w:val="1"/>
    </w:lvlOverride>
  </w:num>
  <w:num w:numId="3" w16cid:durableId="1408921473">
    <w:abstractNumId w:val="8"/>
    <w:lvlOverride w:ilvl="0">
      <w:startOverride w:val="1"/>
    </w:lvlOverride>
  </w:num>
  <w:num w:numId="4" w16cid:durableId="1779834696">
    <w:abstractNumId w:val="3"/>
    <w:lvlOverride w:ilvl="0">
      <w:startOverride w:val="1"/>
    </w:lvlOverride>
  </w:num>
  <w:num w:numId="5" w16cid:durableId="204031198">
    <w:abstractNumId w:val="6"/>
  </w:num>
  <w:num w:numId="6" w16cid:durableId="211772542">
    <w:abstractNumId w:val="9"/>
  </w:num>
  <w:num w:numId="7" w16cid:durableId="1563903082">
    <w:abstractNumId w:val="7"/>
  </w:num>
  <w:num w:numId="8" w16cid:durableId="923488118">
    <w:abstractNumId w:val="5"/>
    <w:lvlOverride w:ilvl="0">
      <w:startOverride w:val="1"/>
    </w:lvlOverride>
  </w:num>
  <w:num w:numId="9" w16cid:durableId="1465463394">
    <w:abstractNumId w:val="1"/>
  </w:num>
  <w:num w:numId="10" w16cid:durableId="195197868">
    <w:abstractNumId w:val="4"/>
  </w:num>
  <w:num w:numId="11" w16cid:durableId="10245943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7E7"/>
    <w:rsid w:val="001A77E7"/>
    <w:rsid w:val="00200D98"/>
    <w:rsid w:val="00427145"/>
    <w:rsid w:val="005F5D6E"/>
    <w:rsid w:val="007B464E"/>
    <w:rsid w:val="00833D82"/>
    <w:rsid w:val="008630A8"/>
    <w:rsid w:val="00B57ED3"/>
    <w:rsid w:val="00B75032"/>
    <w:rsid w:val="00BF5D5C"/>
    <w:rsid w:val="00C811CB"/>
    <w:rsid w:val="00CC2559"/>
    <w:rsid w:val="00CD4D73"/>
    <w:rsid w:val="00CE0E87"/>
    <w:rsid w:val="00DF197E"/>
    <w:rsid w:val="00F671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C311D"/>
  <w15:docId w15:val="{E2213A6C-1B49-C945-9F1E-C7E28791F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SimSun" w:hAnsi="Arial" w:cs="Arial"/>
        <w:color w:val="25272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80"/>
      <w:outlineLvl w:val="0"/>
    </w:pPr>
    <w:rPr>
      <w:rFonts w:ascii="Georgia" w:eastAsia="Georgia" w:hAnsi="Georgia" w:cs="Georgia"/>
      <w:b/>
      <w:bCs/>
      <w:sz w:val="36"/>
      <w:szCs w:val="36"/>
    </w:rPr>
  </w:style>
  <w:style w:type="paragraph" w:styleId="Heading2">
    <w:name w:val="heading 2"/>
    <w:uiPriority w:val="9"/>
    <w:unhideWhenUsed/>
    <w:qFormat/>
    <w:pPr>
      <w:spacing w:before="280" w:after="140"/>
      <w:outlineLvl w:val="1"/>
    </w:pPr>
    <w:rPr>
      <w:rFonts w:ascii="Georgia" w:eastAsia="Georgia" w:hAnsi="Georgia" w:cs="Georgia"/>
      <w:b/>
      <w:bCs/>
      <w:sz w:val="26"/>
      <w:szCs w:val="26"/>
    </w:rPr>
  </w:style>
  <w:style w:type="paragraph" w:styleId="Heading3">
    <w:name w:val="heading 3"/>
    <w:uiPriority w:val="9"/>
    <w:unhideWhenUsed/>
    <w:qFormat/>
    <w:pPr>
      <w:spacing w:before="200" w:after="100"/>
      <w:outlineLvl w:val="2"/>
    </w:pPr>
    <w:rPr>
      <w:b/>
      <w:bCs/>
      <w:color w:val="6C9EAB"/>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57ED3"/>
    <w:rPr>
      <w:color w:val="605E5C"/>
      <w:shd w:val="clear" w:color="auto" w:fill="E1DFDD"/>
    </w:rPr>
  </w:style>
  <w:style w:type="paragraph" w:styleId="ListBullet">
    <w:name w:val="List Bullet"/>
    <w:basedOn w:val="Normal"/>
    <w:uiPriority w:val="99"/>
    <w:unhideWhenUsed/>
    <w:rsid w:val="007B464E"/>
    <w:pPr>
      <w:numPr>
        <w:numId w:val="11"/>
      </w:numPr>
      <w:tabs>
        <w:tab w:val="clear" w:pos="360"/>
      </w:tabs>
      <w:spacing w:after="200" w:line="276" w:lineRule="auto"/>
      <w:ind w:left="0" w:firstLine="0"/>
      <w:contextualSpacing/>
    </w:pPr>
    <w:rPr>
      <w:rFonts w:ascii="Calibri" w:eastAsiaTheme="minorEastAsia" w:hAnsi="Calibri" w:cstheme="minorBidi"/>
      <w:sz w:val="22"/>
      <w:szCs w:val="22"/>
      <w:lang w:eastAsia="en-US"/>
    </w:rPr>
  </w:style>
  <w:style w:type="table" w:styleId="LightGrid-Accent1">
    <w:name w:val="Light Grid Accent 1"/>
    <w:basedOn w:val="TableNormal"/>
    <w:uiPriority w:val="62"/>
    <w:rsid w:val="007B464E"/>
    <w:rPr>
      <w:rFonts w:asciiTheme="minorHAnsi" w:eastAsiaTheme="minorEastAsia" w:hAnsiTheme="minorHAnsi" w:cstheme="minorBidi"/>
      <w:sz w:val="22"/>
      <w:szCs w:val="22"/>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finiti.lega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28BF4-7517-4197-9CAE-09E023FEA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32</Pages>
  <Words>17666</Words>
  <Characters>100701</Characters>
  <Application>Microsoft Office Word</Application>
  <DocSecurity>0</DocSecurity>
  <Lines>839</Lines>
  <Paragraphs>236</Paragraphs>
  <ScaleCrop>false</ScaleCrop>
  <HeadingPairs>
    <vt:vector size="2" baseType="variant">
      <vt:variant>
        <vt:lpstr>Title</vt:lpstr>
      </vt:variant>
      <vt:variant>
        <vt:i4>1</vt:i4>
      </vt:variant>
    </vt:vector>
  </HeadingPairs>
  <TitlesOfParts>
    <vt:vector size="1" baseType="lpstr">
      <vt:lpstr>Pricing Proposal — CFN Lawyers</vt:lpstr>
    </vt:vector>
  </TitlesOfParts>
  <Company/>
  <LinksUpToDate>false</LinksUpToDate>
  <CharactersWithSpaces>118131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Pricing Proposal — CFN Lawyers</dc:title>
  <dc:creator>Quinn Liu, Finiti Legal Technologies</dc:creator>
  <dc:description>Confidential pricing proposal with NDA appendix for CFN Lawyers from Finiti Legal Technologies</dc:description>
  <cp:lastModifiedBy>Finiti AI</cp:lastModifiedBy>
  <cp:revision>3</cp:revision>
  <dcterms:created xsi:type="dcterms:W3CDTF">2026-07-07T10:51:00Z</dcterms:created>
  <dcterms:modified xsi:type="dcterms:W3CDTF">2026-07-07T11:08:00Z</dcterms:modified>
</cp:coreProperties>
</file>