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Process Brief</w:t>
      </w:r>
    </w:p>
    <w:p>
      <w:r>
        <w:t>## Article Overview</w:t>
      </w:r>
    </w:p>
    <w:p>
      <w:r>
        <w:t>This 921-word article, titled "AI Skills Aren't Your Real Career Risk—Here's What Is," addresses mid-career professionals aged 25–35 in the workforce. Rather than reinforcing the conventional wisdom that AI skill deficits are the primary threat to career progression, the piece reframes the actual constraint: structural obsolescence is uneven across industries, and the real pressure point is the unsustainable pace of continuous reskilling. The article acknowledges real wage premiums in certain sectors while arguing that for most professionals, skill currency management—not skill acquisition itself—is the decisive factor in maintaining career momentum.</w:t>
      </w:r>
    </w:p>
    <w:p>
      <w:r>
        <w:t>## Research Elements</w:t>
      </w:r>
    </w:p>
    <w:p>
      <w:r>
        <w:t>| Element | Category | Research Question | Passes |</w:t>
        <w:br/>
        <w:t>|---------|----------|-------------------|--------|</w:t>
        <w:br/>
        <w:t>| Current AI Skill Gaps in Mid-Career Cohorts | Quantitative | What specific AI competencies are employers now screening for in mid-career hires (5-12 years experience) versus early-c... | 2 |</w:t>
        <w:br/>
        <w:t>| Structural Obsolescence vs. Skill Refresh Reality | Counterargument | Are roles actually becoming structurally obsolete due to AI, or are mid-career professionals mainly experiencing retrain... | 1 |</w:t>
        <w:br/>
        <w:t>| Role-Specific AI Integration Velocity | Landscape | How quickly is AI actually reshaping job requirements across different functional areas (engineering, finance, operation... | 2 |</w:t>
        <w:br/>
        <w:t>| Learning Velocity and Career Trajectory Impact | Connective Tissue | What's the relationship between when someone acquired foundational AI literacy and their career advancement in 2023-2024... | 2 |</w:t>
        <w:br/>
        <w:t>| Next-Role Decision Framework Under Uncertainty | Second Order Effects | For a mid-career professional evaluating their next move (stay, lateral, promote, switch), what factors should actually ... | 1 |</w:t>
        <w:br/>
        <w:t>| Recent Market Signals and Hiring Trends | Recency Sweep | What happened in the last 30 days in AI skill premium pricing, hiring volume for mid-career AI-literate roles, and emplo... | 2 |</w:t>
      </w:r>
    </w:p>
    <w:p>
      <w:r>
        <w:t>The Current AI Skill Gaps element required a second research pass—initial findings did not differentiate clearly between cosmetic AI mentions in job descriptions and actual skill requirements in role execution. Role-Specific AI Integration Velocity required a second research pass—initial data aggregated across sectors without identifying the material concentration of AI demand in three occupational clusters. Learning Velocity and Career Trajectory Impact required a second research pass—initial analysis lacked longitudinal correlation data between time-to-AI-literacy and measurable advancement outcomes. Recent Market Signals and Hiring Trends required a second research pass—initial findings were insufficiently current and did not isolate wage premium variation by sector and functional area.</w:t>
      </w:r>
    </w:p>
    <w:p>
      <w:r>
        <w:t>## Key Findings</w:t>
      </w:r>
    </w:p>
    <w:p>
      <w:r>
        <w:t>The article surfaces a critical gap between perception and reality: while AI skill premiums are genuine and substantial, they are highly concentrated in finance, information systems, and management roles. For the majority of mid-career professionals outside these clusters, the wage uplift from AI competency is marginal. The deeper constraint is not the absence of AI skills but the accelerating depreciation rate of all skills—training programs designed months apart become obsolete before implementation. This creates a paradox: professionals are caught between the pressure to constantly reskill and the structural impossibility of keeping pace. The real career risk is not falling behind on AI; it is exhaustion and misallocation of effort toward skill acquisition in sectors where AI integration remains peripheral.</w:t>
      </w:r>
    </w:p>
    <w:p>
      <w:r>
        <w:t>## What This Piece Asks Of Its Reader</w:t>
      </w:r>
    </w:p>
    <w:p>
      <w:r>
        <w:t>This article creates tension between the widely broadcast necessity of rapid AI reskilling and the actual, sector-dependent return on that effort, prompting readers to interrogate whether their role genuinely sits in a high-velocity AI transformation zone or whether they are absorbing false urgency. It asks them to distinguish between performative skill-building—adding credentials that employers list but don't operationally require—and genuine career-moving competency, and to evaluate whether the real constraint on their next role is technical knowledge or something more fundamental about sustainable learning capacity in an unstable skills economy.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