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08C7E">
      <w:pPr>
        <w:jc w:val="right"/>
      </w:pPr>
      <w:r>
        <w:rPr>
          <w:rFonts w:ascii="Times New Roman" w:hAnsi="Times New Roman" w:eastAsia="思源黑体" w:cs="Times New Roman"/>
          <w:sz w:val="20"/>
          <w:szCs w:val="20"/>
        </w:rPr>
        <w:t>合同编号：</w:t>
      </w:r>
      <w:r>
        <w:rPr>
          <w:rFonts w:cs="Times New Roman"/>
          <w:sz w:val="20"/>
          <w:szCs w:val="20"/>
          <w:lang w:val="en-US"/>
        </w:rPr>
      </w:r>
      <w:r>
        <w:rPr>
          <w:rFonts w:ascii="Times New Roman" w:hAnsi="Times New Roman" w:eastAsia="思源黑体" w:cs="Times New Roman"/>
          <w:sz w:val="20"/>
          <w:szCs w:val="20"/>
        </w:rPr>
      </w:r>
      <w:r>
        <w:rPr>
          <w:rFonts w:hint="eastAsia" w:cs="Times New Roman"/>
          <w:sz w:val="20"/>
          <w:szCs w:val="20"/>
          <w:lang w:eastAsia="zh-CN"/>
        </w:rPr>
      </w:r>
    </w:p>
    <w:p w14:paraId="21ED9A2E">
      <w:pPr>
        <w:spacing w:before="120" w:line="300" w:lineRule="auto"/>
        <w:jc w:val="center"/>
      </w:pPr>
      <w:r>
        <w:rPr>
          <w:rFonts w:ascii="Times New Roman" w:hAnsi="Times New Roman" w:eastAsia="思源黑体" w:cs="Times New Roman"/>
          <w:b/>
          <w:bCs/>
          <w:sz w:val="40"/>
          <w:szCs w:val="40"/>
        </w:rPr>
        <w:t>销售合同</w:t>
      </w:r>
    </w:p>
    <w:p w14:paraId="764FDBE5">
      <w:pPr>
        <w:spacing w:before="40" w:line="300" w:lineRule="auto"/>
        <w:jc w:val="both"/>
      </w:pPr>
      <w:r>
        <w:rPr>
          <w:rFonts w:ascii="Times New Roman" w:hAnsi="Times New Roman" w:eastAsia="思源黑体" w:cs="Times New Roman"/>
          <w:b w:val="0"/>
          <w:bCs w:val="0"/>
          <w:sz w:val="21"/>
          <w:szCs w:val="21"/>
        </w:rPr>
        <w:t>甲方（需方）：</w:t>
      </w:r>
    </w:p>
    <w:p w14:paraId="753D8CCF">
      <w:pPr>
        <w:spacing w:before="40" w:line="300" w:lineRule="auto"/>
        <w:jc w:val="both"/>
      </w:pPr>
      <w:r>
        <w:rPr>
          <w:rFonts w:ascii="Times New Roman" w:hAnsi="Times New Roman" w:eastAsia="思源黑体" w:cs="Times New Roman"/>
          <w:b w:val="0"/>
          <w:bCs w:val="0"/>
          <w:sz w:val="21"/>
          <w:szCs w:val="21"/>
        </w:rPr>
        <w:t>联系地址：</w:t>
      </w:r>
    </w:p>
    <w:p w14:paraId="1CF9202F">
      <w:pPr>
        <w:spacing w:before="40" w:line="300" w:lineRule="auto"/>
        <w:jc w:val="both"/>
      </w:pPr>
      <w:r>
        <w:rPr>
          <w:rFonts w:ascii="Times New Roman" w:hAnsi="Times New Roman" w:eastAsia="思源黑体" w:cs="Times New Roman"/>
          <w:b w:val="0"/>
          <w:bCs w:val="0"/>
          <w:sz w:val="21"/>
          <w:szCs w:val="21"/>
        </w:rPr>
        <w:t>指定联系人：</w:t>
      </w:r>
    </w:p>
    <w:p w14:paraId="2EAA8ACE">
      <w:pPr>
        <w:spacing w:before="40" w:line="300" w:lineRule="auto"/>
        <w:jc w:val="both"/>
      </w:pPr>
      <w:r>
        <w:rPr>
          <w:rFonts w:ascii="Times New Roman" w:hAnsi="Times New Roman" w:eastAsia="思源黑体" w:cs="Times New Roman"/>
          <w:b w:val="0"/>
          <w:bCs w:val="0"/>
          <w:sz w:val="21"/>
          <w:szCs w:val="21"/>
        </w:rPr>
        <w:t>乙方（供方）：</w:t>
      </w:r>
      <w:r>
        <w:rPr>
          <w:rFonts w:hint="eastAsia"/>
          <w:sz w:val="21"/>
          <w:szCs w:val="21"/>
        </w:rPr>
      </w:r>
    </w:p>
    <w:p w14:paraId="4040BD0F">
      <w:pPr>
        <w:spacing w:before="40" w:line="300" w:lineRule="auto"/>
        <w:jc w:val="both"/>
      </w:pPr>
      <w:r>
        <w:rPr>
          <w:rFonts w:ascii="Times New Roman" w:hAnsi="Times New Roman" w:eastAsia="思源黑体" w:cs="Times New Roman"/>
          <w:b w:val="0"/>
          <w:bCs w:val="0"/>
          <w:sz w:val="21"/>
          <w:szCs w:val="21"/>
        </w:rPr>
        <w:t>联系地址：</w:t>
      </w:r>
      <w:r>
        <w:rPr>
          <w:rFonts w:hint="eastAsia"/>
          <w:sz w:val="21"/>
          <w:szCs w:val="21"/>
        </w:rPr>
      </w:r>
    </w:p>
    <w:p w14:paraId="27729B7F">
      <w:pPr>
        <w:spacing w:before="40" w:line="300" w:lineRule="auto"/>
        <w:jc w:val="both"/>
      </w:pPr>
      <w:r>
        <w:rPr>
          <w:rFonts w:ascii="Times New Roman" w:hAnsi="Times New Roman" w:eastAsia="思源黑体" w:cs="Times New Roman"/>
          <w:b w:val="0"/>
          <w:bCs w:val="0"/>
          <w:sz w:val="21"/>
          <w:szCs w:val="21"/>
        </w:rPr>
        <w:t>指定联系人：</w:t>
      </w:r>
      <w:r>
        <w:rPr>
          <w:rFonts w:hint="eastAsia" w:cs="Times New Roman"/>
          <w:b w:val="0"/>
          <w:bCs w:val="0"/>
          <w:sz w:val="21"/>
          <w:szCs w:val="21"/>
          <w:lang w:eastAsia="zh-CN"/>
        </w:rPr>
      </w:r>
    </w:p>
    <w:p w14:paraId="31B63675">
      <w:pPr>
        <w:spacing w:before="40" w:line="300" w:lineRule="auto"/>
        <w:jc w:val="both"/>
      </w:pPr>
    </w:p>
    <w:p w14:paraId="0E6591B7">
      <w:pPr>
        <w:spacing w:before="40" w:line="300" w:lineRule="auto"/>
        <w:ind w:firstLine="420"/>
        <w:jc w:val="both"/>
      </w:pPr>
      <w:r>
        <w:rPr>
          <w:rFonts w:ascii="Times New Roman" w:hAnsi="Times New Roman" w:eastAsia="思源黑体" w:cs="Times New Roman"/>
          <w:b w:val="0"/>
          <w:bCs w:val="0"/>
          <w:sz w:val="21"/>
          <w:szCs w:val="21"/>
        </w:rPr>
        <w:t>根据《中华人民共和国民法典》等相关法律法规的规定，甲、乙双方本着平等互利、诚信合作的原则，经双方协商一致，现就甲方向乙方购买产品事宜签订本合同，以资共守：</w:t>
      </w:r>
    </w:p>
    <w:p w14:paraId="57BE729D">
      <w:pPr>
        <w:spacing w:before="160" w:line="300" w:lineRule="auto"/>
      </w:pPr>
      <w:r>
        <w:rPr>
          <w:rFonts w:ascii="Times New Roman" w:hAnsi="Times New Roman" w:eastAsia="思源黑体" w:cs="Times New Roman"/>
          <w:b/>
          <w:bCs/>
          <w:sz w:val="22"/>
          <w:szCs w:val="22"/>
        </w:rPr>
        <w:t>一、产品明细及价格</w:t>
      </w:r>
    </w:p>
    <w:tbl>
      <w:tblPr>
        <w:tblStyle w:val="11"/>
        <w:tblW w:w="92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0"/>
        <w:gridCol w:w="1852"/>
        <w:gridCol w:w="1608"/>
        <w:gridCol w:w="700"/>
        <w:gridCol w:w="1700"/>
        <w:gridCol w:w="1400"/>
        <w:gridCol w:w="1300"/>
      </w:tblGrid>
      <w:tr w14:paraId="12080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0" w:type="dxa"/>
            <w:shd w:val="clear" w:color="auto" w:fill="D9E2F3"/>
            <w:tcMar>
              <w:top w:w="40" w:type="dxa"/>
              <w:left w:w="60" w:type="dxa"/>
              <w:bottom w:w="40" w:type="dxa"/>
              <w:right w:w="60" w:type="dxa"/>
            </w:tcMar>
            <w:vAlign w:val="center"/>
          </w:tcPr>
          <w:p w14:paraId="1CCBF307">
            <w:pPr>
              <w:jc w:val="center"/>
              <w:rPr>
                <w:rFonts w:hint="eastAsia"/>
                <w:lang w:eastAsia="zh-CN"/>
              </w:rPr>
            </w:pPr>
            <w:r>
              <w:rPr>
                <w:rFonts w:hint="eastAsia"/>
                <w:lang w:eastAsia="zh-CN"/>
              </w:rPr>
              <w:t>序号</w:t>
            </w:r>
          </w:p>
        </w:tc>
        <w:tc>
          <w:tcPr>
            <w:tcW w:w="1852" w:type="dxa"/>
            <w:shd w:val="clear" w:color="auto" w:fill="D9E2F3"/>
            <w:tcMar>
              <w:top w:w="40" w:type="dxa"/>
              <w:left w:w="60" w:type="dxa"/>
              <w:bottom w:w="40" w:type="dxa"/>
              <w:right w:w="60" w:type="dxa"/>
            </w:tcMar>
            <w:vAlign w:val="center"/>
          </w:tcPr>
          <w:p w14:paraId="72EE09EE">
            <w:pPr>
              <w:jc w:val="center"/>
              <w:rPr>
                <w:rFonts w:hint="eastAsia"/>
                <w:lang w:eastAsia="zh-CN"/>
              </w:rPr>
            </w:pPr>
            <w:r>
              <w:rPr>
                <w:rFonts w:hint="eastAsia"/>
                <w:lang w:eastAsia="zh-CN"/>
              </w:rPr>
              <w:t>名称</w:t>
            </w:r>
          </w:p>
        </w:tc>
        <w:tc>
          <w:tcPr>
            <w:tcW w:w="1608" w:type="dxa"/>
            <w:shd w:val="clear" w:color="auto" w:fill="D9E2F3"/>
            <w:tcMar>
              <w:top w:w="40" w:type="dxa"/>
              <w:left w:w="60" w:type="dxa"/>
              <w:bottom w:w="40" w:type="dxa"/>
              <w:right w:w="60" w:type="dxa"/>
            </w:tcMar>
            <w:vAlign w:val="center"/>
          </w:tcPr>
          <w:p w14:paraId="14CB2999">
            <w:pPr>
              <w:jc w:val="center"/>
              <w:rPr>
                <w:rFonts w:hint="eastAsia"/>
                <w:lang w:eastAsia="zh-CN"/>
              </w:rPr>
            </w:pPr>
            <w:r>
              <w:rPr>
                <w:rFonts w:hint="eastAsia"/>
                <w:lang w:eastAsia="zh-CN"/>
              </w:rPr>
              <w:t>规格型号</w:t>
            </w:r>
          </w:p>
        </w:tc>
        <w:tc>
          <w:tcPr>
            <w:tcW w:w="700" w:type="dxa"/>
            <w:shd w:val="clear" w:color="auto" w:fill="D9E2F3"/>
            <w:tcMar>
              <w:top w:w="40" w:type="dxa"/>
              <w:left w:w="60" w:type="dxa"/>
              <w:bottom w:w="40" w:type="dxa"/>
              <w:right w:w="60" w:type="dxa"/>
            </w:tcMar>
            <w:vAlign w:val="center"/>
          </w:tcPr>
          <w:p w14:paraId="454D2074">
            <w:pPr>
              <w:jc w:val="center"/>
              <w:rPr>
                <w:rFonts w:hint="eastAsia"/>
                <w:lang w:eastAsia="zh-CN"/>
              </w:rPr>
            </w:pPr>
            <w:r>
              <w:rPr>
                <w:rFonts w:hint="eastAsia"/>
                <w:lang w:eastAsia="zh-CN"/>
              </w:rPr>
              <w:t>数量</w:t>
            </w:r>
          </w:p>
        </w:tc>
        <w:tc>
          <w:tcPr>
            <w:tcW w:w="1700" w:type="dxa"/>
            <w:shd w:val="clear" w:color="auto" w:fill="D9E2F3"/>
            <w:tcMar>
              <w:top w:w="40" w:type="dxa"/>
              <w:left w:w="60" w:type="dxa"/>
              <w:bottom w:w="40" w:type="dxa"/>
              <w:right w:w="60" w:type="dxa"/>
            </w:tcMar>
            <w:vAlign w:val="center"/>
          </w:tcPr>
          <w:p w14:paraId="1184643E">
            <w:pPr>
              <w:jc w:val="center"/>
              <w:rPr>
                <w:rFonts w:hint="eastAsia"/>
                <w:lang w:eastAsia="zh-CN"/>
              </w:rPr>
            </w:pPr>
            <w:r>
              <w:rPr>
                <w:rFonts w:hint="eastAsia"/>
                <w:lang w:eastAsia="zh-CN"/>
              </w:rPr>
              <w:t>未税单价</w:t>
            </w:r>
          </w:p>
        </w:tc>
        <w:tc>
          <w:tcPr>
            <w:tcW w:w="1400" w:type="dxa"/>
            <w:shd w:val="clear" w:color="auto" w:fill="D9E2F3"/>
            <w:tcMar>
              <w:top w:w="40" w:type="dxa"/>
              <w:left w:w="60" w:type="dxa"/>
              <w:bottom w:w="40" w:type="dxa"/>
              <w:right w:w="60" w:type="dxa"/>
            </w:tcMar>
            <w:vAlign w:val="center"/>
          </w:tcPr>
          <w:p w14:paraId="4CE28A75">
            <w:pPr>
              <w:jc w:val="center"/>
              <w:rPr>
                <w:rFonts w:hint="eastAsia"/>
                <w:lang w:eastAsia="zh-CN"/>
              </w:rPr>
            </w:pPr>
            <w:r>
              <w:rPr>
                <w:rFonts w:hint="eastAsia"/>
                <w:lang w:eastAsia="zh-CN"/>
              </w:rPr>
              <w:t>未税总价</w:t>
            </w:r>
          </w:p>
        </w:tc>
        <w:tc>
          <w:tcPr>
            <w:tcW w:w="1300" w:type="dxa"/>
            <w:shd w:val="clear" w:color="auto" w:fill="D9E2F3"/>
            <w:tcMar>
              <w:top w:w="40" w:type="dxa"/>
              <w:left w:w="60" w:type="dxa"/>
              <w:bottom w:w="40" w:type="dxa"/>
              <w:right w:w="60" w:type="dxa"/>
            </w:tcMar>
            <w:vAlign w:val="center"/>
          </w:tcPr>
          <w:p w14:paraId="01159E92">
            <w:pPr>
              <w:jc w:val="center"/>
              <w:rPr>
                <w:rFonts w:hint="eastAsia"/>
                <w:lang w:eastAsia="zh-CN"/>
              </w:rPr>
            </w:pPr>
            <w:r>
              <w:rPr>
                <w:rFonts w:hint="eastAsia"/>
                <w:lang w:eastAsia="zh-CN"/>
              </w:rPr>
              <w:t>备注</w:t>
            </w:r>
          </w:p>
        </w:tc>
      </w:tr>
      <w:tr w14:paraId="198A7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0" w:type="dxa"/>
            <w:tcMar>
              <w:top w:w="40" w:type="dxa"/>
              <w:left w:w="60" w:type="dxa"/>
              <w:bottom w:w="40" w:type="dxa"/>
              <w:right w:w="60" w:type="dxa"/>
            </w:tcMar>
            <w:vAlign w:val="center"/>
          </w:tcPr>
          <w:p w14:paraId="4F6DE0B4">
            <w:pPr>
              <w:jc w:val="center"/>
              <w:rPr>
                <w:rFonts w:hint="eastAsia"/>
                <w:lang w:eastAsia="zh-CN"/>
              </w:rPr>
            </w:pPr>
            <w:r>
              <w:rPr>
                <w:rFonts w:hint="eastAsia"/>
                <w:lang w:eastAsia="zh-CN"/>
              </w:rPr>
              <w:t>1</w:t>
            </w:r>
          </w:p>
        </w:tc>
        <w:tc>
          <w:tcPr>
            <w:tcW w:w="1852" w:type="dxa"/>
            <w:tcMar>
              <w:top w:w="40" w:type="dxa"/>
              <w:left w:w="60" w:type="dxa"/>
              <w:bottom w:w="40" w:type="dxa"/>
              <w:right w:w="60" w:type="dxa"/>
            </w:tcMar>
            <w:vAlign w:val="center"/>
          </w:tcPr>
          <w:p w14:paraId="46800417">
            <w:pPr>
              <w:jc w:val="center"/>
              <w:rPr>
                <w:rFonts w:hint="eastAsia"/>
                <w:lang w:eastAsia="zh-CN"/>
              </w:rPr>
            </w:pPr>
            <w:r>
              <w:rPr>
                <w:rFonts w:hint="eastAsia"/>
                <w:lang w:eastAsia="zh-CN"/>
              </w:rPr>
            </w:r>
          </w:p>
          <w:p w14:paraId="0A066DB8">
            <w:pPr>
              <w:jc w:val="center"/>
              <w:rPr>
                <w:rFonts w:hint="eastAsia"/>
                <w:lang w:eastAsia="zh-CN"/>
              </w:rPr>
            </w:pPr>
            <w:r>
              <w:rPr>
                <w:rFonts w:hint="eastAsia"/>
                <w:lang w:eastAsia="zh-CN"/>
              </w:rPr>
            </w:r>
          </w:p>
        </w:tc>
        <w:tc>
          <w:tcPr>
            <w:tcW w:w="1608" w:type="dxa"/>
            <w:tcMar>
              <w:top w:w="40" w:type="dxa"/>
              <w:left w:w="60" w:type="dxa"/>
              <w:bottom w:w="40" w:type="dxa"/>
              <w:right w:w="60" w:type="dxa"/>
            </w:tcMar>
            <w:vAlign w:val="center"/>
          </w:tcPr>
          <w:p w14:paraId="192404D7">
            <w:pPr>
              <w:jc w:val="center"/>
              <w:rPr>
                <w:rFonts w:hint="default" w:eastAsia="思源黑体"/>
                <w:lang w:val="en-US" w:eastAsia="zh-CN"/>
              </w:rPr>
            </w:pPr>
            <w:r>
              <w:rPr>
                <w:lang w:val="en-US"/>
              </w:rPr>
            </w:r>
            <w:r>
              <w:rPr>
                <w:rFonts w:hint="eastAsia"/>
                <w:lang w:val="en-US" w:eastAsia="zh-CN"/>
              </w:rPr>
            </w:r>
          </w:p>
        </w:tc>
        <w:tc>
          <w:tcPr>
            <w:tcW w:w="700" w:type="dxa"/>
            <w:tcMar>
              <w:top w:w="40" w:type="dxa"/>
              <w:left w:w="60" w:type="dxa"/>
              <w:bottom w:w="40" w:type="dxa"/>
              <w:right w:w="60" w:type="dxa"/>
            </w:tcMar>
            <w:vAlign w:val="center"/>
          </w:tcPr>
          <w:p w14:paraId="6AB5D912">
            <w:pPr>
              <w:jc w:val="center"/>
              <w:rPr>
                <w:rFonts w:hint="eastAsia"/>
                <w:lang w:eastAsia="zh-CN"/>
              </w:rPr>
            </w:pPr>
            <w:r>
              <w:rPr>
                <w:rFonts w:hint="eastAsia"/>
                <w:lang w:eastAsia="zh-CN"/>
              </w:rPr>
            </w:r>
          </w:p>
        </w:tc>
        <w:tc>
          <w:tcPr>
            <w:tcW w:w="1700" w:type="dxa"/>
            <w:tcMar>
              <w:top w:w="40" w:type="dxa"/>
              <w:left w:w="60" w:type="dxa"/>
              <w:bottom w:w="40" w:type="dxa"/>
              <w:right w:w="60" w:type="dxa"/>
            </w:tcMar>
            <w:vAlign w:val="center"/>
          </w:tcPr>
          <w:p w14:paraId="5B942D19">
            <w:pPr>
              <w:jc w:val="center"/>
              <w:rPr>
                <w:lang w:val="en-US"/>
              </w:rPr>
            </w:pPr>
            <w:r>
              <w:rPr>
                <w:lang w:val="en-US"/>
              </w:rPr>
            </w:r>
            <w:r>
              <w:rPr>
                <w:rFonts w:hint="eastAsia"/>
                <w:lang w:val="en-US" w:eastAsia="zh-CN"/>
              </w:rPr>
            </w:r>
          </w:p>
        </w:tc>
        <w:tc>
          <w:tcPr>
            <w:tcW w:w="1400" w:type="dxa"/>
            <w:tcMar>
              <w:top w:w="40" w:type="dxa"/>
              <w:left w:w="60" w:type="dxa"/>
              <w:bottom w:w="40" w:type="dxa"/>
              <w:right w:w="60" w:type="dxa"/>
            </w:tcMar>
            <w:vAlign w:val="center"/>
          </w:tcPr>
          <w:p w14:paraId="47876D2E">
            <w:pPr>
              <w:jc w:val="center"/>
              <w:rPr>
                <w:lang w:val="en-US"/>
              </w:rPr>
            </w:pPr>
            <w:r>
              <w:rPr>
                <w:lang w:val="en-US"/>
              </w:rPr>
            </w:r>
            <w:r>
              <w:rPr>
                <w:rFonts w:hint="eastAsia"/>
                <w:lang w:val="en-US" w:eastAsia="zh-CN"/>
              </w:rPr>
            </w:r>
          </w:p>
        </w:tc>
        <w:tc>
          <w:tcPr>
            <w:tcW w:w="1300" w:type="dxa"/>
            <w:tcMar>
              <w:top w:w="40" w:type="dxa"/>
              <w:left w:w="60" w:type="dxa"/>
              <w:bottom w:w="40" w:type="dxa"/>
              <w:right w:w="60" w:type="dxa"/>
            </w:tcMar>
            <w:vAlign w:val="center"/>
          </w:tcPr>
          <w:p w14:paraId="298488B7">
            <w:pPr>
              <w:jc w:val="center"/>
              <w:rPr>
                <w:rFonts w:hint="eastAsia"/>
                <w:lang w:eastAsia="zh-CN"/>
              </w:rPr>
            </w:pPr>
            <w:r>
              <w:rPr>
                <w:rFonts w:hint="eastAsia"/>
                <w:lang w:val="en-US" w:eastAsia="zh-CN"/>
              </w:rPr>
            </w:r>
            <w:bookmarkStart w:id="0" w:name="_GoBack"/>
            <w:bookmarkEnd w:id="0"/>
            <w:r>
              <w:rPr>
                <w:rFonts w:hint="eastAsia"/>
                <w:lang w:val="en-US" w:eastAsia="zh-CN"/>
              </w:rPr>
            </w:r>
          </w:p>
        </w:tc>
      </w:tr>
      <w:tr w14:paraId="6304F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60" w:type="dxa"/>
            <w:gridSpan w:val="7"/>
            <w:tcMar>
              <w:top w:w="40" w:type="dxa"/>
              <w:left w:w="60" w:type="dxa"/>
              <w:bottom w:w="40" w:type="dxa"/>
              <w:right w:w="60" w:type="dxa"/>
            </w:tcMar>
            <w:vAlign w:val="center"/>
          </w:tcPr>
          <w:p w14:paraId="5B3F2CBD">
            <w:pPr>
              <w:spacing w:line="260" w:lineRule="auto"/>
              <w:jc w:val="left"/>
            </w:pPr>
            <w:r>
              <w:rPr>
                <w:rFonts w:ascii="Times New Roman" w:hAnsi="Times New Roman" w:eastAsia="思源黑体" w:cs="Times New Roman"/>
                <w:sz w:val="20"/>
                <w:szCs w:val="20"/>
              </w:rPr>
              <w:t>合同总价（未税，美元）：USD __________（大写：__________________）。本合同为未税交易，上述价格均为不含税价格，双方各自依法承担其应缴税费。</w:t>
            </w:r>
            <w:r>
              <w:rPr>
                <w:rFonts w:hint="eastAsia" w:cs="Times New Roman"/>
                <w:sz w:val="20"/>
                <w:szCs w:val="20"/>
                <w:lang w:eastAsia="zh-CN"/>
              </w:rPr>
            </w:r>
            <w:r>
              <w:rPr>
                <w:rFonts w:ascii="Times New Roman" w:hAnsi="Times New Roman" w:eastAsia="思源黑体" w:cs="Times New Roman"/>
                <w:sz w:val="20"/>
                <w:szCs w:val="20"/>
              </w:rPr>
            </w:r>
            <w:r>
              <w:rPr>
                <w:rFonts w:hint="eastAsia" w:cs="Times New Roman"/>
                <w:sz w:val="20"/>
                <w:szCs w:val="20"/>
                <w:lang w:eastAsia="zh-CN"/>
              </w:rPr>
            </w:r>
            <w:r>
              <w:rPr>
                <w:rFonts w:ascii="Times New Roman" w:hAnsi="Times New Roman" w:eastAsia="思源黑体" w:cs="Times New Roman"/>
                <w:sz w:val="20"/>
                <w:szCs w:val="20"/>
              </w:rPr>
            </w:r>
          </w:p>
        </w:tc>
      </w:tr>
    </w:tbl>
    <w:p w14:paraId="7889693A">
      <w:pPr>
        <w:spacing w:before="40" w:line="300" w:lineRule="auto"/>
        <w:jc w:val="both"/>
      </w:pPr>
    </w:p>
    <w:p w14:paraId="2BE9EE61">
      <w:pPr>
        <w:spacing w:before="160" w:line="300" w:lineRule="auto"/>
      </w:pPr>
      <w:r>
        <w:rPr>
          <w:rFonts w:ascii="Times New Roman" w:hAnsi="Times New Roman" w:eastAsia="思源黑体" w:cs="Times New Roman"/>
          <w:b/>
          <w:bCs/>
          <w:sz w:val="22"/>
          <w:szCs w:val="22"/>
        </w:rPr>
        <w:t>二、付款方式</w:t>
      </w:r>
    </w:p>
    <w:p w14:paraId="6DF5F857">
      <w:pPr>
        <w:spacing w:before="40" w:line="300" w:lineRule="auto"/>
        <w:ind w:left="300" w:hanging="300"/>
        <w:jc w:val="both"/>
        <w:rPr>
          <w:rFonts w:ascii="Times New Roman" w:hAnsi="Times New Roman" w:eastAsia="思源黑体" w:cs="Times New Roman"/>
          <w:b w:val="0"/>
          <w:bCs w:val="0"/>
          <w:sz w:val="21"/>
          <w:szCs w:val="21"/>
        </w:rPr>
      </w:pPr>
      <w:r>
        <w:rPr>
          <w:rFonts w:ascii="Times New Roman" w:hAnsi="Times New Roman" w:eastAsia="思源黑体" w:cs="Times New Roman"/>
          <w:b w:val="0"/>
          <w:bCs w:val="0"/>
          <w:sz w:val="21"/>
          <w:szCs w:val="21"/>
        </w:rPr>
        <w:t>1、一次性付款：甲方应自本合同签署</w:t>
      </w:r>
      <w:r>
        <w:rPr>
          <w:rFonts w:hint="eastAsia" w:cs="Times New Roman"/>
          <w:b w:val="0"/>
          <w:bCs w:val="0"/>
          <w:sz w:val="21"/>
          <w:szCs w:val="21"/>
          <w:lang w:eastAsia="zh-CN"/>
        </w:rPr>
        <w:t>后1个工作日内</w:t>
      </w:r>
      <w:r>
        <w:rPr>
          <w:rFonts w:ascii="Times New Roman" w:hAnsi="Times New Roman" w:eastAsia="思源黑体" w:cs="Times New Roman"/>
          <w:b w:val="0"/>
          <w:bCs w:val="0"/>
          <w:sz w:val="21"/>
          <w:szCs w:val="21"/>
        </w:rPr>
        <w:t>支付全部货款。本合同为未税交易，合同总价均为不含税价格。</w:t>
      </w:r>
    </w:p>
    <w:p w14:paraId="5B9BF2E7">
      <w:pPr>
        <w:spacing w:before="40" w:line="300" w:lineRule="auto"/>
        <w:ind w:left="0" w:leftChars="0" w:firstLine="0" w:firstLineChars="0"/>
        <w:jc w:val="both"/>
        <w:rPr>
          <w:rFonts w:hint="eastAsia" w:cs="Times New Roman"/>
          <w:b w:val="0"/>
          <w:bCs w:val="0"/>
          <w:sz w:val="21"/>
          <w:szCs w:val="21"/>
          <w:lang w:eastAsia="zh-CN"/>
        </w:rPr>
      </w:pPr>
      <w:r>
        <w:rPr>
          <w:rFonts w:hint="eastAsia" w:cs="Times New Roman"/>
          <w:b w:val="0"/>
          <w:bCs w:val="0"/>
          <w:sz w:val="21"/>
          <w:szCs w:val="21"/>
          <w:lang w:eastAsia="zh-CN"/>
        </w:rPr>
        <w:t>2、乙方收款账户信息如下：</w:t>
      </w:r>
    </w:p>
    <w:p w14:paraId="15E4A7C6">
      <w:pPr>
        <w:spacing w:before="40" w:line="300" w:lineRule="auto"/>
        <w:ind w:left="0" w:leftChars="0" w:firstLine="0" w:firstLineChars="0"/>
        <w:jc w:val="both"/>
        <w:rPr>
          <w:rFonts w:hint="eastAsia"/>
          <w:sz w:val="21"/>
          <w:szCs w:val="21"/>
        </w:rPr>
      </w:pPr>
      <w:r>
        <w:rPr>
          <w:rFonts w:hint="eastAsia"/>
          <w:sz w:val="21"/>
          <w:szCs w:val="21"/>
          <w:lang w:eastAsia="zh-CN"/>
        </w:rPr>
        <w:t>公司名称：</w:t>
      </w:r>
      <w:r>
        <w:rPr>
          <w:rFonts w:hint="eastAsia"/>
          <w:sz w:val="21"/>
          <w:szCs w:val="21"/>
        </w:rPr>
      </w:r>
    </w:p>
    <w:p w14:paraId="1C8667CA">
      <w:pPr>
        <w:spacing w:before="40" w:line="300" w:lineRule="auto"/>
        <w:ind w:left="0" w:leftChars="0" w:firstLine="0" w:firstLineChars="0"/>
        <w:jc w:val="both"/>
        <w:rPr>
          <w:rFonts w:hint="eastAsia"/>
          <w:sz w:val="21"/>
          <w:szCs w:val="21"/>
        </w:rPr>
      </w:pPr>
      <w:r>
        <w:rPr>
          <w:rFonts w:hint="eastAsia"/>
          <w:sz w:val="21"/>
          <w:szCs w:val="21"/>
        </w:rPr>
        <w:t>账号：</w:t>
      </w:r>
    </w:p>
    <w:p w14:paraId="54D1D8EB">
      <w:pPr>
        <w:spacing w:before="40" w:line="300" w:lineRule="auto"/>
        <w:ind w:left="0" w:leftChars="0" w:firstLine="0" w:firstLineChars="0"/>
        <w:jc w:val="both"/>
        <w:rPr>
          <w:rFonts w:hint="eastAsia"/>
          <w:sz w:val="21"/>
          <w:szCs w:val="21"/>
        </w:rPr>
      </w:pPr>
      <w:r>
        <w:rPr>
          <w:rFonts w:hint="eastAsia"/>
          <w:sz w:val="21"/>
          <w:szCs w:val="21"/>
        </w:rPr>
        <w:t>开户银行名称：</w:t>
      </w:r>
    </w:p>
    <w:p w14:paraId="6B675BDE">
      <w:pPr>
        <w:spacing w:before="40" w:line="300" w:lineRule="auto"/>
        <w:ind w:left="0" w:leftChars="0" w:firstLine="0" w:firstLineChars="0"/>
        <w:jc w:val="both"/>
        <w:rPr>
          <w:rFonts w:hint="eastAsia"/>
          <w:sz w:val="21"/>
          <w:szCs w:val="21"/>
        </w:rPr>
      </w:pPr>
      <w:r>
        <w:rPr>
          <w:rFonts w:hint="eastAsia"/>
          <w:sz w:val="21"/>
          <w:szCs w:val="21"/>
        </w:rPr>
        <w:t>SWIFT代码：</w:t>
      </w:r>
    </w:p>
    <w:p w14:paraId="7A576FBD">
      <w:pPr>
        <w:spacing w:before="40" w:line="300" w:lineRule="auto"/>
        <w:ind w:left="0" w:leftChars="0" w:firstLine="0" w:firstLineChars="0"/>
        <w:jc w:val="both"/>
        <w:rPr>
          <w:rFonts w:hint="eastAsia"/>
          <w:sz w:val="21"/>
          <w:szCs w:val="21"/>
        </w:rPr>
      </w:pPr>
      <w:r>
        <w:rPr>
          <w:rFonts w:hint="eastAsia"/>
          <w:sz w:val="21"/>
          <w:szCs w:val="21"/>
        </w:rPr>
        <w:t>银行地址：</w:t>
      </w:r>
    </w:p>
    <w:p w14:paraId="17D16A28">
      <w:pPr>
        <w:spacing w:before="40" w:line="300" w:lineRule="auto"/>
        <w:ind w:left="0" w:leftChars="0" w:firstLine="0" w:firstLineChars="0"/>
        <w:jc w:val="both"/>
        <w:rPr>
          <w:rFonts w:hint="eastAsia" w:cs="Times New Roman"/>
          <w:b w:val="0"/>
          <w:bCs w:val="0"/>
          <w:sz w:val="21"/>
          <w:szCs w:val="21"/>
          <w:lang w:eastAsia="zh-CN"/>
        </w:rPr>
      </w:pPr>
      <w:r>
        <w:rPr>
          <w:rFonts w:hint="eastAsia"/>
          <w:sz w:val="21"/>
          <w:szCs w:val="21"/>
          <w:lang w:eastAsia="zh-CN"/>
        </w:rPr>
        <w:t>公司地址：</w:t>
      </w:r>
      <w:r>
        <w:rPr>
          <w:rFonts w:hint="eastAsia"/>
          <w:sz w:val="21"/>
          <w:szCs w:val="21"/>
        </w:rPr>
      </w:r>
    </w:p>
    <w:p w14:paraId="4FAC1BD7">
      <w:pPr>
        <w:spacing w:before="160" w:line="300" w:lineRule="auto"/>
      </w:pPr>
      <w:r>
        <w:rPr>
          <w:rFonts w:ascii="Times New Roman" w:hAnsi="Times New Roman" w:eastAsia="思源黑体" w:cs="Times New Roman"/>
          <w:b/>
          <w:bCs/>
          <w:sz w:val="22"/>
          <w:szCs w:val="22"/>
        </w:rPr>
        <w:t>三、交货日期、地点及方式</w:t>
      </w:r>
    </w:p>
    <w:p w14:paraId="6AF7060A">
      <w:pPr>
        <w:spacing w:before="40" w:line="300" w:lineRule="auto"/>
        <w:ind w:left="300" w:hanging="300"/>
        <w:jc w:val="both"/>
      </w:pPr>
      <w:r>
        <w:rPr>
          <w:rFonts w:ascii="Times New Roman" w:hAnsi="Times New Roman" w:eastAsia="思源黑体" w:cs="Times New Roman"/>
          <w:b w:val="0"/>
          <w:bCs w:val="0"/>
          <w:sz w:val="21"/>
          <w:szCs w:val="21"/>
        </w:rPr>
        <w:t>1、</w:t>
      </w:r>
      <w:r>
        <w:rPr>
          <w:rFonts w:hint="eastAsia" w:cs="Times New Roman"/>
          <w:b w:val="0"/>
          <w:bCs w:val="0"/>
          <w:sz w:val="21"/>
          <w:szCs w:val="21"/>
          <w:lang w:eastAsia="zh-CN"/>
        </w:rPr>
        <w:t>交货</w:t>
      </w:r>
      <w:r>
        <w:rPr>
          <w:rFonts w:ascii="Times New Roman" w:hAnsi="Times New Roman" w:eastAsia="思源黑体" w:cs="Times New Roman"/>
          <w:b w:val="0"/>
          <w:bCs w:val="0"/>
          <w:sz w:val="21"/>
          <w:szCs w:val="21"/>
        </w:rPr>
        <w:t>日期：</w:t>
      </w:r>
      <w:r>
        <w:rPr>
          <w:rFonts w:hint="eastAsia" w:cs="Times New Roman"/>
          <w:b w:val="0"/>
          <w:bCs w:val="0"/>
          <w:sz w:val="21"/>
          <w:szCs w:val="21"/>
          <w:lang w:eastAsia="zh-CN"/>
        </w:rPr>
        <w:t>合同签署后1个工作日内交货。</w:t>
      </w:r>
    </w:p>
    <w:p w14:paraId="182C7DA3">
      <w:pPr>
        <w:spacing w:before="40" w:line="300" w:lineRule="auto"/>
        <w:ind w:left="300" w:hanging="300"/>
        <w:jc w:val="both"/>
      </w:pPr>
      <w:r>
        <w:rPr>
          <w:rFonts w:ascii="Times New Roman" w:hAnsi="Times New Roman" w:eastAsia="思源黑体" w:cs="Times New Roman"/>
          <w:b w:val="0"/>
          <w:bCs w:val="0"/>
          <w:sz w:val="21"/>
          <w:szCs w:val="21"/>
        </w:rPr>
        <w:t>2、交货地点：香港（交货地点为香港，具体地址由双方另行书面确认）。</w:t>
      </w:r>
    </w:p>
    <w:p w14:paraId="12C5F65C">
      <w:pPr>
        <w:spacing w:before="160" w:line="300" w:lineRule="auto"/>
      </w:pPr>
      <w:r>
        <w:rPr>
          <w:rFonts w:ascii="Times New Roman" w:hAnsi="Times New Roman" w:eastAsia="思源黑体" w:cs="Times New Roman"/>
          <w:b/>
          <w:bCs/>
          <w:sz w:val="22"/>
          <w:szCs w:val="22"/>
        </w:rPr>
        <w:t>四、货物签收和验收</w:t>
      </w:r>
    </w:p>
    <w:p w14:paraId="6496AB0F">
      <w:pPr>
        <w:spacing w:before="40" w:line="300" w:lineRule="auto"/>
        <w:ind w:left="300" w:hanging="300"/>
        <w:jc w:val="both"/>
      </w:pPr>
      <w:r>
        <w:rPr>
          <w:rFonts w:ascii="Times New Roman" w:hAnsi="Times New Roman" w:eastAsia="思源黑体" w:cs="Times New Roman"/>
          <w:b w:val="0"/>
          <w:bCs w:val="0"/>
          <w:sz w:val="21"/>
          <w:szCs w:val="21"/>
        </w:rPr>
        <w:t>1、甲方应在到货后安排专人签收并当场对货物的包装、数量、规格等进行确认验收。若有异议，应在《签收单》或类似文件上注明并于24小时内书面通知乙方，否则视为甲方已收到合同约定的全部货物且货物包装、数量、规格等验收合格，不得再以任何理由提出异议。</w:t>
      </w:r>
    </w:p>
    <w:p w14:paraId="6F4C15D5">
      <w:pPr>
        <w:spacing w:before="40" w:line="300" w:lineRule="auto"/>
        <w:ind w:left="300" w:hanging="300"/>
        <w:jc w:val="both"/>
      </w:pPr>
      <w:r>
        <w:rPr>
          <w:rFonts w:ascii="Times New Roman" w:hAnsi="Times New Roman" w:eastAsia="思源黑体" w:cs="Times New Roman"/>
          <w:b w:val="0"/>
          <w:bCs w:val="0"/>
          <w:sz w:val="21"/>
          <w:szCs w:val="21"/>
        </w:rPr>
        <w:t>2、甲方应在到货后3日内完成内在质量验收。若甲方发现货物存在质量问题，应妥善保管货物及相关证据，并于发现问题当日以书面形式向乙方提出异议，逾期未提出书面异议的，视为货物内在质量验收合格，甲方不得再以任何理由要求退换货。若货物存在重大质量问题或缺陷的，经乙方确认后进行维修或更换；经维修或更换后，货物仍存在重大质量问题或缺陷且无法再次维修或更换的，甲方方可要求退货，经双方书面确认该货物数量及对应金额后，乙方无息退还相应货款。未经前述维修或更换程序，甲方不得单方主张退货退款。</w:t>
      </w:r>
    </w:p>
    <w:p w14:paraId="6D6057F6">
      <w:pPr>
        <w:spacing w:before="40" w:line="300" w:lineRule="auto"/>
        <w:ind w:left="300" w:hanging="300"/>
        <w:jc w:val="both"/>
      </w:pPr>
      <w:r>
        <w:rPr>
          <w:rFonts w:ascii="Times New Roman" w:hAnsi="Times New Roman" w:eastAsia="思源黑体" w:cs="Times New Roman"/>
          <w:b w:val="0"/>
          <w:bCs w:val="0"/>
          <w:sz w:val="21"/>
          <w:szCs w:val="21"/>
        </w:rPr>
        <w:t>3、《签收单》按下列方式之一签收的，视为甲方已经签收全部货物并验收合格：</w:t>
      </w:r>
    </w:p>
    <w:p w14:paraId="2F0618FA">
      <w:pPr>
        <w:spacing w:before="40" w:line="300" w:lineRule="auto"/>
        <w:ind w:left="600" w:hanging="300"/>
        <w:jc w:val="both"/>
      </w:pPr>
      <w:r>
        <w:rPr>
          <w:rFonts w:ascii="Times New Roman" w:hAnsi="Times New Roman" w:eastAsia="思源黑体" w:cs="Times New Roman"/>
          <w:b w:val="0"/>
          <w:bCs w:val="0"/>
          <w:sz w:val="21"/>
          <w:szCs w:val="21"/>
        </w:rPr>
        <w:t>（1）加盖公章或合同专用章或仓库章或收货专用章；</w:t>
      </w:r>
    </w:p>
    <w:p w14:paraId="78AFC581">
      <w:pPr>
        <w:spacing w:before="40" w:line="300" w:lineRule="auto"/>
        <w:ind w:left="600" w:hanging="300"/>
        <w:jc w:val="both"/>
      </w:pPr>
      <w:r>
        <w:rPr>
          <w:rFonts w:ascii="Times New Roman" w:hAnsi="Times New Roman" w:eastAsia="思源黑体" w:cs="Times New Roman"/>
          <w:b w:val="0"/>
          <w:bCs w:val="0"/>
          <w:sz w:val="21"/>
          <w:szCs w:val="21"/>
        </w:rPr>
        <w:t>（2）甲方指定联系人/指定签收人/收货人在签收单上签字；</w:t>
      </w:r>
    </w:p>
    <w:p w14:paraId="58FC5A85">
      <w:pPr>
        <w:spacing w:before="40" w:line="300" w:lineRule="auto"/>
        <w:ind w:left="600" w:hanging="300"/>
        <w:jc w:val="both"/>
      </w:pPr>
      <w:r>
        <w:rPr>
          <w:rFonts w:ascii="Times New Roman" w:hAnsi="Times New Roman" w:eastAsia="思源黑体" w:cs="Times New Roman"/>
          <w:b w:val="0"/>
          <w:bCs w:val="0"/>
          <w:sz w:val="21"/>
          <w:szCs w:val="21"/>
        </w:rPr>
        <w:t>（3）甲方法定代表人在签收单上签字；</w:t>
      </w:r>
    </w:p>
    <w:p w14:paraId="3B8C806F">
      <w:pPr>
        <w:spacing w:before="40" w:line="300" w:lineRule="auto"/>
        <w:ind w:left="600" w:hanging="300"/>
        <w:jc w:val="both"/>
      </w:pPr>
      <w:r>
        <w:rPr>
          <w:rFonts w:ascii="Times New Roman" w:hAnsi="Times New Roman" w:eastAsia="思源黑体" w:cs="Times New Roman"/>
          <w:b w:val="0"/>
          <w:bCs w:val="0"/>
          <w:sz w:val="21"/>
          <w:szCs w:val="21"/>
        </w:rPr>
        <w:t>（4）甲方其他指定人员在签收单上签字；</w:t>
      </w:r>
    </w:p>
    <w:p w14:paraId="1799D56D">
      <w:pPr>
        <w:spacing w:before="40" w:line="300" w:lineRule="auto"/>
        <w:ind w:left="600" w:hanging="300"/>
        <w:jc w:val="both"/>
      </w:pPr>
      <w:r>
        <w:rPr>
          <w:rFonts w:ascii="Times New Roman" w:hAnsi="Times New Roman" w:eastAsia="思源黑体" w:cs="Times New Roman"/>
          <w:b w:val="0"/>
          <w:bCs w:val="0"/>
          <w:sz w:val="21"/>
          <w:szCs w:val="21"/>
        </w:rPr>
        <w:t>（5）乙方通过物流信息查询货物已被甲方签收，甲方在收到乙方核实通知后24小时内未予以回复或回复已经收货的。</w:t>
      </w:r>
    </w:p>
    <w:p w14:paraId="09877EC2">
      <w:pPr>
        <w:spacing w:before="40" w:line="300" w:lineRule="auto"/>
        <w:ind w:left="300" w:hanging="300"/>
        <w:jc w:val="both"/>
      </w:pPr>
      <w:r>
        <w:rPr>
          <w:rFonts w:ascii="Times New Roman" w:hAnsi="Times New Roman" w:eastAsia="思源黑体" w:cs="Times New Roman"/>
          <w:b w:val="0"/>
          <w:bCs w:val="0"/>
          <w:sz w:val="21"/>
          <w:szCs w:val="21"/>
        </w:rPr>
        <w:t>4、甲方指定以下人员为本合同下货物签收人，并对签收人的签字效力予以认可并接受。</w:t>
      </w:r>
    </w:p>
    <w:p w14:paraId="2167B40F">
      <w:pPr>
        <w:spacing w:before="40" w:line="300" w:lineRule="auto"/>
        <w:ind w:left="600"/>
        <w:jc w:val="both"/>
      </w:pPr>
      <w:r>
        <w:rPr>
          <w:rFonts w:ascii="Times New Roman" w:hAnsi="Times New Roman" w:eastAsia="思源黑体" w:cs="Times New Roman"/>
          <w:b w:val="0"/>
          <w:bCs w:val="0"/>
          <w:sz w:val="21"/>
          <w:szCs w:val="21"/>
        </w:rPr>
        <w:t>指定签收人姓名：　　　　　联系电话：</w:t>
      </w:r>
    </w:p>
    <w:p w14:paraId="7F3341CC">
      <w:pPr>
        <w:spacing w:before="40" w:line="300" w:lineRule="auto"/>
        <w:ind w:left="600"/>
        <w:jc w:val="both"/>
      </w:pPr>
      <w:r>
        <w:rPr>
          <w:rFonts w:ascii="Times New Roman" w:hAnsi="Times New Roman" w:eastAsia="思源黑体" w:cs="Times New Roman"/>
          <w:b w:val="0"/>
          <w:bCs w:val="0"/>
          <w:sz w:val="21"/>
          <w:szCs w:val="21"/>
        </w:rPr>
        <w:t>指定地址：香港</w:t>
      </w:r>
    </w:p>
    <w:p w14:paraId="532C326D">
      <w:pPr>
        <w:spacing w:before="40" w:line="300" w:lineRule="auto"/>
        <w:ind w:left="300" w:hanging="300"/>
        <w:jc w:val="both"/>
      </w:pPr>
      <w:r>
        <w:rPr>
          <w:rFonts w:ascii="Times New Roman" w:hAnsi="Times New Roman" w:eastAsia="思源黑体" w:cs="Times New Roman"/>
          <w:b w:val="0"/>
          <w:bCs w:val="0"/>
          <w:sz w:val="21"/>
          <w:szCs w:val="21"/>
        </w:rPr>
        <w:t>5、甲方无正当理由未及时签收的，乙方有权拒绝交付货物且不承担违约责任，因此产生的物流、人工、仓储等额外费用由甲方承担。</w:t>
      </w:r>
    </w:p>
    <w:p w14:paraId="18DF4F8B">
      <w:pPr>
        <w:spacing w:before="160" w:line="300" w:lineRule="auto"/>
      </w:pPr>
      <w:r>
        <w:rPr>
          <w:rFonts w:ascii="Times New Roman" w:hAnsi="Times New Roman" w:eastAsia="思源黑体" w:cs="Times New Roman"/>
          <w:b/>
          <w:bCs/>
          <w:sz w:val="22"/>
          <w:szCs w:val="22"/>
        </w:rPr>
        <w:t>五、包装</w:t>
      </w:r>
    </w:p>
    <w:p w14:paraId="1EEAE67A">
      <w:pPr>
        <w:spacing w:before="40" w:line="300" w:lineRule="auto"/>
        <w:ind w:left="300" w:hanging="300"/>
        <w:jc w:val="both"/>
      </w:pPr>
      <w:r>
        <w:rPr>
          <w:rFonts w:ascii="Times New Roman" w:hAnsi="Times New Roman" w:eastAsia="思源黑体" w:cs="Times New Roman"/>
          <w:b w:val="0"/>
          <w:bCs w:val="0"/>
          <w:sz w:val="21"/>
          <w:szCs w:val="21"/>
        </w:rPr>
        <w:t>符合行业产品包装规定。因装卸、运输、贮存等导致产品的包装物出现不同程度的污损情形，不影响产品本身使用和产品质量的，均不视为乙方违约。</w:t>
      </w:r>
    </w:p>
    <w:p w14:paraId="41368749">
      <w:pPr>
        <w:spacing w:before="160" w:line="300" w:lineRule="auto"/>
      </w:pPr>
      <w:r>
        <w:rPr>
          <w:rFonts w:ascii="Times New Roman" w:hAnsi="Times New Roman" w:eastAsia="思源黑体" w:cs="Times New Roman"/>
          <w:b/>
          <w:bCs/>
          <w:sz w:val="22"/>
          <w:szCs w:val="22"/>
        </w:rPr>
        <w:t>六、质量标准和质保</w:t>
      </w:r>
    </w:p>
    <w:p w14:paraId="0945A31B">
      <w:pPr>
        <w:spacing w:before="40" w:line="300" w:lineRule="auto"/>
        <w:ind w:left="300" w:hanging="300"/>
        <w:jc w:val="both"/>
      </w:pPr>
      <w:r>
        <w:rPr>
          <w:rFonts w:ascii="Times New Roman" w:hAnsi="Times New Roman" w:eastAsia="思源黑体" w:cs="Times New Roman"/>
          <w:b w:val="0"/>
          <w:bCs w:val="0"/>
          <w:sz w:val="21"/>
          <w:szCs w:val="21"/>
        </w:rPr>
        <w:t>1、质保壹年。</w:t>
      </w:r>
    </w:p>
    <w:p w14:paraId="3282591F">
      <w:pPr>
        <w:spacing w:before="40" w:line="300" w:lineRule="auto"/>
        <w:ind w:left="300" w:hanging="300"/>
        <w:jc w:val="both"/>
      </w:pPr>
      <w:r>
        <w:rPr>
          <w:rFonts w:ascii="Times New Roman" w:hAnsi="Times New Roman" w:eastAsia="思源黑体" w:cs="Times New Roman"/>
          <w:b w:val="0"/>
          <w:bCs w:val="0"/>
          <w:sz w:val="21"/>
          <w:szCs w:val="21"/>
        </w:rPr>
        <w:t>2、货物质量以厂家标准为准，保修期自甲方收到货之日起计算。若质保期内产品出现质量问题，乙方配合甲方进行维修/更换；更换后的产品，质保期延续原产品剩余质保期限。人为损坏（如进水、摔损、自行拆卸等）、产品自然损耗或不可抗力因素导致的损坏不在保修范围内。</w:t>
      </w:r>
    </w:p>
    <w:p w14:paraId="5C236518">
      <w:pPr>
        <w:spacing w:before="40" w:line="300" w:lineRule="auto"/>
        <w:ind w:left="300" w:hanging="300"/>
        <w:jc w:val="both"/>
      </w:pPr>
      <w:r>
        <w:rPr>
          <w:rFonts w:ascii="Times New Roman" w:hAnsi="Times New Roman" w:eastAsia="思源黑体" w:cs="Times New Roman"/>
          <w:b w:val="0"/>
          <w:bCs w:val="0"/>
          <w:sz w:val="21"/>
          <w:szCs w:val="21"/>
        </w:rPr>
        <w:t>3、以下情形不在免费保修范围内，乙方可在能力范围内协助进行付费保修：</w:t>
      </w:r>
    </w:p>
    <w:p w14:paraId="7FBEF687">
      <w:pPr>
        <w:spacing w:before="40" w:line="300" w:lineRule="auto"/>
        <w:ind w:left="600" w:hanging="300"/>
        <w:jc w:val="both"/>
      </w:pPr>
      <w:r>
        <w:rPr>
          <w:rFonts w:ascii="Times New Roman" w:hAnsi="Times New Roman" w:eastAsia="思源黑体" w:cs="Times New Roman"/>
          <w:b w:val="0"/>
          <w:bCs w:val="0"/>
          <w:sz w:val="21"/>
          <w:szCs w:val="21"/>
        </w:rPr>
        <w:t>（1）不规范安装拆卸、修理、操作造成的故障或损坏。</w:t>
      </w:r>
    </w:p>
    <w:p w14:paraId="2B2F3A0E">
      <w:pPr>
        <w:spacing w:before="40" w:line="300" w:lineRule="auto"/>
        <w:ind w:left="600" w:hanging="300"/>
        <w:jc w:val="both"/>
      </w:pPr>
      <w:r>
        <w:rPr>
          <w:rFonts w:ascii="Times New Roman" w:hAnsi="Times New Roman" w:eastAsia="思源黑体" w:cs="Times New Roman"/>
          <w:b w:val="0"/>
          <w:bCs w:val="0"/>
          <w:sz w:val="21"/>
          <w:szCs w:val="21"/>
        </w:rPr>
        <w:t>（2）由于振动、碰撞、意外跌落等造成的故障或损坏。</w:t>
      </w:r>
    </w:p>
    <w:p w14:paraId="1E90C91B">
      <w:pPr>
        <w:spacing w:before="40" w:line="300" w:lineRule="auto"/>
        <w:ind w:left="600" w:hanging="300"/>
        <w:jc w:val="both"/>
      </w:pPr>
      <w:r>
        <w:rPr>
          <w:rFonts w:ascii="Times New Roman" w:hAnsi="Times New Roman" w:eastAsia="思源黑体" w:cs="Times New Roman"/>
          <w:b w:val="0"/>
          <w:bCs w:val="0"/>
          <w:sz w:val="21"/>
          <w:szCs w:val="21"/>
        </w:rPr>
        <w:t>（3）由于用户使用环境（如高温、振动、多尘、多油）造成的故障或损坏。</w:t>
      </w:r>
    </w:p>
    <w:p w14:paraId="591BF78E">
      <w:pPr>
        <w:spacing w:before="160" w:line="300" w:lineRule="auto"/>
      </w:pPr>
      <w:r>
        <w:rPr>
          <w:rFonts w:ascii="Times New Roman" w:hAnsi="Times New Roman" w:eastAsia="思源黑体" w:cs="Times New Roman"/>
          <w:b/>
          <w:bCs/>
          <w:sz w:val="22"/>
          <w:szCs w:val="22"/>
        </w:rPr>
        <w:t>七、所有权与风险转移</w:t>
      </w:r>
    </w:p>
    <w:p w14:paraId="32A94367">
      <w:pPr>
        <w:spacing w:before="40" w:line="300" w:lineRule="auto"/>
        <w:ind w:left="300" w:hanging="300"/>
        <w:jc w:val="both"/>
      </w:pPr>
      <w:r>
        <w:rPr>
          <w:rFonts w:ascii="Times New Roman" w:hAnsi="Times New Roman" w:eastAsia="思源黑体" w:cs="Times New Roman"/>
          <w:b w:val="0"/>
          <w:bCs w:val="0"/>
          <w:sz w:val="21"/>
          <w:szCs w:val="21"/>
        </w:rPr>
        <w:t>1、本合同项下全部货物所有权在甲方支付全部货款前仍归属于乙方。</w:t>
      </w:r>
    </w:p>
    <w:p w14:paraId="46474034">
      <w:pPr>
        <w:spacing w:before="40" w:line="300" w:lineRule="auto"/>
        <w:ind w:left="300" w:hanging="300"/>
        <w:jc w:val="both"/>
      </w:pPr>
      <w:r>
        <w:rPr>
          <w:rFonts w:ascii="Times New Roman" w:hAnsi="Times New Roman" w:eastAsia="思源黑体" w:cs="Times New Roman"/>
          <w:b w:val="0"/>
          <w:bCs w:val="0"/>
          <w:sz w:val="21"/>
          <w:szCs w:val="21"/>
        </w:rPr>
        <w:t>2、货物损坏灭失的风险自货物出库后转移至甲方。</w:t>
      </w:r>
    </w:p>
    <w:p w14:paraId="07863234">
      <w:pPr>
        <w:spacing w:before="160" w:line="300" w:lineRule="auto"/>
      </w:pPr>
      <w:r>
        <w:rPr>
          <w:rFonts w:ascii="Times New Roman" w:hAnsi="Times New Roman" w:eastAsia="思源黑体" w:cs="Times New Roman"/>
          <w:b/>
          <w:bCs/>
          <w:sz w:val="22"/>
          <w:szCs w:val="22"/>
        </w:rPr>
        <w:t>八、保密条款</w:t>
      </w:r>
    </w:p>
    <w:p w14:paraId="108EDC5A">
      <w:pPr>
        <w:spacing w:before="40" w:line="300" w:lineRule="auto"/>
        <w:ind w:left="300" w:hanging="300"/>
        <w:jc w:val="both"/>
      </w:pPr>
      <w:r>
        <w:rPr>
          <w:rFonts w:ascii="Times New Roman" w:hAnsi="Times New Roman" w:eastAsia="思源黑体" w:cs="Times New Roman"/>
          <w:b w:val="0"/>
          <w:bCs w:val="0"/>
          <w:sz w:val="21"/>
          <w:szCs w:val="21"/>
        </w:rPr>
        <w:t>合同双方应切实履行保密义务，未经对方书面许可，不得向第三方泄露合同内容、与合同有关的数据及对方商业秘密（包括但不限于产品采购价格、技术参数、联系方式）。本保密义务的期限为合同签订之日起至保密文件在公众平台公开，即使合同解除或终止，保密义务依然有效。若一方违反本条款，应赔偿因此给对方造成的全部损失（包括但不限于律师费、诉讼费、商誉损失）；若导致对方被第三方追责，受损失方有权向违约方追偿。</w:t>
      </w:r>
    </w:p>
    <w:p w14:paraId="69BA1ABD">
      <w:pPr>
        <w:spacing w:before="160" w:line="300" w:lineRule="auto"/>
      </w:pPr>
      <w:r>
        <w:rPr>
          <w:rFonts w:ascii="Times New Roman" w:hAnsi="Times New Roman" w:eastAsia="思源黑体" w:cs="Times New Roman"/>
          <w:b/>
          <w:bCs/>
          <w:sz w:val="22"/>
          <w:szCs w:val="22"/>
        </w:rPr>
        <w:t>九、不可抗力</w:t>
      </w:r>
    </w:p>
    <w:p w14:paraId="5F8972CB">
      <w:pPr>
        <w:spacing w:before="40" w:line="300" w:lineRule="auto"/>
        <w:ind w:left="300" w:hanging="300"/>
        <w:jc w:val="both"/>
      </w:pPr>
      <w:r>
        <w:rPr>
          <w:rFonts w:ascii="Times New Roman" w:hAnsi="Times New Roman" w:eastAsia="思源黑体" w:cs="Times New Roman"/>
          <w:b w:val="0"/>
          <w:bCs w:val="0"/>
          <w:sz w:val="21"/>
          <w:szCs w:val="21"/>
        </w:rPr>
        <w:t>任何一方由于受诸如战争、严重火灾、洪水、台风、地震等不可抗力事故的影响而不能执行合同时，受阻一方应在不可抗力事故发生后立即将事故以书面方式通知对方，并于事故发生后15个工作日内提供事故发生地政府有关部门出具的事故证明文件。一旦不可抗力事故的影响持续超过30天（包括30天）以上，对方均有权撤销合同或通过友好协商在合理的时间内达成进一步履行合同的协议。因合同一方迟延履行本合同后发生不可抗力的，不能免除迟延履行方的相应责任。</w:t>
      </w:r>
    </w:p>
    <w:p w14:paraId="332CF040">
      <w:pPr>
        <w:spacing w:before="160" w:line="300" w:lineRule="auto"/>
      </w:pPr>
      <w:r>
        <w:rPr>
          <w:rFonts w:ascii="Times New Roman" w:hAnsi="Times New Roman" w:eastAsia="思源黑体" w:cs="Times New Roman"/>
          <w:b/>
          <w:bCs/>
          <w:sz w:val="22"/>
          <w:szCs w:val="22"/>
        </w:rPr>
        <w:t>十、通知条款</w:t>
      </w:r>
    </w:p>
    <w:p w14:paraId="071BF68D">
      <w:pPr>
        <w:spacing w:before="40" w:line="300" w:lineRule="auto"/>
        <w:ind w:left="300" w:hanging="300"/>
        <w:jc w:val="both"/>
      </w:pPr>
      <w:r>
        <w:rPr>
          <w:rFonts w:ascii="Times New Roman" w:hAnsi="Times New Roman" w:eastAsia="思源黑体" w:cs="Times New Roman"/>
          <w:b w:val="0"/>
          <w:bCs w:val="0"/>
          <w:sz w:val="21"/>
          <w:szCs w:val="21"/>
        </w:rPr>
        <w:t>1、本协议履行过程中，任何一方根据本协议向对方发出的通知、同意、要求、催告、付款提醒、解除通知或其他通讯（以下简称“通知”），均应以书面形式作出。</w:t>
      </w:r>
    </w:p>
    <w:p w14:paraId="05C2C43C">
      <w:pPr>
        <w:spacing w:before="40" w:line="300" w:lineRule="auto"/>
        <w:ind w:left="300" w:hanging="300"/>
        <w:jc w:val="both"/>
      </w:pPr>
      <w:r>
        <w:rPr>
          <w:rFonts w:ascii="Times New Roman" w:hAnsi="Times New Roman" w:eastAsia="思源黑体" w:cs="Times New Roman"/>
          <w:b w:val="0"/>
          <w:bCs w:val="0"/>
          <w:sz w:val="21"/>
          <w:szCs w:val="21"/>
        </w:rPr>
        <w:t>2、双方确认本协议首部载明的联系地址、电话为有效通知地址和联系方式。任何一方变更联系方式的，应提前3日以书面形式通知对方，否则变更方不得以地址或联系方式变更主张通知未送达，并自行承担相应不利后果。</w:t>
      </w:r>
    </w:p>
    <w:p w14:paraId="1743917C">
      <w:pPr>
        <w:spacing w:before="40" w:line="300" w:lineRule="auto"/>
        <w:ind w:left="300" w:hanging="300"/>
        <w:jc w:val="both"/>
      </w:pPr>
      <w:r>
        <w:rPr>
          <w:rFonts w:ascii="Times New Roman" w:hAnsi="Times New Roman" w:eastAsia="思源黑体" w:cs="Times New Roman"/>
          <w:b w:val="0"/>
          <w:bCs w:val="0"/>
          <w:sz w:val="21"/>
          <w:szCs w:val="21"/>
        </w:rPr>
        <w:t>3、通知送达方式及生效时间</w:t>
      </w:r>
    </w:p>
    <w:p w14:paraId="0F2CEF34">
      <w:pPr>
        <w:spacing w:before="40" w:line="300" w:lineRule="auto"/>
        <w:ind w:left="600" w:hanging="300"/>
        <w:jc w:val="both"/>
      </w:pPr>
      <w:r>
        <w:rPr>
          <w:rFonts w:ascii="Times New Roman" w:hAnsi="Times New Roman" w:eastAsia="思源黑体" w:cs="Times New Roman"/>
          <w:b w:val="0"/>
          <w:bCs w:val="0"/>
          <w:sz w:val="21"/>
          <w:szCs w:val="21"/>
        </w:rPr>
        <w:t>（1）以短信发送的，自发送至对方指定联系人手机号码之日生效；以微信或邮件发送的，自发送成功之日起生效。</w:t>
      </w:r>
    </w:p>
    <w:p w14:paraId="21A8D743">
      <w:pPr>
        <w:spacing w:before="40" w:line="300" w:lineRule="auto"/>
        <w:ind w:left="600" w:hanging="300"/>
        <w:jc w:val="both"/>
      </w:pPr>
      <w:r>
        <w:rPr>
          <w:rFonts w:ascii="Times New Roman" w:hAnsi="Times New Roman" w:eastAsia="思源黑体" w:cs="Times New Roman"/>
          <w:b w:val="0"/>
          <w:bCs w:val="0"/>
          <w:sz w:val="21"/>
          <w:szCs w:val="21"/>
        </w:rPr>
        <w:t>（2）以快递或挂号信方式寄送的，自寄出之日起第3日视为送达，对方拒收的，拒收之日视为送达。</w:t>
      </w:r>
    </w:p>
    <w:p w14:paraId="38E1C29B">
      <w:pPr>
        <w:spacing w:before="40" w:line="300" w:lineRule="auto"/>
        <w:ind w:left="300" w:hanging="300"/>
        <w:jc w:val="both"/>
      </w:pPr>
      <w:r>
        <w:rPr>
          <w:rFonts w:ascii="Times New Roman" w:hAnsi="Times New Roman" w:eastAsia="思源黑体" w:cs="Times New Roman"/>
          <w:b w:val="0"/>
          <w:bCs w:val="0"/>
          <w:sz w:val="21"/>
          <w:szCs w:val="21"/>
        </w:rPr>
        <w:t>4、如采用多种方式同时发送通知的，以最早生效的时间为准。</w:t>
      </w:r>
    </w:p>
    <w:p w14:paraId="44E59A7B">
      <w:pPr>
        <w:spacing w:before="160" w:line="300" w:lineRule="auto"/>
      </w:pPr>
      <w:r>
        <w:rPr>
          <w:rFonts w:ascii="Times New Roman" w:hAnsi="Times New Roman" w:eastAsia="思源黑体" w:cs="Times New Roman"/>
          <w:b/>
          <w:bCs/>
          <w:sz w:val="22"/>
          <w:szCs w:val="22"/>
        </w:rPr>
        <w:t>十一、争议解决</w:t>
      </w:r>
    </w:p>
    <w:p w14:paraId="6D5232DD">
      <w:pPr>
        <w:spacing w:before="40" w:line="300" w:lineRule="auto"/>
        <w:ind w:left="300" w:hanging="300"/>
        <w:jc w:val="both"/>
      </w:pPr>
      <w:r>
        <w:rPr>
          <w:rFonts w:ascii="Times New Roman" w:hAnsi="Times New Roman" w:eastAsia="思源黑体" w:cs="Times New Roman"/>
          <w:b w:val="0"/>
          <w:bCs w:val="0"/>
          <w:sz w:val="21"/>
          <w:szCs w:val="21"/>
        </w:rPr>
        <w:t>因本合同引起的或者与本合同有关的争议，各方应尽力友好协商解决。协商不成时，任何一方均可向乙方所在地人民法院提起诉讼。违约方应承担守约方因解决争议而产生的合理费用，包括但不限于律师费、诉讼费、保全费、鉴定费、公告费、公证费、差旅费以及为实现债权而支付的其他所有合理开支。</w:t>
      </w:r>
    </w:p>
    <w:p w14:paraId="7E695D25">
      <w:pPr>
        <w:spacing w:before="160" w:line="300" w:lineRule="auto"/>
      </w:pPr>
      <w:r>
        <w:rPr>
          <w:rFonts w:ascii="Times New Roman" w:hAnsi="Times New Roman" w:eastAsia="思源黑体" w:cs="Times New Roman"/>
          <w:b/>
          <w:bCs/>
          <w:sz w:val="22"/>
          <w:szCs w:val="22"/>
        </w:rPr>
        <w:t>十二、其他</w:t>
      </w:r>
    </w:p>
    <w:p w14:paraId="0AC26785">
      <w:pPr>
        <w:spacing w:before="40" w:line="300" w:lineRule="auto"/>
        <w:ind w:left="300" w:hanging="300"/>
        <w:jc w:val="both"/>
      </w:pPr>
      <w:r>
        <w:rPr>
          <w:rFonts w:ascii="Times New Roman" w:hAnsi="Times New Roman" w:eastAsia="思源黑体" w:cs="Times New Roman"/>
          <w:b w:val="0"/>
          <w:bCs w:val="0"/>
          <w:sz w:val="21"/>
          <w:szCs w:val="21"/>
        </w:rPr>
        <w:t>1、本合同自双方盖章之日起生效。本协议一式贰份，甲乙双方各执壹份，具有同等法律效力。</w:t>
      </w:r>
    </w:p>
    <w:p w14:paraId="260E76C8">
      <w:pPr>
        <w:spacing w:before="40" w:line="300" w:lineRule="auto"/>
        <w:ind w:left="300" w:hanging="300"/>
        <w:jc w:val="both"/>
      </w:pPr>
      <w:r>
        <w:rPr>
          <w:rFonts w:ascii="Times New Roman" w:hAnsi="Times New Roman" w:eastAsia="思源黑体" w:cs="Times New Roman"/>
          <w:b w:val="0"/>
          <w:bCs w:val="0"/>
          <w:sz w:val="21"/>
          <w:szCs w:val="21"/>
        </w:rPr>
        <w:t>2、本合同未尽事宜，双方应另行签订书面补充协议，补充协议与本合同具有同等法律效力。</w:t>
      </w:r>
    </w:p>
    <w:p w14:paraId="405D2B76">
      <w:pPr>
        <w:spacing w:before="40" w:line="300" w:lineRule="auto"/>
        <w:ind w:left="300" w:hanging="300"/>
        <w:jc w:val="both"/>
      </w:pPr>
      <w:r>
        <w:rPr>
          <w:rFonts w:ascii="Times New Roman" w:hAnsi="Times New Roman" w:eastAsia="思源黑体" w:cs="Times New Roman"/>
          <w:b w:val="0"/>
          <w:bCs w:val="0"/>
          <w:sz w:val="21"/>
          <w:szCs w:val="21"/>
        </w:rPr>
        <w:t>3、基于行业交易习惯和为了缩短定货时间，双方一致同意本合同及合同附件经甲方双方加盖合同专用章或公章后通过微信或邮箱等方式回传生效。本合同及合同附件的传真件、扫描件、复印件或电子回传件视为原件，与原件具有同等法律效力。</w:t>
      </w:r>
    </w:p>
    <w:p w14:paraId="7FC5A48A">
      <w:pPr>
        <w:spacing w:before="40" w:line="300" w:lineRule="auto"/>
        <w:ind w:left="300" w:hanging="300"/>
        <w:jc w:val="both"/>
      </w:pPr>
      <w:r>
        <w:rPr>
          <w:rFonts w:ascii="Times New Roman" w:hAnsi="Times New Roman" w:eastAsia="思源黑体" w:cs="Times New Roman"/>
          <w:b w:val="0"/>
          <w:bCs w:val="0"/>
          <w:sz w:val="21"/>
          <w:szCs w:val="21"/>
        </w:rPr>
        <w:t>4、甲乙双方签署的本销售合同为主合同，其他附属合同或协议或单据均为本合同附件。本合同附件系本合同的重要组成部分，与本合同具有同等法律效力。</w:t>
      </w:r>
    </w:p>
    <w:p w14:paraId="50597829">
      <w:pPr>
        <w:spacing w:before="40" w:line="300" w:lineRule="auto"/>
        <w:ind w:left="300" w:hanging="300"/>
        <w:jc w:val="both"/>
      </w:pPr>
    </w:p>
    <w:p w14:paraId="453D1A07">
      <w:pPr>
        <w:spacing w:before="200" w:line="300" w:lineRule="auto"/>
        <w:jc w:val="both"/>
      </w:pPr>
      <w:r>
        <w:rPr>
          <w:rFonts w:ascii="Times New Roman" w:hAnsi="Times New Roman" w:eastAsia="思源黑体" w:cs="Times New Roman"/>
          <w:b w:val="0"/>
          <w:bCs w:val="0"/>
          <w:sz w:val="21"/>
          <w:szCs w:val="21"/>
        </w:rPr>
        <w:t>（以下无正文）</w:t>
      </w:r>
    </w:p>
    <w:p w14:paraId="72F97122">
      <w:pPr>
        <w:spacing w:before="120" w:line="300" w:lineRule="auto"/>
      </w:pPr>
      <w:r>
        <w:rPr>
          <w:rFonts w:ascii="Times New Roman" w:hAnsi="Times New Roman" w:eastAsia="思源黑体" w:cs="Times New Roman"/>
          <w:sz w:val="21"/>
          <w:szCs w:val="21"/>
        </w:rPr>
        <w:t>甲方（需方）：</w:t>
      </w:r>
    </w:p>
    <w:p w14:paraId="2641C111">
      <w:pPr>
        <w:spacing w:before="120" w:line="300" w:lineRule="auto"/>
      </w:pPr>
      <w:r>
        <w:rPr>
          <w:rFonts w:ascii="Times New Roman" w:hAnsi="Times New Roman" w:eastAsia="思源黑体" w:cs="Times New Roman"/>
          <w:sz w:val="21"/>
          <w:szCs w:val="21"/>
        </w:rPr>
        <w:t>签订时间：      年    月    日</w:t>
      </w:r>
      <w:r>
        <w:rPr>
          <w:rFonts w:hint="eastAsia" w:cs="Times New Roman"/>
          <w:sz w:val="21"/>
          <w:szCs w:val="21"/>
          <w:lang w:eastAsia="zh-CN"/>
        </w:rPr>
      </w:r>
      <w:r>
        <w:rPr>
          <w:rFonts w:ascii="Times New Roman" w:hAnsi="Times New Roman" w:eastAsia="思源黑体" w:cs="Times New Roman"/>
          <w:sz w:val="21"/>
          <w:szCs w:val="21"/>
        </w:rPr>
      </w:r>
      <w:r>
        <w:rPr>
          <w:rFonts w:hint="eastAsia" w:cs="Times New Roman"/>
          <w:sz w:val="21"/>
          <w:szCs w:val="21"/>
          <w:lang w:eastAsia="zh-CN"/>
        </w:rPr>
      </w:r>
      <w:r>
        <w:rPr>
          <w:rFonts w:ascii="Times New Roman" w:hAnsi="Times New Roman" w:eastAsia="思源黑体" w:cs="Times New Roman"/>
          <w:sz w:val="21"/>
          <w:szCs w:val="21"/>
        </w:rPr>
      </w:r>
    </w:p>
    <w:p w14:paraId="541BB46A">
      <w:pPr>
        <w:spacing w:before="80"/>
      </w:pPr>
    </w:p>
    <w:p w14:paraId="761FAE24">
      <w:pPr>
        <w:spacing w:before="120" w:line="300" w:lineRule="auto"/>
      </w:pPr>
      <w:r>
        <w:rPr>
          <w:rFonts w:ascii="Times New Roman" w:hAnsi="Times New Roman" w:eastAsia="思源黑体" w:cs="Times New Roman"/>
          <w:sz w:val="21"/>
          <w:szCs w:val="21"/>
        </w:rPr>
        <w:t>乙方（供方）：</w:t>
      </w:r>
      <w:r>
        <w:rPr>
          <w:rFonts w:hint="eastAsia"/>
          <w:sz w:val="21"/>
          <w:szCs w:val="21"/>
        </w:rPr>
      </w:r>
    </w:p>
    <w:p w14:paraId="706ABE49">
      <w:pPr>
        <w:spacing w:before="120" w:line="300" w:lineRule="auto"/>
      </w:pPr>
      <w:r>
        <w:rPr>
          <w:rFonts w:ascii="Times New Roman" w:hAnsi="Times New Roman" w:eastAsia="思源黑体" w:cs="Times New Roman"/>
          <w:sz w:val="21"/>
          <w:szCs w:val="21"/>
        </w:rPr>
        <w:t>签订时间：      年    月    日</w:t>
      </w:r>
      <w:r>
        <w:rPr>
          <w:rFonts w:hint="eastAsia" w:cs="Times New Roman"/>
          <w:sz w:val="21"/>
          <w:szCs w:val="21"/>
          <w:lang w:eastAsia="zh-CN"/>
        </w:rPr>
      </w:r>
      <w:r>
        <w:rPr>
          <w:rFonts w:ascii="Times New Roman" w:hAnsi="Times New Roman" w:eastAsia="思源黑体" w:cs="Times New Roman"/>
          <w:sz w:val="21"/>
          <w:szCs w:val="21"/>
        </w:rPr>
      </w:r>
      <w:r>
        <w:rPr>
          <w:rFonts w:hint="eastAsia" w:cs="Times New Roman"/>
          <w:sz w:val="21"/>
          <w:szCs w:val="21"/>
          <w:lang w:eastAsia="zh-CN"/>
        </w:rPr>
      </w:r>
      <w:r>
        <w:rPr>
          <w:rFonts w:ascii="Times New Roman" w:hAnsi="Times New Roman" w:eastAsia="思源黑体" w:cs="Times New Roman"/>
          <w:sz w:val="21"/>
          <w:szCs w:val="21"/>
        </w:rPr>
      </w:r>
      <w:r>
        <w:rPr>
          <w:rFonts w:hint="eastAsia" w:cs="Times New Roman"/>
          <w:sz w:val="21"/>
          <w:szCs w:val="21"/>
          <w:lang w:eastAsia="zh-CN"/>
        </w:rPr>
      </w:r>
      <w:r>
        <w:rPr>
          <w:rFonts w:ascii="Times New Roman" w:hAnsi="Times New Roman" w:eastAsia="思源黑体" w:cs="Times New Roman"/>
          <w:sz w:val="21"/>
          <w:szCs w:val="21"/>
        </w:rPr>
      </w:r>
    </w:p>
    <w:sectPr>
      <w:footerReference r:id="rId3" w:type="default"/>
      <w:pgSz w:w="11906" w:h="16838"/>
      <w:pgMar w:top="1134" w:right="1134" w:bottom="1134" w:left="1134"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思源黑体">
    <w:altName w:val="黑体"/>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295AE">
    <w:pPr>
      <w:jc w:val="center"/>
    </w:pPr>
    <w:r>
      <w:rPr>
        <w:rFonts w:ascii="Times New Roman" w:hAnsi="Times New Roman" w:eastAsia="思源黑体" w:cs="Times New Roman"/>
        <w:sz w:val="18"/>
        <w:szCs w:val="18"/>
      </w:rPr>
      <w:t xml:space="preserve">第 </w:t>
    </w:r>
    <w:r>
      <w:rPr>
        <w:rFonts w:ascii="Times New Roman" w:hAnsi="Times New Roman" w:eastAsia="思源黑体" w:cs="Times New Roman"/>
        <w:sz w:val="18"/>
        <w:szCs w:val="18"/>
      </w:rPr>
      <w:fldChar w:fldCharType="begin"/>
    </w:r>
    <w:r>
      <w:rPr>
        <w:rFonts w:ascii="Times New Roman" w:hAnsi="Times New Roman" w:eastAsia="思源黑体" w:cs="Times New Roman"/>
        <w:sz w:val="18"/>
        <w:szCs w:val="18"/>
      </w:rPr>
      <w:instrText xml:space="preserve">PAGE</w:instrText>
    </w:r>
    <w:r>
      <w:rPr>
        <w:rFonts w:ascii="Times New Roman" w:hAnsi="Times New Roman" w:eastAsia="思源黑体" w:cs="Times New Roman"/>
        <w:sz w:val="18"/>
        <w:szCs w:val="18"/>
      </w:rPr>
      <w:fldChar w:fldCharType="separate"/>
    </w:r>
    <w:r>
      <w:rPr>
        <w:rFonts w:ascii="Times New Roman" w:hAnsi="Times New Roman" w:eastAsia="思源黑体" w:cs="Times New Roman"/>
        <w:sz w:val="18"/>
        <w:szCs w:val="18"/>
      </w:rPr>
      <w:fldChar w:fldCharType="end"/>
    </w:r>
    <w:r>
      <w:rPr>
        <w:rFonts w:ascii="Times New Roman" w:hAnsi="Times New Roman" w:eastAsia="思源黑体" w:cs="Times New Roman"/>
        <w:sz w:val="18"/>
        <w:szCs w:val="18"/>
      </w:rPr>
      <w:t xml:space="preserve"> 页　共 </w:t>
    </w:r>
    <w:r>
      <w:rPr>
        <w:rFonts w:ascii="Times New Roman" w:hAnsi="Times New Roman" w:eastAsia="思源黑体" w:cs="Times New Roman"/>
        <w:sz w:val="18"/>
        <w:szCs w:val="18"/>
      </w:rPr>
      <w:fldChar w:fldCharType="begin"/>
    </w:r>
    <w:r>
      <w:rPr>
        <w:rFonts w:ascii="Times New Roman" w:hAnsi="Times New Roman" w:eastAsia="思源黑体" w:cs="Times New Roman"/>
        <w:sz w:val="18"/>
        <w:szCs w:val="18"/>
      </w:rPr>
      <w:instrText xml:space="preserve">NUMPAGES</w:instrText>
    </w:r>
    <w:r>
      <w:rPr>
        <w:rFonts w:ascii="Times New Roman" w:hAnsi="Times New Roman" w:eastAsia="思源黑体" w:cs="Times New Roman"/>
        <w:sz w:val="18"/>
        <w:szCs w:val="18"/>
      </w:rPr>
      <w:fldChar w:fldCharType="separate"/>
    </w:r>
    <w:r>
      <w:rPr>
        <w:rFonts w:ascii="Times New Roman" w:hAnsi="Times New Roman" w:eastAsia="思源黑体" w:cs="Times New Roman"/>
        <w:sz w:val="18"/>
        <w:szCs w:val="18"/>
      </w:rPr>
      <w:fldChar w:fldCharType="end"/>
    </w:r>
    <w:r>
      <w:rPr>
        <w:rFonts w:ascii="Times New Roman" w:hAnsi="Times New Roman" w:eastAsia="思源黑体" w:cs="Times New Roman"/>
        <w:sz w:val="18"/>
        <w:szCs w:val="18"/>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ulTrailSpace/>
    <w:doNotBreakWrappedTables/>
    <w:doNotWrapTextWithPunct/>
    <w:doNotUseEastAsianBreakRules/>
    <w:useFELayout/>
    <w:compatSetting w:name="compatibilityMode" w:uri="http://schemas.microsoft.com/office/word" w:val="15"/>
  </w:compat>
  <w:rsids>
    <w:rsidRoot w:val="00000000"/>
    <w:rsid w:val="046441EE"/>
    <w:rsid w:val="312E12C1"/>
    <w:rsid w:val="46500769"/>
    <w:rsid w:val="534B7E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思源黑体" w:cs="Times New Roman"/>
      <w:sz w:val="21"/>
      <w:szCs w:val="21"/>
    </w:rPr>
  </w:style>
  <w:style w:type="paragraph" w:styleId="2">
    <w:name w:val="heading 1"/>
    <w:next w:val="1"/>
    <w:qFormat/>
    <w:uiPriority w:val="0"/>
    <w:rPr>
      <w:rFonts w:ascii="Times New Roman" w:hAnsi="Times New Roman" w:eastAsia="思源黑体" w:cs="Times New Roman"/>
      <w:color w:val="2E74B5"/>
      <w:sz w:val="32"/>
      <w:szCs w:val="32"/>
    </w:rPr>
  </w:style>
  <w:style w:type="paragraph" w:styleId="3">
    <w:name w:val="heading 2"/>
    <w:next w:val="1"/>
    <w:qFormat/>
    <w:uiPriority w:val="0"/>
    <w:rPr>
      <w:rFonts w:ascii="Times New Roman" w:hAnsi="Times New Roman" w:eastAsia="思源黑体" w:cs="Times New Roman"/>
      <w:color w:val="2E74B5"/>
      <w:sz w:val="26"/>
      <w:szCs w:val="26"/>
    </w:rPr>
  </w:style>
  <w:style w:type="paragraph" w:styleId="4">
    <w:name w:val="heading 3"/>
    <w:next w:val="1"/>
    <w:qFormat/>
    <w:uiPriority w:val="0"/>
    <w:rPr>
      <w:rFonts w:ascii="Times New Roman" w:hAnsi="Times New Roman" w:eastAsia="思源黑体" w:cs="Times New Roman"/>
      <w:color w:val="1F4D78"/>
      <w:sz w:val="24"/>
      <w:szCs w:val="24"/>
    </w:rPr>
  </w:style>
  <w:style w:type="paragraph" w:styleId="5">
    <w:name w:val="heading 4"/>
    <w:next w:val="1"/>
    <w:qFormat/>
    <w:uiPriority w:val="0"/>
    <w:rPr>
      <w:rFonts w:ascii="Times New Roman" w:hAnsi="Times New Roman" w:eastAsia="思源黑体" w:cs="Times New Roman"/>
      <w:i/>
      <w:iCs/>
      <w:color w:val="2E74B5"/>
      <w:sz w:val="21"/>
      <w:szCs w:val="21"/>
    </w:rPr>
  </w:style>
  <w:style w:type="paragraph" w:styleId="6">
    <w:name w:val="heading 5"/>
    <w:next w:val="1"/>
    <w:qFormat/>
    <w:uiPriority w:val="0"/>
    <w:rPr>
      <w:rFonts w:ascii="Times New Roman" w:hAnsi="Times New Roman" w:eastAsia="思源黑体" w:cs="Times New Roman"/>
      <w:color w:val="2E74B5"/>
      <w:sz w:val="21"/>
      <w:szCs w:val="21"/>
    </w:rPr>
  </w:style>
  <w:style w:type="paragraph" w:styleId="7">
    <w:name w:val="heading 6"/>
    <w:next w:val="1"/>
    <w:qFormat/>
    <w:uiPriority w:val="0"/>
    <w:rPr>
      <w:rFonts w:ascii="Times New Roman" w:hAnsi="Times New Roman" w:eastAsia="思源黑体" w:cs="Times New Roman"/>
      <w:color w:val="1F4D78"/>
      <w:sz w:val="21"/>
      <w:szCs w:val="21"/>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20"/>
    <w:unhideWhenUsed/>
    <w:qFormat/>
    <w:uiPriority w:val="99"/>
    <w:pPr>
      <w:spacing w:after="0" w:line="240" w:lineRule="auto"/>
    </w:pPr>
    <w:rPr>
      <w:rFonts w:ascii="Times New Roman" w:hAnsi="Times New Roman" w:eastAsia="思源黑体" w:cs="Times New Roman"/>
      <w:sz w:val="20"/>
      <w:szCs w:val="20"/>
    </w:rPr>
  </w:style>
  <w:style w:type="paragraph" w:styleId="9">
    <w:name w:val="footnote text"/>
    <w:link w:val="19"/>
    <w:unhideWhenUsed/>
    <w:qFormat/>
    <w:uiPriority w:val="99"/>
    <w:pPr>
      <w:spacing w:after="0" w:line="240" w:lineRule="auto"/>
    </w:pPr>
    <w:rPr>
      <w:rFonts w:ascii="Times New Roman" w:hAnsi="Times New Roman" w:eastAsia="思源黑体" w:cs="Times New Roman"/>
      <w:sz w:val="20"/>
      <w:szCs w:val="20"/>
    </w:rPr>
  </w:style>
  <w:style w:type="paragraph" w:styleId="10">
    <w:name w:val="Title"/>
    <w:qFormat/>
    <w:uiPriority w:val="0"/>
    <w:rPr>
      <w:rFonts w:ascii="Times New Roman" w:hAnsi="Times New Roman" w:eastAsia="思源黑体" w:cs="Times New Roman"/>
      <w:sz w:val="56"/>
      <w:szCs w:val="56"/>
    </w:rPr>
  </w:style>
  <w:style w:type="character" w:styleId="13">
    <w:name w:val="Strong"/>
    <w:basedOn w:val="12"/>
    <w:qFormat/>
    <w:uiPriority w:val="0"/>
    <w:rPr>
      <w:b/>
    </w:rPr>
  </w:style>
  <w:style w:type="character" w:styleId="14">
    <w:name w:val="endnote reference"/>
    <w:unhideWhenUsed/>
    <w:qFormat/>
    <w:uiPriority w:val="99"/>
    <w:rPr>
      <w:vertAlign w:val="superscript"/>
    </w:rPr>
  </w:style>
  <w:style w:type="character" w:styleId="15">
    <w:name w:val="Hyperlink"/>
    <w:unhideWhenUsed/>
    <w:qFormat/>
    <w:uiPriority w:val="99"/>
    <w:rPr>
      <w:color w:val="0563C1"/>
      <w:u w:val="single"/>
    </w:rPr>
  </w:style>
  <w:style w:type="character" w:styleId="16">
    <w:name w:val="footnote reference"/>
    <w:unhideWhenUsed/>
    <w:qFormat/>
    <w:uiPriority w:val="99"/>
    <w:rPr>
      <w:vertAlign w:val="superscript"/>
    </w:rPr>
  </w:style>
  <w:style w:type="paragraph" w:customStyle="1" w:styleId="17">
    <w:name w:val="要点1"/>
    <w:qFormat/>
    <w:uiPriority w:val="0"/>
    <w:rPr>
      <w:rFonts w:ascii="Times New Roman" w:hAnsi="Times New Roman" w:eastAsia="思源黑体" w:cs="Times New Roman"/>
      <w:b/>
      <w:bCs/>
      <w:sz w:val="21"/>
      <w:szCs w:val="21"/>
    </w:rPr>
  </w:style>
  <w:style w:type="paragraph" w:customStyle="1" w:styleId="18">
    <w:name w:val="List Paragraph"/>
    <w:qFormat/>
    <w:uiPriority w:val="0"/>
    <w:rPr>
      <w:rFonts w:ascii="Times New Roman" w:hAnsi="Times New Roman" w:eastAsia="思源黑体" w:cs="Times New Roman"/>
      <w:sz w:val="21"/>
      <w:szCs w:val="21"/>
    </w:rPr>
  </w:style>
  <w:style w:type="character" w:customStyle="1" w:styleId="19">
    <w:name w:val="Footnote Text Char"/>
    <w:link w:val="9"/>
    <w:unhideWhenUsed/>
    <w:qFormat/>
    <w:uiPriority w:val="99"/>
    <w:rPr>
      <w:sz w:val="20"/>
      <w:szCs w:val="20"/>
    </w:rPr>
  </w:style>
  <w:style w:type="character" w:customStyle="1" w:styleId="20">
    <w:name w:val="Endnote Text Char"/>
    <w:link w:val="8"/>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435</Words>
  <Characters>808</Characters>
  <Lines>0</Lines>
  <Paragraphs>0</Paragraphs>
  <TotalTime>7</TotalTime>
  <ScaleCrop>false</ScaleCrop>
  <LinksUpToDate>false</LinksUpToDate>
  <CharactersWithSpaces>867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2411-12-30T00:00:00Z</dcterms:created>
  <dc:creator>Un-named</dc:creator>
  <cp:lastModifiedBy>阿金ᴬⁱ算小兽</cp:lastModifiedBy>
  <dcterms:modified xsi:type="dcterms:W3CDTF">2026-09-22T11:37:29Z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{"Label":"1","ContentProducer":"001191440300708461136T1WFUO","ProduceID":"c9a298ba5854359d4128288ff811b399-j9gR","ReservedCode1":"{\"Type\":\" TC260PG\",\"Version\":1,\"Bindings\":[{\"Type\":\"soft\",\"AlgID\":\"sm3\",\"Value\":\"dd49d1b083328e197540fad28bf3c034c4890590a318c64980d8bddb4eea2df8\"},{\"Type\":\"hash\",\"AlgID\":\"sm3\",\"Value\":\"04b0bf332198c2f9b7458ba8f24770ce3ec165a2ac53164900f5dd79c60cce0f\"}],\"PubSD\":[{\"Type\":\"DS\",\"AlgID\":\"sm2\",\"TBSData\":{\"Type\":\"Binding\",\"BType\":\"hash\"},\"Signature\":\"30440220307344953aaeeb7b2a292ece63bd5bca41e96bd5e81c9dc6e3a9a1a2c79c3eb5022032559391338557f83a50707bb245adfdfc5a9baa369a9cf69fb77e2546c16c47\"},{\"Type\":\"PubKey\",\"AlgID\":\"sm2\",\"KeyValue\":\"0407f79b28a17a752b3aae4305c98b48978213832729a2571850b1310b2bc9fe8fee039ccf25ebfeac27502414d9fcef792d777183c98893d226171c2f7a3289a2\"}],\"Extension\":{\"Timestamp\":1791802568,\"KeyVersion\":\"v1-TxLeOmf7bqU223\"}}","ContentPropagator":"001191440300708461136T1WFUO","PropagateID":"c9a298ba5854359d4128288ff811b399-j9gR","ReservedCode2":"{\"Type\":\" TC260PG\",\"Version\":1,\"Bindings\":[{\"Type\":\"soft\",\"AlgID\":\"sm3\",\"Value\":\"dd49d1b083328e197540fad28bf3c034c4890590a318c64980d8bddb4eea2df8\"},{\"Type\":\"hash\",\"AlgID\":\"sm3\",\"Value\":\"04b0bf332198c2f9b7458ba8f24770ce3ec165a2ac53164900f5dd79c60cce0f\"}],\"PubSD\":[{\"Type\":\"DS\",\"AlgID\":\"sm2\",\"TBSData\":{\"Type\":\"Binding\",\"BType\":\"hash\"},\"Signature\":\"3046022100e99b8f68084ac78ca8a883f3ecd6d35ea75876a2102f5bdf6e7cc0be2f0bc99e022100fffe329c2023d3610d42753debf21038ba30c4e1d6ab6ce60276ae57792e2f01\"},{\"Type\":\"PubKey\",\"AlgID\":\"sm2\",\"KeyValue\":\"0407f79b28a17a752b3aae4305c98b48978213832729a2571850b1310b2bc9fe8fee039ccf25ebfeac27502414d9fcef792d777183c98893d226171c2f7a3289a2\"}],\"Extension\":{\"Timestamp\":1791802568,\"KeyVersion\":\"v1-TxLeOmf7bqU223\"}}"}</vt:lpwstr>
  </property>
  <property fmtid="{D5CDD505-2E9C-101B-9397-08002B2CF9AE}" pid="3" name="ICV">
    <vt:lpwstr>AE4D34FADE334671AAFC95099A2ABEC7_13</vt:lpwstr>
  </property>
  <property fmtid="{D5CDD505-2E9C-101B-9397-08002B2CF9AE}" pid="4" name="KSOProductBuildVer">
    <vt:lpwstr>2052-12.1.0.28505</vt:lpwstr>
  </property>
  <property fmtid="{D5CDD505-2E9C-101B-9397-08002B2CF9AE}" pid="5" name="KSOTemplateDocerSaveRecord">
    <vt:lpwstr>eyJoZGlkIjoiZDEzYTMxYzRiNGQzM2IyOTA5ZTYxYjVmMDU1YzEwNTIiLCJ1c2VySWQiOiIxODkxOTIxOTE3In0=</vt:lpwstr>
  </property>
</Properties>
</file>