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F0C52" w:rsidRDefault="008F0C52">
      <w:pPr>
        <w:pStyle w:val="BodyText"/>
        <w:rPr>
          <w:rFonts w:ascii="Times New Roman"/>
          <w:sz w:val="20"/>
        </w:rPr>
      </w:pPr>
    </w:p>
    <w:p w:rsidR="008F0C52" w:rsidRDefault="00C84DAA">
      <w:pPr>
        <w:pStyle w:val="BodyText"/>
        <w:rPr>
          <w:rFonts w:ascii="Times New Roman"/>
          <w:sz w:val="20"/>
        </w:rPr>
      </w:pPr>
      <w:r w:rsidRPr="007F3CE2">
        <w:rPr>
          <w:rFonts w:ascii="Times New Roman"/>
          <w:noProof/>
          <w:sz w:val="20"/>
        </w:rPr>
        <w:drawing>
          <wp:anchor distT="0" distB="0" distL="114300" distR="114300" simplePos="0" relativeHeight="251661312" behindDoc="0" locked="0" layoutInCell="1" allowOverlap="1" wp14:anchorId="0FD63269" wp14:editId="2758B14D">
            <wp:simplePos x="0" y="0"/>
            <wp:positionH relativeFrom="column">
              <wp:posOffset>1256665</wp:posOffset>
            </wp:positionH>
            <wp:positionV relativeFrom="paragraph">
              <wp:posOffset>118110</wp:posOffset>
            </wp:positionV>
            <wp:extent cx="4100195" cy="1366520"/>
            <wp:effectExtent l="0" t="0" r="0" b="0"/>
            <wp:wrapNone/>
            <wp:docPr id="986265485" name="Picture 7" descr="A person with a black background&#10;&#10;Description automatically generated with medium confidence">
              <a:extLst xmlns:a="http://schemas.openxmlformats.org/drawingml/2006/main">
                <a:ext uri="{FF2B5EF4-FFF2-40B4-BE49-F238E27FC236}">
                  <a16:creationId xmlns:a16="http://schemas.microsoft.com/office/drawing/2014/main" id="{41CB95BA-1551-6634-82A5-3AF67FAACF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erson with a black background&#10;&#10;Description automatically generated with medium confidence">
                      <a:extLst>
                        <a:ext uri="{FF2B5EF4-FFF2-40B4-BE49-F238E27FC236}">
                          <a16:creationId xmlns:a16="http://schemas.microsoft.com/office/drawing/2014/main" id="{41CB95BA-1551-6634-82A5-3AF67FAACF0E}"/>
                        </a:ext>
                      </a:extLst>
                    </pic:cNvPr>
                    <pic:cNvPicPr>
                      <a:picLocks noChangeAspect="1"/>
                    </pic:cNvPicPr>
                  </pic:nvPicPr>
                  <pic:blipFill>
                    <a:blip r:embed="rId7"/>
                    <a:stretch>
                      <a:fillRect/>
                    </a:stretch>
                  </pic:blipFill>
                  <pic:spPr>
                    <a:xfrm>
                      <a:off x="0" y="0"/>
                      <a:ext cx="4100195" cy="1366520"/>
                    </a:xfrm>
                    <a:prstGeom prst="rect">
                      <a:avLst/>
                    </a:prstGeom>
                  </pic:spPr>
                </pic:pic>
              </a:graphicData>
            </a:graphic>
          </wp:anchor>
        </w:drawing>
      </w: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spacing w:before="94"/>
        <w:rPr>
          <w:rFonts w:ascii="Times New Roman"/>
          <w:sz w:val="20"/>
        </w:rPr>
      </w:pPr>
    </w:p>
    <w:p w:rsidR="008F0C52" w:rsidRDefault="008F0C52">
      <w:pPr>
        <w:pStyle w:val="BodyText"/>
        <w:ind w:left="6437"/>
        <w:rPr>
          <w:rFonts w:ascii="Times New Roman"/>
          <w:sz w:val="20"/>
        </w:rPr>
      </w:pPr>
      <w:bookmarkStart w:id="0" w:name="_Hlk214546551"/>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C84DAA">
      <w:pPr>
        <w:pStyle w:val="BodyText"/>
        <w:rPr>
          <w:rFonts w:ascii="Times New Roman"/>
          <w:sz w:val="20"/>
        </w:rPr>
      </w:pPr>
      <w:r w:rsidRPr="007F3CE2">
        <w:rPr>
          <w:rFonts w:ascii="Times New Roman"/>
          <w:noProof/>
          <w:sz w:val="20"/>
        </w:rPr>
        <mc:AlternateContent>
          <mc:Choice Requires="wps">
            <w:drawing>
              <wp:anchor distT="0" distB="0" distL="114300" distR="114300" simplePos="0" relativeHeight="251718656" behindDoc="0" locked="0" layoutInCell="1" allowOverlap="1" wp14:anchorId="7B5B4329" wp14:editId="772C73C7">
                <wp:simplePos x="0" y="0"/>
                <wp:positionH relativeFrom="column">
                  <wp:posOffset>1410970</wp:posOffset>
                </wp:positionH>
                <wp:positionV relativeFrom="paragraph">
                  <wp:posOffset>133350</wp:posOffset>
                </wp:positionV>
                <wp:extent cx="3486150" cy="384175"/>
                <wp:effectExtent l="0" t="0" r="0" b="0"/>
                <wp:wrapNone/>
                <wp:docPr id="39121139" name="TextBox 1"/>
                <wp:cNvGraphicFramePr/>
                <a:graphic xmlns:a="http://schemas.openxmlformats.org/drawingml/2006/main">
                  <a:graphicData uri="http://schemas.microsoft.com/office/word/2010/wordprocessingShape">
                    <wps:wsp>
                      <wps:cNvSpPr txBox="1"/>
                      <wps:spPr>
                        <a:xfrm>
                          <a:off x="0" y="0"/>
                          <a:ext cx="3486150" cy="384175"/>
                        </a:xfrm>
                        <a:prstGeom prst="rect">
                          <a:avLst/>
                        </a:prstGeom>
                        <a:noFill/>
                      </wps:spPr>
                      <wps:txbx>
                        <w:txbxContent>
                          <w:p w:rsidR="007F3CE2" w:rsidRDefault="007F3CE2" w:rsidP="008F4F27">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wps:txbx>
                      <wps:bodyPr wrap="square" rtlCol="0">
                        <a:spAutoFit/>
                      </wps:bodyPr>
                    </wps:wsp>
                  </a:graphicData>
                </a:graphic>
                <wp14:sizeRelH relativeFrom="margin">
                  <wp14:pctWidth>0</wp14:pctWidth>
                </wp14:sizeRelH>
              </wp:anchor>
            </w:drawing>
          </mc:Choice>
          <mc:Fallback>
            <w:pict>
              <v:shapetype w14:anchorId="7B5B4329" id="_x0000_t202" coordsize="21600,21600" o:spt="202" path="m,l,21600r21600,l21600,xe">
                <v:stroke joinstyle="miter"/>
                <v:path gradientshapeok="t" o:connecttype="rect"/>
              </v:shapetype>
              <v:shape id="TextBox 1" o:spid="_x0000_s1026" type="#_x0000_t202" style="position:absolute;margin-left:111.1pt;margin-top:10.5pt;width:274.5pt;height:30.25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" filled="f" stroked="f">
                <v:textbox style="mso-fit-shape-to-text:t">
                  <w:txbxContent>
                    <w:p w:rsidR="007F3CE2" w:rsidRDefault="007F3CE2" w:rsidP="008F4F27">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v:textbox>
              </v:shape>
            </w:pict>
          </mc:Fallback>
        </mc:AlternateContent>
      </w: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bookmarkEnd w:id="0"/>
    <w:p w:rsidR="008F0C52" w:rsidRDefault="008F0C52">
      <w:pPr>
        <w:pStyle w:val="BodyText"/>
        <w:rPr>
          <w:rFonts w:ascii="Times New Roman"/>
          <w:sz w:val="20"/>
        </w:rPr>
      </w:pPr>
    </w:p>
    <w:p w:rsidR="008F0C52" w:rsidRDefault="008F0C52">
      <w:pPr>
        <w:pStyle w:val="BodyText"/>
        <w:rPr>
          <w:rFonts w:ascii="Times New Roman"/>
          <w:sz w:val="20"/>
        </w:rPr>
      </w:pPr>
    </w:p>
    <w:p w:rsidR="00560156" w:rsidRPr="00C84DAA" w:rsidRDefault="00560156" w:rsidP="00C84DAA">
      <w:pPr>
        <w:pStyle w:val="Title"/>
        <w:spacing w:before="1" w:line="237" w:lineRule="auto"/>
        <w:ind w:left="4021"/>
        <w:jc w:val="center"/>
        <w:rPr>
          <w:sz w:val="32"/>
          <w:szCs w:val="32"/>
        </w:rPr>
      </w:pPr>
      <w:r w:rsidRPr="00C84DAA">
        <w:rPr>
          <w:sz w:val="32"/>
          <w:szCs w:val="32"/>
        </w:rPr>
        <w:t>CONATUS</w:t>
      </w:r>
      <w:r w:rsidRPr="00C84DAA">
        <w:rPr>
          <w:spacing w:val="-14"/>
          <w:sz w:val="32"/>
          <w:szCs w:val="32"/>
        </w:rPr>
        <w:t xml:space="preserve"> </w:t>
      </w:r>
      <w:r w:rsidRPr="00C84DAA">
        <w:rPr>
          <w:sz w:val="32"/>
          <w:szCs w:val="32"/>
        </w:rPr>
        <w:t>FINSERVE</w:t>
      </w:r>
      <w:r w:rsidRPr="00C84DAA">
        <w:rPr>
          <w:spacing w:val="-15"/>
          <w:sz w:val="32"/>
          <w:szCs w:val="32"/>
        </w:rPr>
        <w:t xml:space="preserve"> </w:t>
      </w:r>
      <w:r w:rsidRPr="00C84DAA">
        <w:rPr>
          <w:sz w:val="32"/>
          <w:szCs w:val="32"/>
        </w:rPr>
        <w:t>PRIVATE</w:t>
      </w:r>
      <w:r w:rsidRPr="00C84DAA">
        <w:rPr>
          <w:spacing w:val="-11"/>
          <w:sz w:val="32"/>
          <w:szCs w:val="32"/>
        </w:rPr>
        <w:t xml:space="preserve"> </w:t>
      </w:r>
      <w:r w:rsidRPr="00C84DAA">
        <w:rPr>
          <w:sz w:val="32"/>
          <w:szCs w:val="32"/>
        </w:rPr>
        <w:t xml:space="preserve">LIMITED </w:t>
      </w:r>
      <w:r w:rsidRPr="00C84DAA">
        <w:rPr>
          <w:spacing w:val="-2"/>
          <w:sz w:val="32"/>
          <w:szCs w:val="32"/>
        </w:rPr>
        <w:t>(CFPL)</w:t>
      </w:r>
    </w:p>
    <w:p w:rsidR="00560156" w:rsidRDefault="00560156" w:rsidP="00560156">
      <w:pPr>
        <w:pStyle w:val="BodyText"/>
        <w:spacing w:before="3"/>
        <w:rPr>
          <w:rFonts w:ascii="Times New Roman"/>
          <w:b/>
          <w:sz w:val="40"/>
        </w:rPr>
      </w:pPr>
    </w:p>
    <w:p w:rsidR="007F3CE2" w:rsidRPr="00C84DAA" w:rsidRDefault="007F3CE2" w:rsidP="00C84DAA">
      <w:pPr>
        <w:jc w:val="center"/>
        <w:rPr>
          <w:b/>
          <w:color w:val="984806" w:themeColor="accent6" w:themeShade="80"/>
          <w:sz w:val="48"/>
          <w:szCs w:val="36"/>
        </w:rPr>
      </w:pPr>
      <w:r w:rsidRPr="00C84DAA">
        <w:rPr>
          <w:b/>
          <w:color w:val="984806" w:themeColor="accent6" w:themeShade="80"/>
          <w:sz w:val="48"/>
          <w:szCs w:val="36"/>
        </w:rPr>
        <w:t>Interest Rate Policy</w:t>
      </w:r>
    </w:p>
    <w:p w:rsidR="008F0C52" w:rsidRDefault="008F0C52" w:rsidP="007F3CE2">
      <w:pPr>
        <w:pStyle w:val="BodyText"/>
        <w:jc w:val="center"/>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spacing w:before="87"/>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Pr="00C84DAA" w:rsidRDefault="007F3CE2" w:rsidP="007F3CE2">
      <w:pPr>
        <w:pStyle w:val="BodyText"/>
        <w:rPr>
          <w:b/>
          <w:bCs/>
        </w:rPr>
      </w:pPr>
      <w:bookmarkStart w:id="1" w:name="_Hlk214546681"/>
      <w:r w:rsidRPr="00C84DAA">
        <w:rPr>
          <w:b/>
          <w:bCs/>
        </w:rPr>
        <w:t>Interest Rate Policy</w:t>
      </w:r>
      <w:r w:rsidRPr="00C84DAA">
        <w:rPr>
          <w:b/>
          <w:bCs/>
          <w:spacing w:val="-2"/>
        </w:rPr>
        <w:t>:</w:t>
      </w:r>
    </w:p>
    <w:p w:rsidR="008F0C52" w:rsidRDefault="008F0C52">
      <w:pPr>
        <w:pStyle w:val="BodyText"/>
        <w:spacing w:before="11"/>
        <w:rPr>
          <w:b/>
          <w:sz w:val="1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96"/>
        <w:gridCol w:w="1118"/>
        <w:gridCol w:w="1838"/>
        <w:gridCol w:w="1758"/>
        <w:gridCol w:w="1887"/>
        <w:gridCol w:w="1304"/>
        <w:gridCol w:w="1299"/>
      </w:tblGrid>
      <w:tr w:rsidR="00C84DAA" w:rsidTr="00C84DAA">
        <w:trPr>
          <w:trHeight w:val="542"/>
        </w:trPr>
        <w:tc>
          <w:tcPr>
            <w:tcW w:w="488" w:type="pct"/>
          </w:tcPr>
          <w:p w:rsidR="00C84DAA" w:rsidRPr="00C84DAA" w:rsidRDefault="00C84DAA" w:rsidP="007F3CE2">
            <w:pPr>
              <w:pStyle w:val="TableParagraph"/>
              <w:ind w:left="110"/>
              <w:rPr>
                <w:b/>
                <w:bCs/>
              </w:rPr>
            </w:pPr>
            <w:r w:rsidRPr="00C84DAA">
              <w:rPr>
                <w:b/>
                <w:bCs/>
              </w:rPr>
              <w:t>Version</w:t>
            </w:r>
            <w:r w:rsidRPr="00C84DAA">
              <w:rPr>
                <w:b/>
                <w:bCs/>
                <w:spacing w:val="-4"/>
              </w:rPr>
              <w:t xml:space="preserve"> </w:t>
            </w:r>
            <w:r w:rsidRPr="00C84DAA">
              <w:rPr>
                <w:b/>
                <w:bCs/>
                <w:spacing w:val="-10"/>
              </w:rPr>
              <w:t>#</w:t>
            </w:r>
          </w:p>
        </w:tc>
        <w:tc>
          <w:tcPr>
            <w:tcW w:w="548" w:type="pct"/>
          </w:tcPr>
          <w:p w:rsidR="00C84DAA" w:rsidRPr="00C84DAA" w:rsidRDefault="00C84DAA" w:rsidP="007F3CE2">
            <w:pPr>
              <w:pStyle w:val="TableParagraph"/>
              <w:rPr>
                <w:b/>
                <w:bCs/>
              </w:rPr>
            </w:pPr>
            <w:r w:rsidRPr="00C84DAA">
              <w:rPr>
                <w:b/>
                <w:bCs/>
                <w:spacing w:val="-4"/>
              </w:rPr>
              <w:t>Effective Date</w:t>
            </w:r>
          </w:p>
        </w:tc>
        <w:tc>
          <w:tcPr>
            <w:tcW w:w="901" w:type="pct"/>
          </w:tcPr>
          <w:p w:rsidR="00C84DAA" w:rsidRPr="00C84DAA" w:rsidRDefault="00C84DAA" w:rsidP="007F3CE2">
            <w:pPr>
              <w:pStyle w:val="TableParagraph"/>
              <w:ind w:left="110"/>
              <w:rPr>
                <w:b/>
                <w:bCs/>
              </w:rPr>
            </w:pPr>
            <w:r w:rsidRPr="00C84DAA">
              <w:rPr>
                <w:b/>
                <w:bCs/>
              </w:rPr>
              <w:t>Prepared by</w:t>
            </w:r>
          </w:p>
        </w:tc>
        <w:tc>
          <w:tcPr>
            <w:tcW w:w="862" w:type="pct"/>
          </w:tcPr>
          <w:p w:rsidR="00C84DAA" w:rsidRPr="00C84DAA" w:rsidRDefault="00C84DAA" w:rsidP="007F3CE2">
            <w:pPr>
              <w:pStyle w:val="TableParagraph"/>
              <w:ind w:left="110"/>
              <w:rPr>
                <w:b/>
                <w:bCs/>
              </w:rPr>
            </w:pPr>
            <w:r w:rsidRPr="00C84DAA">
              <w:rPr>
                <w:b/>
                <w:bCs/>
              </w:rPr>
              <w:t>Reviewed by</w:t>
            </w:r>
          </w:p>
        </w:tc>
        <w:tc>
          <w:tcPr>
            <w:tcW w:w="925" w:type="pct"/>
          </w:tcPr>
          <w:p w:rsidR="00C84DAA" w:rsidRPr="00C84DAA" w:rsidRDefault="00C84DAA" w:rsidP="007F3CE2">
            <w:pPr>
              <w:pStyle w:val="TableParagraph"/>
              <w:rPr>
                <w:b/>
                <w:bCs/>
              </w:rPr>
            </w:pPr>
            <w:r w:rsidRPr="00C84DAA">
              <w:rPr>
                <w:b/>
                <w:bCs/>
              </w:rPr>
              <w:t>Approved</w:t>
            </w:r>
            <w:r w:rsidRPr="00C84DAA">
              <w:rPr>
                <w:b/>
                <w:bCs/>
                <w:spacing w:val="-8"/>
              </w:rPr>
              <w:t xml:space="preserve"> </w:t>
            </w:r>
            <w:r w:rsidRPr="00C84DAA">
              <w:rPr>
                <w:b/>
                <w:bCs/>
                <w:spacing w:val="-5"/>
              </w:rPr>
              <w:t>by</w:t>
            </w:r>
          </w:p>
        </w:tc>
        <w:tc>
          <w:tcPr>
            <w:tcW w:w="639" w:type="pct"/>
          </w:tcPr>
          <w:p w:rsidR="00C84DAA" w:rsidRPr="00C84DAA" w:rsidRDefault="00C84DAA" w:rsidP="007F3CE2">
            <w:pPr>
              <w:pStyle w:val="TableParagraph"/>
              <w:rPr>
                <w:b/>
                <w:bCs/>
              </w:rPr>
            </w:pPr>
            <w:r w:rsidRPr="00C84DAA">
              <w:rPr>
                <w:b/>
                <w:bCs/>
              </w:rPr>
              <w:t>Approval</w:t>
            </w:r>
            <w:r w:rsidRPr="00C84DAA">
              <w:rPr>
                <w:b/>
                <w:bCs/>
                <w:spacing w:val="-7"/>
              </w:rPr>
              <w:t xml:space="preserve"> </w:t>
            </w:r>
            <w:r w:rsidRPr="00C84DAA">
              <w:rPr>
                <w:b/>
                <w:bCs/>
                <w:spacing w:val="-4"/>
              </w:rPr>
              <w:t>date</w:t>
            </w:r>
          </w:p>
        </w:tc>
        <w:tc>
          <w:tcPr>
            <w:tcW w:w="639" w:type="pct"/>
          </w:tcPr>
          <w:p w:rsidR="00C84DAA" w:rsidRPr="00C84DAA" w:rsidRDefault="00C84DAA" w:rsidP="007F3CE2">
            <w:pPr>
              <w:pStyle w:val="TableParagraph"/>
              <w:rPr>
                <w:b/>
                <w:bCs/>
              </w:rPr>
            </w:pPr>
            <w:r w:rsidRPr="00C84DAA">
              <w:rPr>
                <w:b/>
                <w:bCs/>
              </w:rPr>
              <w:t>Next Review Date</w:t>
            </w:r>
          </w:p>
        </w:tc>
      </w:tr>
      <w:tr w:rsidR="00C84DAA" w:rsidTr="00C84DAA">
        <w:trPr>
          <w:trHeight w:val="537"/>
        </w:trPr>
        <w:tc>
          <w:tcPr>
            <w:tcW w:w="488" w:type="pct"/>
          </w:tcPr>
          <w:p w:rsidR="00C84DAA" w:rsidRDefault="00C84DAA" w:rsidP="007F3CE2">
            <w:pPr>
              <w:pStyle w:val="TableParagraph"/>
              <w:ind w:left="110"/>
            </w:pPr>
            <w:r>
              <w:rPr>
                <w:spacing w:val="-10"/>
              </w:rPr>
              <w:t>v.2.0</w:t>
            </w:r>
          </w:p>
        </w:tc>
        <w:tc>
          <w:tcPr>
            <w:tcW w:w="548" w:type="pct"/>
          </w:tcPr>
          <w:p w:rsidR="00C84DAA" w:rsidRDefault="00C756F7" w:rsidP="007F3CE2">
            <w:pPr>
              <w:pStyle w:val="TableParagraph"/>
            </w:pPr>
            <w:r>
              <w:t>11- Feb-2026</w:t>
            </w:r>
          </w:p>
        </w:tc>
        <w:tc>
          <w:tcPr>
            <w:tcW w:w="901" w:type="pct"/>
          </w:tcPr>
          <w:p w:rsidR="00C84DAA" w:rsidRDefault="00C84DAA" w:rsidP="007F3CE2">
            <w:pPr>
              <w:pStyle w:val="TableParagraph"/>
              <w:rPr>
                <w:spacing w:val="-4"/>
              </w:rPr>
            </w:pPr>
            <w:r>
              <w:rPr>
                <w:spacing w:val="-4"/>
              </w:rPr>
              <w:t>Pushpa Bhatt</w:t>
            </w:r>
          </w:p>
          <w:p w:rsidR="00C84DAA" w:rsidRDefault="00C84DAA" w:rsidP="007F3CE2">
            <w:pPr>
              <w:pStyle w:val="TableParagraph"/>
            </w:pPr>
            <w:r>
              <w:rPr>
                <w:spacing w:val="-4"/>
              </w:rPr>
              <w:t>Products</w:t>
            </w:r>
          </w:p>
        </w:tc>
        <w:tc>
          <w:tcPr>
            <w:tcW w:w="862" w:type="pct"/>
          </w:tcPr>
          <w:p w:rsidR="00C84DAA" w:rsidRDefault="00C84DAA" w:rsidP="007F3CE2">
            <w:pPr>
              <w:pStyle w:val="TableParagraph"/>
              <w:spacing w:before="0" w:line="270" w:lineRule="atLeast"/>
              <w:ind w:left="110"/>
              <w:rPr>
                <w:spacing w:val="-4"/>
              </w:rPr>
            </w:pPr>
            <w:r>
              <w:rPr>
                <w:spacing w:val="-4"/>
              </w:rPr>
              <w:t>Bhaskar Priyadarshi</w:t>
            </w:r>
          </w:p>
          <w:p w:rsidR="00C84DAA" w:rsidRDefault="00C84DAA" w:rsidP="007F3CE2">
            <w:pPr>
              <w:pStyle w:val="TableParagraph"/>
              <w:spacing w:before="0" w:line="270" w:lineRule="atLeast"/>
              <w:ind w:left="110"/>
            </w:pPr>
            <w:r>
              <w:rPr>
                <w:spacing w:val="-4"/>
              </w:rPr>
              <w:t>MD &amp; CEO</w:t>
            </w:r>
          </w:p>
        </w:tc>
        <w:tc>
          <w:tcPr>
            <w:tcW w:w="925" w:type="pct"/>
          </w:tcPr>
          <w:p w:rsidR="00C84DAA" w:rsidRDefault="00C84DAA" w:rsidP="007F3CE2">
            <w:pPr>
              <w:pStyle w:val="TableParagraph"/>
            </w:pPr>
            <w:r>
              <w:t>Board</w:t>
            </w:r>
            <w:r>
              <w:rPr>
                <w:spacing w:val="-10"/>
              </w:rPr>
              <w:t xml:space="preserve"> </w:t>
            </w:r>
            <w:r>
              <w:t>of</w:t>
            </w:r>
            <w:r>
              <w:rPr>
                <w:spacing w:val="-5"/>
              </w:rPr>
              <w:t xml:space="preserve"> </w:t>
            </w:r>
            <w:r>
              <w:rPr>
                <w:spacing w:val="-2"/>
              </w:rPr>
              <w:t>Directors</w:t>
            </w:r>
          </w:p>
        </w:tc>
        <w:tc>
          <w:tcPr>
            <w:tcW w:w="639" w:type="pct"/>
          </w:tcPr>
          <w:p w:rsidR="00C84DAA" w:rsidRDefault="00C84DAA" w:rsidP="007F3CE2">
            <w:pPr>
              <w:pStyle w:val="TableParagraph"/>
            </w:pPr>
            <w:r>
              <w:t>11-Feb-2026</w:t>
            </w:r>
          </w:p>
        </w:tc>
        <w:tc>
          <w:tcPr>
            <w:tcW w:w="639" w:type="pct"/>
          </w:tcPr>
          <w:p w:rsidR="00C84DAA" w:rsidRDefault="00C84DAA" w:rsidP="007F3CE2">
            <w:pPr>
              <w:pStyle w:val="TableParagraph"/>
            </w:pPr>
            <w:r>
              <w:t>By 28-Feb-2027</w:t>
            </w:r>
          </w:p>
        </w:tc>
      </w:tr>
      <w:tr w:rsidR="00C84DAA" w:rsidTr="00C84DAA">
        <w:trPr>
          <w:trHeight w:val="534"/>
        </w:trPr>
        <w:tc>
          <w:tcPr>
            <w:tcW w:w="488" w:type="pct"/>
          </w:tcPr>
          <w:p w:rsidR="00C84DAA" w:rsidRDefault="00C84DAA" w:rsidP="007F3CE2">
            <w:pPr>
              <w:pStyle w:val="TableParagraph"/>
              <w:spacing w:before="0" w:line="267" w:lineRule="exact"/>
              <w:ind w:left="110"/>
            </w:pPr>
          </w:p>
        </w:tc>
        <w:tc>
          <w:tcPr>
            <w:tcW w:w="548" w:type="pct"/>
          </w:tcPr>
          <w:p w:rsidR="00C84DAA" w:rsidRDefault="00C84DAA" w:rsidP="007F3CE2">
            <w:pPr>
              <w:pStyle w:val="TableParagraph"/>
              <w:spacing w:before="0" w:line="247" w:lineRule="exact"/>
            </w:pPr>
          </w:p>
        </w:tc>
        <w:tc>
          <w:tcPr>
            <w:tcW w:w="901" w:type="pct"/>
          </w:tcPr>
          <w:p w:rsidR="00C84DAA" w:rsidRDefault="00C84DAA" w:rsidP="007F3CE2">
            <w:pPr>
              <w:pStyle w:val="TableParagraph"/>
              <w:spacing w:before="0" w:line="247" w:lineRule="exact"/>
            </w:pPr>
          </w:p>
        </w:tc>
        <w:tc>
          <w:tcPr>
            <w:tcW w:w="862" w:type="pct"/>
          </w:tcPr>
          <w:p w:rsidR="00C84DAA" w:rsidRDefault="00C84DAA" w:rsidP="007F3CE2">
            <w:pPr>
              <w:pStyle w:val="TableParagraph"/>
              <w:spacing w:before="0" w:line="247" w:lineRule="exact"/>
              <w:ind w:left="110"/>
            </w:pPr>
          </w:p>
        </w:tc>
        <w:tc>
          <w:tcPr>
            <w:tcW w:w="925" w:type="pct"/>
          </w:tcPr>
          <w:p w:rsidR="00C84DAA" w:rsidRDefault="00C84DAA" w:rsidP="007F3CE2">
            <w:pPr>
              <w:pStyle w:val="TableParagraph"/>
              <w:spacing w:before="0" w:line="267" w:lineRule="exact"/>
            </w:pPr>
          </w:p>
        </w:tc>
        <w:tc>
          <w:tcPr>
            <w:tcW w:w="639" w:type="pct"/>
          </w:tcPr>
          <w:p w:rsidR="00C84DAA" w:rsidRDefault="00C84DAA" w:rsidP="007F3CE2">
            <w:pPr>
              <w:pStyle w:val="TableParagraph"/>
              <w:spacing w:before="0" w:line="267" w:lineRule="exact"/>
            </w:pPr>
          </w:p>
        </w:tc>
        <w:tc>
          <w:tcPr>
            <w:tcW w:w="639" w:type="pct"/>
          </w:tcPr>
          <w:p w:rsidR="00C84DAA" w:rsidRDefault="00C84DAA" w:rsidP="007F3CE2">
            <w:pPr>
              <w:pStyle w:val="TableParagraph"/>
              <w:spacing w:before="0" w:line="267" w:lineRule="exact"/>
            </w:pPr>
          </w:p>
        </w:tc>
      </w:tr>
      <w:tr w:rsidR="00C84DAA" w:rsidTr="00C84DAA">
        <w:trPr>
          <w:trHeight w:val="537"/>
        </w:trPr>
        <w:tc>
          <w:tcPr>
            <w:tcW w:w="488" w:type="pct"/>
          </w:tcPr>
          <w:p w:rsidR="00C84DAA" w:rsidRDefault="00C84DAA" w:rsidP="007F3CE2">
            <w:pPr>
              <w:pStyle w:val="TableParagraph"/>
              <w:ind w:left="110"/>
            </w:pPr>
          </w:p>
        </w:tc>
        <w:tc>
          <w:tcPr>
            <w:tcW w:w="548" w:type="pct"/>
          </w:tcPr>
          <w:p w:rsidR="00C84DAA" w:rsidRDefault="00C84DAA" w:rsidP="007F3CE2">
            <w:pPr>
              <w:pStyle w:val="TableParagraph"/>
              <w:spacing w:before="0" w:line="247" w:lineRule="exact"/>
            </w:pPr>
          </w:p>
        </w:tc>
        <w:tc>
          <w:tcPr>
            <w:tcW w:w="901" w:type="pct"/>
          </w:tcPr>
          <w:p w:rsidR="00C84DAA" w:rsidRDefault="00C84DAA" w:rsidP="007F3CE2">
            <w:pPr>
              <w:pStyle w:val="TableParagraph"/>
            </w:pPr>
          </w:p>
        </w:tc>
        <w:tc>
          <w:tcPr>
            <w:tcW w:w="862" w:type="pct"/>
          </w:tcPr>
          <w:p w:rsidR="00C84DAA" w:rsidRDefault="00C84DAA" w:rsidP="007F3CE2">
            <w:pPr>
              <w:pStyle w:val="TableParagraph"/>
              <w:spacing w:before="0" w:line="270" w:lineRule="atLeast"/>
              <w:ind w:left="110"/>
            </w:pPr>
          </w:p>
        </w:tc>
        <w:tc>
          <w:tcPr>
            <w:tcW w:w="925" w:type="pct"/>
          </w:tcPr>
          <w:p w:rsidR="00C84DAA" w:rsidRDefault="00C84DAA" w:rsidP="007F3CE2">
            <w:pPr>
              <w:pStyle w:val="TableParagraph"/>
            </w:pPr>
          </w:p>
        </w:tc>
        <w:tc>
          <w:tcPr>
            <w:tcW w:w="639" w:type="pct"/>
          </w:tcPr>
          <w:p w:rsidR="00C84DAA" w:rsidRDefault="00C84DAA" w:rsidP="007F3CE2">
            <w:pPr>
              <w:pStyle w:val="TableParagraph"/>
            </w:pPr>
          </w:p>
        </w:tc>
        <w:tc>
          <w:tcPr>
            <w:tcW w:w="639" w:type="pct"/>
          </w:tcPr>
          <w:p w:rsidR="00C84DAA" w:rsidRDefault="00C84DAA" w:rsidP="007F3CE2">
            <w:pPr>
              <w:pStyle w:val="TableParagraph"/>
            </w:pPr>
          </w:p>
        </w:tc>
      </w:tr>
      <w:bookmarkEnd w:id="1"/>
    </w:tbl>
    <w:p w:rsidR="008F0C52" w:rsidRDefault="008F0C52">
      <w:pPr>
        <w:pStyle w:val="TableParagraph"/>
        <w:sectPr w:rsidR="008F0C52">
          <w:headerReference w:type="default" r:id="rId8"/>
          <w:footerReference w:type="default" r:id="rId9"/>
          <w:pgSz w:w="11910" w:h="16840"/>
          <w:pgMar w:top="960" w:right="708" w:bottom="1220" w:left="992" w:header="752" w:footer="1026" w:gutter="0"/>
          <w:pgBorders w:offsetFrom="page">
            <w:top w:val="single" w:sz="4" w:space="24" w:color="000000"/>
            <w:left w:val="single" w:sz="4" w:space="24" w:color="000000"/>
            <w:bottom w:val="single" w:sz="4" w:space="24" w:color="000000"/>
            <w:right w:val="single" w:sz="4" w:space="24" w:color="000000"/>
          </w:pgBorders>
          <w:cols w:space="720"/>
        </w:sectPr>
      </w:pPr>
    </w:p>
    <w:p w:rsidR="008F0C52" w:rsidRDefault="008F0C52">
      <w:pPr>
        <w:pStyle w:val="BodyText"/>
        <w:spacing w:before="75"/>
        <w:rPr>
          <w:b/>
          <w:sz w:val="32"/>
        </w:rPr>
      </w:pPr>
    </w:p>
    <w:p w:rsidR="008F0C52" w:rsidRPr="007F3CE2" w:rsidRDefault="00000000">
      <w:pPr>
        <w:ind w:left="448"/>
        <w:rPr>
          <w:b/>
          <w:color w:val="984806" w:themeColor="accent6" w:themeShade="80"/>
          <w:sz w:val="32"/>
        </w:rPr>
      </w:pPr>
      <w:r w:rsidRPr="007F3CE2">
        <w:rPr>
          <w:b/>
          <w:color w:val="984806" w:themeColor="accent6" w:themeShade="80"/>
          <w:sz w:val="32"/>
        </w:rPr>
        <w:t>Table</w:t>
      </w:r>
      <w:r w:rsidRPr="007F3CE2">
        <w:rPr>
          <w:b/>
          <w:color w:val="984806" w:themeColor="accent6" w:themeShade="80"/>
          <w:spacing w:val="-3"/>
          <w:sz w:val="32"/>
        </w:rPr>
        <w:t xml:space="preserve"> </w:t>
      </w:r>
      <w:r w:rsidRPr="007F3CE2">
        <w:rPr>
          <w:b/>
          <w:color w:val="984806" w:themeColor="accent6" w:themeShade="80"/>
          <w:sz w:val="32"/>
        </w:rPr>
        <w:t>of</w:t>
      </w:r>
      <w:r w:rsidRPr="007F3CE2">
        <w:rPr>
          <w:b/>
          <w:color w:val="984806" w:themeColor="accent6" w:themeShade="80"/>
          <w:spacing w:val="-4"/>
          <w:sz w:val="32"/>
        </w:rPr>
        <w:t xml:space="preserve"> </w:t>
      </w:r>
      <w:r w:rsidRPr="007F3CE2">
        <w:rPr>
          <w:b/>
          <w:color w:val="984806" w:themeColor="accent6" w:themeShade="80"/>
          <w:spacing w:val="-2"/>
          <w:sz w:val="32"/>
        </w:rPr>
        <w:t>Contents</w:t>
      </w:r>
    </w:p>
    <w:sdt>
      <w:sdtPr>
        <w:id w:val="317845806"/>
        <w:docPartObj>
          <w:docPartGallery w:val="Table of Contents"/>
          <w:docPartUnique/>
        </w:docPartObj>
      </w:sdtPr>
      <w:sdtContent>
        <w:p w:rsidR="008F0C52" w:rsidRDefault="008F0C52">
          <w:pPr>
            <w:pStyle w:val="TOC1"/>
            <w:tabs>
              <w:tab w:val="right" w:leader="dot" w:pos="9468"/>
            </w:tabs>
            <w:spacing w:before="36"/>
          </w:pPr>
          <w:hyperlink w:anchor="_bookmark0" w:history="1">
            <w:r>
              <w:rPr>
                <w:spacing w:val="-2"/>
              </w:rPr>
              <w:t>Introduction</w:t>
            </w:r>
            <w:r>
              <w:tab/>
            </w:r>
          </w:hyperlink>
          <w:r w:rsidR="00852D10">
            <w:t>3</w:t>
          </w:r>
        </w:p>
        <w:p w:rsidR="008F0C52" w:rsidRDefault="008F0C52">
          <w:pPr>
            <w:pStyle w:val="TOC1"/>
            <w:tabs>
              <w:tab w:val="right" w:leader="dot" w:pos="9468"/>
            </w:tabs>
          </w:pPr>
          <w:hyperlink w:anchor="_bookmark1" w:history="1">
            <w:r>
              <w:t>Interest</w:t>
            </w:r>
            <w:r>
              <w:rPr>
                <w:spacing w:val="-8"/>
              </w:rPr>
              <w:t xml:space="preserve"> </w:t>
            </w:r>
            <w:r>
              <w:t>Rate</w:t>
            </w:r>
            <w:r>
              <w:rPr>
                <w:spacing w:val="-5"/>
              </w:rPr>
              <w:t xml:space="preserve"> </w:t>
            </w:r>
            <w:r>
              <w:rPr>
                <w:spacing w:val="-2"/>
              </w:rPr>
              <w:t>Determination</w:t>
            </w:r>
            <w:r>
              <w:tab/>
            </w:r>
          </w:hyperlink>
          <w:r w:rsidR="00852D10">
            <w:t>3</w:t>
          </w:r>
        </w:p>
        <w:p w:rsidR="008F0C52" w:rsidRDefault="008F0C52">
          <w:pPr>
            <w:pStyle w:val="TOC1"/>
            <w:tabs>
              <w:tab w:val="right" w:leader="dot" w:pos="9468"/>
            </w:tabs>
            <w:spacing w:before="121"/>
          </w:pPr>
          <w:hyperlink w:anchor="_bookmark2" w:history="1">
            <w:r>
              <w:t>Communication</w:t>
            </w:r>
            <w:r>
              <w:rPr>
                <w:spacing w:val="-10"/>
              </w:rPr>
              <w:t xml:space="preserve"> </w:t>
            </w:r>
            <w:r>
              <w:t>of</w:t>
            </w:r>
            <w:r>
              <w:rPr>
                <w:spacing w:val="-10"/>
              </w:rPr>
              <w:t xml:space="preserve"> </w:t>
            </w:r>
            <w:r>
              <w:t>Interest</w:t>
            </w:r>
            <w:r>
              <w:rPr>
                <w:spacing w:val="-10"/>
              </w:rPr>
              <w:t xml:space="preserve"> </w:t>
            </w:r>
            <w:r>
              <w:rPr>
                <w:spacing w:val="-4"/>
              </w:rPr>
              <w:t>Rates</w:t>
            </w:r>
            <w:r>
              <w:tab/>
            </w:r>
          </w:hyperlink>
          <w:r w:rsidR="00852D10">
            <w:t>3</w:t>
          </w:r>
        </w:p>
        <w:p w:rsidR="008F0C52" w:rsidRDefault="008F0C52">
          <w:pPr>
            <w:pStyle w:val="TOC1"/>
            <w:tabs>
              <w:tab w:val="right" w:leader="dot" w:pos="9468"/>
            </w:tabs>
          </w:pPr>
          <w:hyperlink w:anchor="_bookmark3" w:history="1">
            <w:r>
              <w:t>Review</w:t>
            </w:r>
            <w:r>
              <w:rPr>
                <w:spacing w:val="-4"/>
              </w:rPr>
              <w:t xml:space="preserve"> </w:t>
            </w:r>
            <w:r>
              <w:t>&amp;</w:t>
            </w:r>
            <w:r>
              <w:rPr>
                <w:spacing w:val="-5"/>
              </w:rPr>
              <w:t xml:space="preserve"> </w:t>
            </w:r>
            <w:r>
              <w:rPr>
                <w:spacing w:val="-2"/>
              </w:rPr>
              <w:t>Revision</w:t>
            </w:r>
            <w:r>
              <w:tab/>
            </w:r>
          </w:hyperlink>
          <w:r w:rsidR="00852D10">
            <w:t>3</w:t>
          </w:r>
        </w:p>
        <w:p w:rsidR="008F0C52" w:rsidRDefault="008F0C52">
          <w:pPr>
            <w:pStyle w:val="TOC1"/>
            <w:tabs>
              <w:tab w:val="right" w:leader="dot" w:pos="9468"/>
            </w:tabs>
            <w:spacing w:before="125"/>
          </w:pPr>
          <w:hyperlink w:anchor="_bookmark4" w:history="1">
            <w:r>
              <w:t>Grievance</w:t>
            </w:r>
            <w:r>
              <w:rPr>
                <w:spacing w:val="-5"/>
              </w:rPr>
              <w:t xml:space="preserve"> </w:t>
            </w:r>
            <w:r>
              <w:rPr>
                <w:spacing w:val="-2"/>
              </w:rPr>
              <w:t>Redressal</w:t>
            </w:r>
            <w:r>
              <w:tab/>
            </w:r>
          </w:hyperlink>
          <w:r w:rsidR="00852D10">
            <w:t>4</w:t>
          </w:r>
        </w:p>
      </w:sdtContent>
    </w:sdt>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FF440A">
      <w:pPr>
        <w:pStyle w:val="BodyText"/>
        <w:rPr>
          <w:sz w:val="20"/>
        </w:rPr>
      </w:pPr>
      <w:r>
        <w:rPr>
          <w:sz w:val="20"/>
        </w:rPr>
        <w:t>Reference:</w:t>
      </w:r>
    </w:p>
    <w:p w:rsidR="00FF440A" w:rsidRDefault="00FF440A">
      <w:pPr>
        <w:pStyle w:val="BodyText"/>
        <w:rPr>
          <w:sz w:val="20"/>
        </w:rPr>
      </w:pPr>
      <w:r w:rsidRPr="00FF440A">
        <w:rPr>
          <w:sz w:val="20"/>
        </w:rPr>
        <w:t>Master Direction – Reserve Bank of India (Non-Banking Financial Company – Scale Based Regulation) Directions, 2023</w:t>
      </w:r>
    </w:p>
    <w:p w:rsidR="00FF440A" w:rsidRDefault="00FF440A">
      <w:pPr>
        <w:pStyle w:val="BodyText"/>
        <w:rPr>
          <w:sz w:val="20"/>
        </w:rPr>
      </w:pPr>
      <w:r w:rsidRPr="00FF440A">
        <w:rPr>
          <w:sz w:val="20"/>
        </w:rPr>
        <w:t xml:space="preserve">RBI/DoR/2023-24/106 DoR.FIN.REC.No.45/03.10.119/2023-24 </w:t>
      </w:r>
      <w:r>
        <w:rPr>
          <w:sz w:val="20"/>
        </w:rPr>
        <w:t xml:space="preserve">dt. </w:t>
      </w:r>
      <w:r w:rsidRPr="00FF440A">
        <w:rPr>
          <w:sz w:val="20"/>
        </w:rPr>
        <w:t>October 19, 2023 (Updated as on July 17, 2025)</w:t>
      </w: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spacing w:before="76"/>
        <w:rPr>
          <w:sz w:val="20"/>
        </w:rPr>
      </w:pPr>
    </w:p>
    <w:p w:rsidR="008F0C52" w:rsidRPr="007F3CE2" w:rsidRDefault="00000000">
      <w:pPr>
        <w:pStyle w:val="Heading1"/>
        <w:rPr>
          <w:color w:val="984806" w:themeColor="accent6" w:themeShade="80"/>
        </w:rPr>
      </w:pPr>
      <w:bookmarkStart w:id="2" w:name="_bookmark0"/>
      <w:bookmarkEnd w:id="2"/>
      <w:r w:rsidRPr="007F3CE2">
        <w:rPr>
          <w:color w:val="984806" w:themeColor="accent6" w:themeShade="80"/>
          <w:spacing w:val="-2"/>
        </w:rPr>
        <w:t>Introduction:</w:t>
      </w:r>
    </w:p>
    <w:p w:rsidR="008F0C52" w:rsidRDefault="007F3CE2">
      <w:pPr>
        <w:pStyle w:val="BodyText"/>
        <w:spacing w:before="36" w:line="259" w:lineRule="auto"/>
        <w:ind w:left="448" w:right="729"/>
        <w:jc w:val="both"/>
      </w:pPr>
      <w:r>
        <w:rPr>
          <w:color w:val="374151"/>
        </w:rPr>
        <w:t>Conatus Finserve Private Limited (CFPL</w:t>
      </w:r>
      <w:r w:rsidR="00FF440A">
        <w:rPr>
          <w:color w:val="374151"/>
        </w:rPr>
        <w:t>/ the Company/ the NBFC</w:t>
      </w:r>
      <w:r>
        <w:rPr>
          <w:color w:val="374151"/>
        </w:rPr>
        <w:t>) is committed to transparent and responsible lending practices.</w:t>
      </w:r>
      <w:r>
        <w:rPr>
          <w:color w:val="374151"/>
          <w:spacing w:val="-13"/>
        </w:rPr>
        <w:t xml:space="preserve"> </w:t>
      </w:r>
      <w:r>
        <w:rPr>
          <w:color w:val="374151"/>
        </w:rPr>
        <w:t>This</w:t>
      </w:r>
      <w:r>
        <w:rPr>
          <w:color w:val="374151"/>
          <w:spacing w:val="-12"/>
        </w:rPr>
        <w:t xml:space="preserve"> </w:t>
      </w:r>
      <w:r>
        <w:rPr>
          <w:color w:val="374151"/>
        </w:rPr>
        <w:t>Interest</w:t>
      </w:r>
      <w:r>
        <w:rPr>
          <w:color w:val="374151"/>
          <w:spacing w:val="-13"/>
        </w:rPr>
        <w:t xml:space="preserve"> </w:t>
      </w:r>
      <w:r>
        <w:rPr>
          <w:color w:val="374151"/>
        </w:rPr>
        <w:t>Rate</w:t>
      </w:r>
      <w:r>
        <w:rPr>
          <w:color w:val="374151"/>
          <w:spacing w:val="-12"/>
        </w:rPr>
        <w:t xml:space="preserve"> </w:t>
      </w:r>
      <w:r>
        <w:rPr>
          <w:color w:val="374151"/>
        </w:rPr>
        <w:t>Policy</w:t>
      </w:r>
      <w:r>
        <w:rPr>
          <w:color w:val="374151"/>
          <w:spacing w:val="-13"/>
        </w:rPr>
        <w:t xml:space="preserve"> </w:t>
      </w:r>
      <w:r>
        <w:rPr>
          <w:color w:val="374151"/>
        </w:rPr>
        <w:t>outlines</w:t>
      </w:r>
      <w:r>
        <w:rPr>
          <w:color w:val="374151"/>
          <w:spacing w:val="-12"/>
        </w:rPr>
        <w:t xml:space="preserve"> </w:t>
      </w:r>
      <w:r>
        <w:rPr>
          <w:color w:val="374151"/>
        </w:rPr>
        <w:t>the</w:t>
      </w:r>
      <w:r>
        <w:rPr>
          <w:color w:val="374151"/>
          <w:spacing w:val="-13"/>
        </w:rPr>
        <w:t xml:space="preserve"> </w:t>
      </w:r>
      <w:r>
        <w:rPr>
          <w:color w:val="374151"/>
        </w:rPr>
        <w:t>principles</w:t>
      </w:r>
      <w:r>
        <w:rPr>
          <w:color w:val="374151"/>
          <w:spacing w:val="-12"/>
        </w:rPr>
        <w:t xml:space="preserve"> </w:t>
      </w:r>
      <w:r>
        <w:rPr>
          <w:color w:val="374151"/>
        </w:rPr>
        <w:t>governing</w:t>
      </w:r>
      <w:r>
        <w:rPr>
          <w:color w:val="374151"/>
          <w:spacing w:val="-12"/>
        </w:rPr>
        <w:t xml:space="preserve"> </w:t>
      </w:r>
      <w:r>
        <w:rPr>
          <w:color w:val="374151"/>
        </w:rPr>
        <w:t>the</w:t>
      </w:r>
      <w:r>
        <w:rPr>
          <w:color w:val="374151"/>
          <w:spacing w:val="-13"/>
        </w:rPr>
        <w:t xml:space="preserve"> </w:t>
      </w:r>
      <w:r>
        <w:rPr>
          <w:color w:val="374151"/>
        </w:rPr>
        <w:t>determination</w:t>
      </w:r>
      <w:r>
        <w:rPr>
          <w:color w:val="374151"/>
          <w:spacing w:val="-12"/>
        </w:rPr>
        <w:t xml:space="preserve"> </w:t>
      </w:r>
      <w:r>
        <w:rPr>
          <w:color w:val="374151"/>
        </w:rPr>
        <w:t>of</w:t>
      </w:r>
      <w:r>
        <w:rPr>
          <w:color w:val="374151"/>
          <w:spacing w:val="-13"/>
        </w:rPr>
        <w:t xml:space="preserve"> </w:t>
      </w:r>
      <w:r>
        <w:rPr>
          <w:color w:val="374151"/>
        </w:rPr>
        <w:t>interest</w:t>
      </w:r>
      <w:r>
        <w:rPr>
          <w:color w:val="374151"/>
          <w:spacing w:val="-12"/>
        </w:rPr>
        <w:t xml:space="preserve"> </w:t>
      </w:r>
      <w:r>
        <w:rPr>
          <w:color w:val="374151"/>
        </w:rPr>
        <w:t xml:space="preserve">rates for our financial products, in accordance with the regulations set forth by the Reserve Bank of India </w:t>
      </w:r>
      <w:r>
        <w:rPr>
          <w:color w:val="374151"/>
          <w:spacing w:val="-2"/>
        </w:rPr>
        <w:t>(RBI).</w:t>
      </w:r>
    </w:p>
    <w:p w:rsidR="008F0C52" w:rsidRDefault="007F3CE2">
      <w:pPr>
        <w:pStyle w:val="BodyText"/>
        <w:spacing w:before="160" w:line="256" w:lineRule="auto"/>
        <w:ind w:left="448" w:right="735"/>
        <w:jc w:val="both"/>
      </w:pPr>
      <w:r>
        <w:rPr>
          <w:color w:val="374151"/>
        </w:rPr>
        <w:t>CFPL shall adhere to all applicable RBI regulations and guidelines regarding interest rates, ensuring compliance with the statutory framework governing financial institutions.</w:t>
      </w:r>
    </w:p>
    <w:p w:rsidR="008F0C52" w:rsidRPr="007F3CE2" w:rsidRDefault="00000000">
      <w:pPr>
        <w:pStyle w:val="Heading1"/>
        <w:spacing w:before="242"/>
        <w:rPr>
          <w:color w:val="984806" w:themeColor="accent6" w:themeShade="80"/>
        </w:rPr>
      </w:pPr>
      <w:bookmarkStart w:id="3" w:name="_bookmark1"/>
      <w:bookmarkEnd w:id="3"/>
      <w:r w:rsidRPr="007F3CE2">
        <w:rPr>
          <w:color w:val="984806" w:themeColor="accent6" w:themeShade="80"/>
        </w:rPr>
        <w:t>Interest</w:t>
      </w:r>
      <w:r w:rsidRPr="007F3CE2">
        <w:rPr>
          <w:color w:val="984806" w:themeColor="accent6" w:themeShade="80"/>
          <w:spacing w:val="-8"/>
        </w:rPr>
        <w:t xml:space="preserve"> </w:t>
      </w:r>
      <w:r w:rsidRPr="007F3CE2">
        <w:rPr>
          <w:color w:val="984806" w:themeColor="accent6" w:themeShade="80"/>
        </w:rPr>
        <w:t>Rate</w:t>
      </w:r>
      <w:r w:rsidRPr="007F3CE2">
        <w:rPr>
          <w:color w:val="984806" w:themeColor="accent6" w:themeShade="80"/>
          <w:spacing w:val="-6"/>
        </w:rPr>
        <w:t xml:space="preserve"> </w:t>
      </w:r>
      <w:r w:rsidRPr="007F3CE2">
        <w:rPr>
          <w:color w:val="984806" w:themeColor="accent6" w:themeShade="80"/>
          <w:spacing w:val="-2"/>
        </w:rPr>
        <w:t>Determination</w:t>
      </w:r>
    </w:p>
    <w:p w:rsidR="008F0C52" w:rsidRDefault="00000000">
      <w:pPr>
        <w:pStyle w:val="BodyText"/>
        <w:spacing w:before="31" w:line="261" w:lineRule="auto"/>
        <w:ind w:left="448" w:right="739"/>
        <w:jc w:val="both"/>
      </w:pPr>
      <w:r>
        <w:rPr>
          <w:color w:val="374151"/>
        </w:rPr>
        <w:t>Interest rates for our financial products will be determined based on a combination of factors, including but not limited to:</w:t>
      </w:r>
    </w:p>
    <w:p w:rsidR="008F0C52" w:rsidRDefault="00000000">
      <w:pPr>
        <w:pStyle w:val="ListParagraph"/>
        <w:numPr>
          <w:ilvl w:val="0"/>
          <w:numId w:val="1"/>
        </w:numPr>
        <w:tabs>
          <w:tab w:val="left" w:pos="1166"/>
          <w:tab w:val="left" w:pos="1168"/>
        </w:tabs>
        <w:spacing w:before="157" w:line="256" w:lineRule="auto"/>
        <w:ind w:left="1168" w:right="738"/>
      </w:pPr>
      <w:r>
        <w:rPr>
          <w:b/>
          <w:color w:val="374151"/>
        </w:rPr>
        <w:t>Cost of Funds</w:t>
      </w:r>
      <w:r>
        <w:rPr>
          <w:color w:val="374151"/>
        </w:rPr>
        <w:t xml:space="preserve">: The interest rates will reflect the cost of obtaining funds to finance lending </w:t>
      </w:r>
      <w:r>
        <w:rPr>
          <w:color w:val="374151"/>
          <w:spacing w:val="-2"/>
        </w:rPr>
        <w:t>activities.</w:t>
      </w:r>
    </w:p>
    <w:p w:rsidR="008F0C52" w:rsidRDefault="00000000">
      <w:pPr>
        <w:pStyle w:val="ListParagraph"/>
        <w:numPr>
          <w:ilvl w:val="0"/>
          <w:numId w:val="1"/>
        </w:numPr>
        <w:tabs>
          <w:tab w:val="left" w:pos="1166"/>
          <w:tab w:val="left" w:pos="1168"/>
        </w:tabs>
        <w:spacing w:before="9" w:line="252" w:lineRule="auto"/>
        <w:ind w:left="1168" w:right="729"/>
      </w:pPr>
      <w:r>
        <w:rPr>
          <w:b/>
          <w:color w:val="374151"/>
        </w:rPr>
        <w:t>Risk</w:t>
      </w:r>
      <w:r w:rsidR="006D7FC0">
        <w:rPr>
          <w:b/>
          <w:color w:val="374151"/>
        </w:rPr>
        <w:t xml:space="preserve"> Premium</w:t>
      </w:r>
      <w:r>
        <w:rPr>
          <w:b/>
          <w:color w:val="374151"/>
        </w:rPr>
        <w:t>:</w:t>
      </w:r>
      <w:r>
        <w:rPr>
          <w:b/>
          <w:color w:val="374151"/>
          <w:spacing w:val="-12"/>
        </w:rPr>
        <w:t xml:space="preserve"> </w:t>
      </w:r>
      <w:r>
        <w:rPr>
          <w:color w:val="374151"/>
        </w:rPr>
        <w:t>The</w:t>
      </w:r>
      <w:r>
        <w:rPr>
          <w:color w:val="374151"/>
          <w:spacing w:val="-12"/>
        </w:rPr>
        <w:t xml:space="preserve"> </w:t>
      </w:r>
      <w:r>
        <w:rPr>
          <w:color w:val="374151"/>
        </w:rPr>
        <w:t>level</w:t>
      </w:r>
      <w:r>
        <w:rPr>
          <w:color w:val="374151"/>
          <w:spacing w:val="-10"/>
        </w:rPr>
        <w:t xml:space="preserve"> </w:t>
      </w:r>
      <w:r>
        <w:rPr>
          <w:color w:val="374151"/>
        </w:rPr>
        <w:t>of</w:t>
      </w:r>
      <w:r>
        <w:rPr>
          <w:color w:val="374151"/>
          <w:spacing w:val="-13"/>
        </w:rPr>
        <w:t xml:space="preserve"> </w:t>
      </w:r>
      <w:r>
        <w:rPr>
          <w:color w:val="374151"/>
        </w:rPr>
        <w:t>risk</w:t>
      </w:r>
      <w:r>
        <w:rPr>
          <w:color w:val="374151"/>
          <w:spacing w:val="-12"/>
        </w:rPr>
        <w:t xml:space="preserve"> </w:t>
      </w:r>
      <w:r>
        <w:rPr>
          <w:color w:val="374151"/>
        </w:rPr>
        <w:t>associated</w:t>
      </w:r>
      <w:r>
        <w:rPr>
          <w:color w:val="374151"/>
          <w:spacing w:val="-12"/>
        </w:rPr>
        <w:t xml:space="preserve"> </w:t>
      </w:r>
      <w:r>
        <w:rPr>
          <w:color w:val="374151"/>
        </w:rPr>
        <w:t>with</w:t>
      </w:r>
      <w:r>
        <w:rPr>
          <w:color w:val="374151"/>
          <w:spacing w:val="-13"/>
        </w:rPr>
        <w:t xml:space="preserve"> </w:t>
      </w:r>
      <w:r>
        <w:rPr>
          <w:color w:val="374151"/>
        </w:rPr>
        <w:t>the</w:t>
      </w:r>
      <w:r>
        <w:rPr>
          <w:color w:val="374151"/>
          <w:spacing w:val="-11"/>
        </w:rPr>
        <w:t xml:space="preserve"> </w:t>
      </w:r>
      <w:r>
        <w:rPr>
          <w:color w:val="374151"/>
        </w:rPr>
        <w:t>borrower</w:t>
      </w:r>
      <w:r>
        <w:rPr>
          <w:color w:val="374151"/>
          <w:spacing w:val="-13"/>
        </w:rPr>
        <w:t xml:space="preserve"> </w:t>
      </w:r>
      <w:r>
        <w:rPr>
          <w:color w:val="374151"/>
        </w:rPr>
        <w:t>and</w:t>
      </w:r>
      <w:r>
        <w:rPr>
          <w:color w:val="374151"/>
          <w:spacing w:val="-12"/>
        </w:rPr>
        <w:t xml:space="preserve"> </w:t>
      </w:r>
      <w:r>
        <w:rPr>
          <w:color w:val="374151"/>
        </w:rPr>
        <w:t>the</w:t>
      </w:r>
      <w:r>
        <w:rPr>
          <w:color w:val="374151"/>
          <w:spacing w:val="-12"/>
        </w:rPr>
        <w:t xml:space="preserve"> </w:t>
      </w:r>
      <w:r>
        <w:rPr>
          <w:color w:val="374151"/>
        </w:rPr>
        <w:t>nature</w:t>
      </w:r>
      <w:r>
        <w:rPr>
          <w:color w:val="374151"/>
          <w:spacing w:val="-12"/>
        </w:rPr>
        <w:t xml:space="preserve"> </w:t>
      </w:r>
      <w:r>
        <w:rPr>
          <w:color w:val="374151"/>
        </w:rPr>
        <w:t>of</w:t>
      </w:r>
      <w:r>
        <w:rPr>
          <w:color w:val="374151"/>
          <w:spacing w:val="-13"/>
        </w:rPr>
        <w:t xml:space="preserve"> </w:t>
      </w:r>
      <w:r>
        <w:rPr>
          <w:color w:val="374151"/>
        </w:rPr>
        <w:t>the</w:t>
      </w:r>
      <w:r>
        <w:rPr>
          <w:color w:val="374151"/>
          <w:spacing w:val="-12"/>
        </w:rPr>
        <w:t xml:space="preserve"> </w:t>
      </w:r>
      <w:r>
        <w:rPr>
          <w:color w:val="374151"/>
        </w:rPr>
        <w:t>financial product will be considered in determining interest rates.</w:t>
      </w:r>
    </w:p>
    <w:p w:rsidR="008F0C52" w:rsidRDefault="00000000">
      <w:pPr>
        <w:pStyle w:val="ListParagraph"/>
        <w:numPr>
          <w:ilvl w:val="0"/>
          <w:numId w:val="1"/>
        </w:numPr>
        <w:tabs>
          <w:tab w:val="left" w:pos="1166"/>
          <w:tab w:val="left" w:pos="1168"/>
        </w:tabs>
        <w:spacing w:before="15" w:line="256" w:lineRule="auto"/>
        <w:ind w:left="1168" w:right="730"/>
      </w:pPr>
      <w:r>
        <w:rPr>
          <w:b/>
          <w:color w:val="374151"/>
        </w:rPr>
        <w:t xml:space="preserve">Market Conditions: </w:t>
      </w:r>
      <w:r>
        <w:rPr>
          <w:color w:val="374151"/>
        </w:rPr>
        <w:t>Interest rates may be influenced by prevailing market conditions, ensuring competitiveness within the financial industry.</w:t>
      </w:r>
    </w:p>
    <w:p w:rsidR="008F0C52" w:rsidRDefault="00000000">
      <w:pPr>
        <w:pStyle w:val="ListParagraph"/>
        <w:numPr>
          <w:ilvl w:val="0"/>
          <w:numId w:val="1"/>
        </w:numPr>
        <w:tabs>
          <w:tab w:val="left" w:pos="1166"/>
          <w:tab w:val="left" w:pos="1168"/>
        </w:tabs>
        <w:spacing w:line="256" w:lineRule="auto"/>
        <w:ind w:left="1168" w:right="728"/>
      </w:pPr>
      <w:r>
        <w:rPr>
          <w:b/>
          <w:color w:val="374151"/>
        </w:rPr>
        <w:t>Operational</w:t>
      </w:r>
      <w:r>
        <w:rPr>
          <w:b/>
          <w:color w:val="374151"/>
          <w:spacing w:val="-4"/>
        </w:rPr>
        <w:t xml:space="preserve"> </w:t>
      </w:r>
      <w:r>
        <w:rPr>
          <w:b/>
          <w:color w:val="374151"/>
        </w:rPr>
        <w:t xml:space="preserve">Costs: </w:t>
      </w:r>
      <w:r>
        <w:rPr>
          <w:color w:val="374151"/>
        </w:rPr>
        <w:t>The</w:t>
      </w:r>
      <w:r>
        <w:rPr>
          <w:color w:val="374151"/>
          <w:spacing w:val="-2"/>
        </w:rPr>
        <w:t xml:space="preserve"> </w:t>
      </w:r>
      <w:r>
        <w:rPr>
          <w:color w:val="374151"/>
        </w:rPr>
        <w:t>costs</w:t>
      </w:r>
      <w:r>
        <w:rPr>
          <w:color w:val="374151"/>
          <w:spacing w:val="-2"/>
        </w:rPr>
        <w:t xml:space="preserve"> </w:t>
      </w:r>
      <w:r>
        <w:rPr>
          <w:color w:val="374151"/>
        </w:rPr>
        <w:t>associated</w:t>
      </w:r>
      <w:r>
        <w:rPr>
          <w:color w:val="374151"/>
          <w:spacing w:val="-3"/>
        </w:rPr>
        <w:t xml:space="preserve"> </w:t>
      </w:r>
      <w:r>
        <w:rPr>
          <w:color w:val="374151"/>
        </w:rPr>
        <w:t>with the</w:t>
      </w:r>
      <w:r>
        <w:rPr>
          <w:color w:val="374151"/>
          <w:spacing w:val="-2"/>
        </w:rPr>
        <w:t xml:space="preserve"> </w:t>
      </w:r>
      <w:r>
        <w:rPr>
          <w:color w:val="374151"/>
        </w:rPr>
        <w:t>administration, processing, and</w:t>
      </w:r>
      <w:r>
        <w:rPr>
          <w:color w:val="374151"/>
          <w:spacing w:val="-3"/>
        </w:rPr>
        <w:t xml:space="preserve"> </w:t>
      </w:r>
      <w:r>
        <w:rPr>
          <w:color w:val="374151"/>
        </w:rPr>
        <w:t>servicing</w:t>
      </w:r>
      <w:r>
        <w:rPr>
          <w:color w:val="374151"/>
          <w:spacing w:val="-1"/>
        </w:rPr>
        <w:t xml:space="preserve"> </w:t>
      </w:r>
      <w:r>
        <w:rPr>
          <w:color w:val="374151"/>
        </w:rPr>
        <w:t>of financial products will be factored into interest rate calculations</w:t>
      </w:r>
    </w:p>
    <w:p w:rsidR="008F0C52" w:rsidRDefault="00000000">
      <w:pPr>
        <w:pStyle w:val="ListParagraph"/>
        <w:numPr>
          <w:ilvl w:val="0"/>
          <w:numId w:val="1"/>
        </w:numPr>
        <w:tabs>
          <w:tab w:val="left" w:pos="1166"/>
          <w:tab w:val="left" w:pos="1168"/>
        </w:tabs>
        <w:spacing w:line="259" w:lineRule="auto"/>
        <w:ind w:left="1168"/>
      </w:pPr>
      <w:r>
        <w:rPr>
          <w:b/>
          <w:color w:val="374151"/>
        </w:rPr>
        <w:t xml:space="preserve">Margins: </w:t>
      </w:r>
      <w:bookmarkStart w:id="4" w:name="_bookmark2"/>
      <w:bookmarkEnd w:id="4"/>
      <w:r w:rsidR="007F3CE2">
        <w:rPr>
          <w:color w:val="374151"/>
        </w:rPr>
        <w:t>CFPL</w:t>
      </w:r>
      <w:r>
        <w:rPr>
          <w:color w:val="374151"/>
        </w:rPr>
        <w:t xml:space="preserve"> introduces appropriate margin levels to cover expenses, mitigate risks,</w:t>
      </w:r>
      <w:r>
        <w:rPr>
          <w:color w:val="374151"/>
          <w:spacing w:val="-12"/>
        </w:rPr>
        <w:t xml:space="preserve"> </w:t>
      </w:r>
      <w:r>
        <w:rPr>
          <w:color w:val="374151"/>
        </w:rPr>
        <w:t>and</w:t>
      </w:r>
      <w:r>
        <w:rPr>
          <w:color w:val="374151"/>
          <w:spacing w:val="-11"/>
        </w:rPr>
        <w:t xml:space="preserve"> </w:t>
      </w:r>
      <w:r>
        <w:rPr>
          <w:color w:val="374151"/>
        </w:rPr>
        <w:t>ensure</w:t>
      </w:r>
      <w:r>
        <w:rPr>
          <w:color w:val="374151"/>
          <w:spacing w:val="-10"/>
        </w:rPr>
        <w:t xml:space="preserve"> </w:t>
      </w:r>
      <w:r>
        <w:rPr>
          <w:color w:val="374151"/>
        </w:rPr>
        <w:t>long-term</w:t>
      </w:r>
      <w:r>
        <w:rPr>
          <w:color w:val="374151"/>
          <w:spacing w:val="-9"/>
        </w:rPr>
        <w:t xml:space="preserve"> </w:t>
      </w:r>
      <w:r>
        <w:rPr>
          <w:color w:val="374151"/>
        </w:rPr>
        <w:t>financial</w:t>
      </w:r>
      <w:r>
        <w:rPr>
          <w:color w:val="374151"/>
          <w:spacing w:val="-8"/>
        </w:rPr>
        <w:t xml:space="preserve"> </w:t>
      </w:r>
      <w:r>
        <w:rPr>
          <w:color w:val="374151"/>
        </w:rPr>
        <w:t>sustainability.</w:t>
      </w:r>
      <w:r>
        <w:rPr>
          <w:color w:val="374151"/>
          <w:spacing w:val="-13"/>
        </w:rPr>
        <w:t xml:space="preserve"> </w:t>
      </w:r>
      <w:r>
        <w:rPr>
          <w:color w:val="374151"/>
        </w:rPr>
        <w:t>However,</w:t>
      </w:r>
      <w:r>
        <w:rPr>
          <w:color w:val="374151"/>
          <w:spacing w:val="-8"/>
        </w:rPr>
        <w:t xml:space="preserve"> </w:t>
      </w:r>
      <w:r>
        <w:rPr>
          <w:color w:val="374151"/>
        </w:rPr>
        <w:t>given</w:t>
      </w:r>
      <w:r>
        <w:rPr>
          <w:color w:val="374151"/>
          <w:spacing w:val="-10"/>
        </w:rPr>
        <w:t xml:space="preserve"> </w:t>
      </w:r>
      <w:r>
        <w:rPr>
          <w:color w:val="374151"/>
        </w:rPr>
        <w:t>our</w:t>
      </w:r>
      <w:r>
        <w:rPr>
          <w:color w:val="374151"/>
          <w:spacing w:val="-10"/>
        </w:rPr>
        <w:t xml:space="preserve"> </w:t>
      </w:r>
      <w:r>
        <w:rPr>
          <w:color w:val="374151"/>
        </w:rPr>
        <w:t>early-stage</w:t>
      </w:r>
      <w:r>
        <w:rPr>
          <w:color w:val="374151"/>
          <w:spacing w:val="-9"/>
        </w:rPr>
        <w:t xml:space="preserve"> </w:t>
      </w:r>
      <w:r>
        <w:rPr>
          <w:color w:val="374151"/>
        </w:rPr>
        <w:t>operations and current loss-making position, margins may temporarily be negative as we prioritize sustainable growth and scalability.</w:t>
      </w:r>
    </w:p>
    <w:p w:rsidR="008F0C52" w:rsidRDefault="008F0C52">
      <w:pPr>
        <w:pStyle w:val="BodyText"/>
        <w:spacing w:before="16"/>
      </w:pPr>
    </w:p>
    <w:p w:rsidR="008F0C52" w:rsidRDefault="007F3CE2">
      <w:pPr>
        <w:pStyle w:val="BodyText"/>
        <w:spacing w:before="1" w:line="261" w:lineRule="auto"/>
        <w:ind w:left="1168" w:right="389"/>
      </w:pPr>
      <w:r>
        <w:rPr>
          <w:color w:val="374151"/>
        </w:rPr>
        <w:t>CFPL, as a currently loss-making entity, aims to balance competitiveness and profitability while maintaining customer-centric practices.</w:t>
      </w:r>
    </w:p>
    <w:p w:rsidR="00852D10" w:rsidRDefault="00852D10">
      <w:pPr>
        <w:pStyle w:val="BodyText"/>
        <w:spacing w:before="158" w:line="256" w:lineRule="auto"/>
        <w:ind w:left="448" w:right="733"/>
        <w:jc w:val="both"/>
      </w:pPr>
    </w:p>
    <w:p w:rsidR="008F4F27" w:rsidRDefault="00000000">
      <w:pPr>
        <w:pStyle w:val="BodyText"/>
        <w:spacing w:before="158" w:line="256" w:lineRule="auto"/>
        <w:ind w:left="448" w:right="733"/>
        <w:jc w:val="both"/>
      </w:pPr>
      <w:r>
        <w:t>The below rate of interest</w:t>
      </w:r>
      <w:r>
        <w:rPr>
          <w:spacing w:val="-1"/>
        </w:rPr>
        <w:t xml:space="preserve"> </w:t>
      </w:r>
      <w:r>
        <w:t xml:space="preserve">will be charged for </w:t>
      </w:r>
      <w:r w:rsidR="00852D10">
        <w:t>loans sanctioned</w:t>
      </w:r>
      <w:r>
        <w:t xml:space="preserve"> on or after</w:t>
      </w:r>
      <w:r w:rsidR="008F4F27">
        <w:t xml:space="preserve"> 02 Sep 2025.</w:t>
      </w:r>
    </w:p>
    <w:p w:rsidR="002A54C6" w:rsidRDefault="002A54C6" w:rsidP="00852D10">
      <w:pPr>
        <w:pStyle w:val="BodyText"/>
        <w:numPr>
          <w:ilvl w:val="0"/>
          <w:numId w:val="2"/>
        </w:numPr>
        <w:spacing w:before="158" w:line="256" w:lineRule="auto"/>
        <w:ind w:right="733"/>
        <w:jc w:val="both"/>
        <w:rPr>
          <w:lang w:val="en-IN"/>
        </w:rPr>
      </w:pPr>
      <w:r w:rsidRPr="002A54C6">
        <w:rPr>
          <w:lang w:val="en-IN"/>
        </w:rPr>
        <w:t>16% to 26% per annum</w:t>
      </w:r>
      <w:r>
        <w:rPr>
          <w:lang w:val="en-IN"/>
        </w:rPr>
        <w:t xml:space="preserve"> charged on reducing balance</w:t>
      </w:r>
    </w:p>
    <w:p w:rsidR="002A54C6" w:rsidRPr="006D7FC0" w:rsidRDefault="002A54C6" w:rsidP="00852D10">
      <w:pPr>
        <w:pStyle w:val="BodyText"/>
        <w:numPr>
          <w:ilvl w:val="0"/>
          <w:numId w:val="2"/>
        </w:numPr>
        <w:spacing w:before="158" w:line="256" w:lineRule="auto"/>
        <w:ind w:right="733"/>
        <w:jc w:val="both"/>
      </w:pPr>
      <w:r>
        <w:rPr>
          <w:lang w:val="en-IN"/>
        </w:rPr>
        <w:t>Any deviations- To be approved by the authorities as mentioned in the delegation/approval matrix approved by the Managing Director</w:t>
      </w:r>
      <w:r w:rsidR="00FF440A">
        <w:rPr>
          <w:lang w:val="en-IN"/>
        </w:rPr>
        <w:t>/ Whole time Director</w:t>
      </w:r>
    </w:p>
    <w:p w:rsidR="006D7FC0" w:rsidRDefault="006D7FC0" w:rsidP="00852D10">
      <w:pPr>
        <w:pStyle w:val="BodyText"/>
        <w:numPr>
          <w:ilvl w:val="0"/>
          <w:numId w:val="2"/>
        </w:numPr>
        <w:spacing w:before="158" w:line="256" w:lineRule="auto"/>
        <w:ind w:right="733"/>
        <w:jc w:val="both"/>
      </w:pPr>
      <w:r>
        <w:t xml:space="preserve">The NBFC will not levy any </w:t>
      </w:r>
      <w:r w:rsidRPr="006D7FC0">
        <w:t>‘penal interest’ that is added to the rate of interest charged on the advances. There shall be no capitalisation of penal charges i.e., no further interest computed on such charges. However, this will not affect the normal procedures for compounding of interest in the loan account.</w:t>
      </w:r>
    </w:p>
    <w:p w:rsidR="006D7FC0" w:rsidRDefault="006D7FC0" w:rsidP="00852D10">
      <w:pPr>
        <w:pStyle w:val="BodyText"/>
        <w:numPr>
          <w:ilvl w:val="0"/>
          <w:numId w:val="2"/>
        </w:numPr>
        <w:spacing w:before="158" w:line="256" w:lineRule="auto"/>
        <w:ind w:right="733"/>
        <w:jc w:val="both"/>
      </w:pPr>
      <w:r>
        <w:t xml:space="preserve">The </w:t>
      </w:r>
      <w:r w:rsidRPr="006D7FC0">
        <w:t>NBFCs shall not introduce any additional component to the rate of interest and ensure compliance to these guidelines in both letter and spirit.</w:t>
      </w:r>
    </w:p>
    <w:p w:rsidR="002A54C6" w:rsidRDefault="002A54C6">
      <w:pPr>
        <w:pStyle w:val="BodyText"/>
        <w:spacing w:before="158" w:line="256" w:lineRule="auto"/>
        <w:ind w:left="448" w:right="733"/>
        <w:jc w:val="both"/>
      </w:pPr>
    </w:p>
    <w:p w:rsidR="008F0C52" w:rsidRPr="007F3CE2" w:rsidRDefault="00000000">
      <w:pPr>
        <w:pStyle w:val="Heading1"/>
        <w:spacing w:before="243"/>
        <w:rPr>
          <w:color w:val="984806" w:themeColor="accent6" w:themeShade="80"/>
        </w:rPr>
      </w:pPr>
      <w:r w:rsidRPr="007F3CE2">
        <w:rPr>
          <w:color w:val="984806" w:themeColor="accent6" w:themeShade="80"/>
        </w:rPr>
        <w:t>Communication</w:t>
      </w:r>
      <w:r w:rsidRPr="007F3CE2">
        <w:rPr>
          <w:color w:val="984806" w:themeColor="accent6" w:themeShade="80"/>
          <w:spacing w:val="-9"/>
        </w:rPr>
        <w:t xml:space="preserve"> </w:t>
      </w:r>
      <w:r w:rsidRPr="007F3CE2">
        <w:rPr>
          <w:color w:val="984806" w:themeColor="accent6" w:themeShade="80"/>
        </w:rPr>
        <w:t>of</w:t>
      </w:r>
      <w:r w:rsidRPr="007F3CE2">
        <w:rPr>
          <w:color w:val="984806" w:themeColor="accent6" w:themeShade="80"/>
          <w:spacing w:val="-10"/>
        </w:rPr>
        <w:t xml:space="preserve"> </w:t>
      </w:r>
      <w:r w:rsidRPr="007F3CE2">
        <w:rPr>
          <w:color w:val="984806" w:themeColor="accent6" w:themeShade="80"/>
        </w:rPr>
        <w:t>Interest</w:t>
      </w:r>
      <w:r w:rsidRPr="007F3CE2">
        <w:rPr>
          <w:color w:val="984806" w:themeColor="accent6" w:themeShade="80"/>
          <w:spacing w:val="-9"/>
        </w:rPr>
        <w:t xml:space="preserve"> </w:t>
      </w:r>
      <w:r w:rsidRPr="007F3CE2">
        <w:rPr>
          <w:color w:val="984806" w:themeColor="accent6" w:themeShade="80"/>
          <w:spacing w:val="-4"/>
        </w:rPr>
        <w:t>Rates</w:t>
      </w:r>
    </w:p>
    <w:p w:rsidR="006D7FC0" w:rsidRDefault="006D7FC0">
      <w:pPr>
        <w:pStyle w:val="BodyText"/>
        <w:spacing w:before="31" w:line="256" w:lineRule="auto"/>
        <w:ind w:left="448" w:right="733"/>
        <w:jc w:val="both"/>
        <w:rPr>
          <w:color w:val="374151"/>
        </w:rPr>
      </w:pPr>
    </w:p>
    <w:p w:rsidR="006D7FC0" w:rsidRDefault="006D7FC0">
      <w:pPr>
        <w:pStyle w:val="BodyText"/>
        <w:spacing w:before="31" w:line="256" w:lineRule="auto"/>
        <w:ind w:left="448" w:right="733"/>
        <w:jc w:val="both"/>
        <w:rPr>
          <w:color w:val="374151"/>
        </w:rPr>
      </w:pPr>
    </w:p>
    <w:p w:rsidR="008F0C52" w:rsidRDefault="00FF440A">
      <w:pPr>
        <w:pStyle w:val="BodyText"/>
        <w:spacing w:before="31" w:line="256" w:lineRule="auto"/>
        <w:ind w:left="448" w:right="733"/>
        <w:jc w:val="both"/>
        <w:rPr>
          <w:color w:val="374151"/>
        </w:rPr>
      </w:pPr>
      <w:r>
        <w:rPr>
          <w:color w:val="374151"/>
        </w:rPr>
        <w:t xml:space="preserve">The </w:t>
      </w:r>
      <w:r w:rsidRPr="00FF440A">
        <w:rPr>
          <w:color w:val="374151"/>
        </w:rPr>
        <w:t>NBFCs shall convey in writing to the borrower in the vernacular language as understood by the borrower by means of sanction letter or otherwise, the amount of loan sanctioned along with the terms and conditions including annualised rate of interest and method of application thereof and keep the acceptance of these terms and conditions by the borrower on its record.</w:t>
      </w:r>
      <w:r>
        <w:rPr>
          <w:color w:val="374151"/>
        </w:rPr>
        <w:t xml:space="preserve"> Any changes to interest rates during the loan tenure will be communicated in accordance with regulatory requirements.</w:t>
      </w:r>
    </w:p>
    <w:p w:rsidR="008F4F27" w:rsidRDefault="008F4F27">
      <w:pPr>
        <w:pStyle w:val="BodyText"/>
        <w:spacing w:before="31" w:line="256" w:lineRule="auto"/>
        <w:ind w:left="448" w:right="733"/>
        <w:jc w:val="both"/>
      </w:pPr>
    </w:p>
    <w:p w:rsidR="006D7FC0" w:rsidRDefault="006D7FC0">
      <w:pPr>
        <w:pStyle w:val="BodyText"/>
        <w:spacing w:before="31" w:line="256" w:lineRule="auto"/>
        <w:ind w:left="448" w:right="733"/>
        <w:jc w:val="both"/>
      </w:pPr>
      <w:r w:rsidRPr="006D7FC0">
        <w:t>The rate of interest must be annualised rate so that the borrower is aware of the exact rates that would be charged to the account.</w:t>
      </w:r>
    </w:p>
    <w:p w:rsidR="00D84BA7" w:rsidRDefault="00D84BA7">
      <w:pPr>
        <w:pStyle w:val="BodyText"/>
        <w:spacing w:before="31" w:line="256" w:lineRule="auto"/>
        <w:ind w:left="448" w:right="733"/>
        <w:jc w:val="both"/>
      </w:pPr>
    </w:p>
    <w:p w:rsidR="00D84BA7" w:rsidRDefault="00D84BA7">
      <w:pPr>
        <w:pStyle w:val="BodyText"/>
        <w:spacing w:before="31" w:line="256" w:lineRule="auto"/>
        <w:ind w:left="448" w:right="733"/>
        <w:jc w:val="both"/>
      </w:pPr>
      <w:r>
        <w:t>The Interest Rate Policy will be displayed on the website of the NBFC.</w:t>
      </w:r>
    </w:p>
    <w:p w:rsidR="006D7FC0" w:rsidRDefault="006D7FC0">
      <w:pPr>
        <w:pStyle w:val="BodyText"/>
        <w:spacing w:before="31" w:line="256" w:lineRule="auto"/>
        <w:ind w:left="448" w:right="733"/>
        <w:jc w:val="both"/>
      </w:pPr>
    </w:p>
    <w:p w:rsidR="008F0C52" w:rsidRPr="007F3CE2" w:rsidRDefault="00000000">
      <w:pPr>
        <w:pStyle w:val="Heading1"/>
        <w:spacing w:before="244"/>
        <w:rPr>
          <w:color w:val="984806" w:themeColor="accent6" w:themeShade="80"/>
        </w:rPr>
      </w:pPr>
      <w:bookmarkStart w:id="5" w:name="_bookmark3"/>
      <w:bookmarkEnd w:id="5"/>
      <w:r w:rsidRPr="007F3CE2">
        <w:rPr>
          <w:color w:val="984806" w:themeColor="accent6" w:themeShade="80"/>
        </w:rPr>
        <w:t>Review</w:t>
      </w:r>
      <w:r w:rsidRPr="007F3CE2">
        <w:rPr>
          <w:color w:val="984806" w:themeColor="accent6" w:themeShade="80"/>
          <w:spacing w:val="-4"/>
        </w:rPr>
        <w:t xml:space="preserve"> </w:t>
      </w:r>
      <w:r w:rsidRPr="007F3CE2">
        <w:rPr>
          <w:color w:val="984806" w:themeColor="accent6" w:themeShade="80"/>
        </w:rPr>
        <w:t>&amp;</w:t>
      </w:r>
      <w:r w:rsidRPr="007F3CE2">
        <w:rPr>
          <w:color w:val="984806" w:themeColor="accent6" w:themeShade="80"/>
          <w:spacing w:val="-3"/>
        </w:rPr>
        <w:t xml:space="preserve"> </w:t>
      </w:r>
      <w:r w:rsidRPr="007F3CE2">
        <w:rPr>
          <w:color w:val="984806" w:themeColor="accent6" w:themeShade="80"/>
          <w:spacing w:val="-2"/>
        </w:rPr>
        <w:t>Revision</w:t>
      </w:r>
    </w:p>
    <w:p w:rsidR="008F0C52" w:rsidRDefault="007F3CE2">
      <w:pPr>
        <w:pStyle w:val="BodyText"/>
        <w:spacing w:before="31" w:line="261" w:lineRule="auto"/>
        <w:ind w:left="448" w:right="731"/>
        <w:jc w:val="both"/>
      </w:pPr>
      <w:r>
        <w:rPr>
          <w:color w:val="374151"/>
        </w:rPr>
        <w:t>CFPL will periodically review and, if necessary, revise its interest rate policy to align with regulatory changes, market conditions, and internal considerations.</w:t>
      </w:r>
    </w:p>
    <w:p w:rsidR="008F0C52" w:rsidRDefault="008F0C52">
      <w:pPr>
        <w:pStyle w:val="BodyText"/>
        <w:spacing w:before="65"/>
        <w:rPr>
          <w:sz w:val="20"/>
        </w:rPr>
      </w:pPr>
    </w:p>
    <w:p w:rsidR="008F0C52" w:rsidRDefault="008F0C52">
      <w:pPr>
        <w:pStyle w:val="BodyText"/>
        <w:spacing w:before="75"/>
        <w:rPr>
          <w:sz w:val="32"/>
        </w:rPr>
      </w:pPr>
    </w:p>
    <w:p w:rsidR="008F0C52" w:rsidRPr="007F3CE2" w:rsidRDefault="00000000">
      <w:pPr>
        <w:pStyle w:val="Heading1"/>
        <w:jc w:val="both"/>
        <w:rPr>
          <w:color w:val="984806" w:themeColor="accent6" w:themeShade="80"/>
        </w:rPr>
      </w:pPr>
      <w:bookmarkStart w:id="6" w:name="_bookmark4"/>
      <w:bookmarkEnd w:id="6"/>
      <w:r w:rsidRPr="007F3CE2">
        <w:rPr>
          <w:color w:val="984806" w:themeColor="accent6" w:themeShade="80"/>
        </w:rPr>
        <w:t>Grievance</w:t>
      </w:r>
      <w:r w:rsidRPr="007F3CE2">
        <w:rPr>
          <w:color w:val="984806" w:themeColor="accent6" w:themeShade="80"/>
          <w:spacing w:val="-13"/>
        </w:rPr>
        <w:t xml:space="preserve"> </w:t>
      </w:r>
      <w:r w:rsidRPr="007F3CE2">
        <w:rPr>
          <w:color w:val="984806" w:themeColor="accent6" w:themeShade="80"/>
          <w:spacing w:val="-2"/>
        </w:rPr>
        <w:t>Redressal</w:t>
      </w:r>
    </w:p>
    <w:p w:rsidR="008F0C52" w:rsidRDefault="00000000">
      <w:pPr>
        <w:pStyle w:val="BodyText"/>
        <w:spacing w:before="36" w:line="256" w:lineRule="auto"/>
        <w:ind w:left="448" w:right="743"/>
        <w:jc w:val="both"/>
      </w:pPr>
      <w:r>
        <w:rPr>
          <w:color w:val="374151"/>
        </w:rPr>
        <w:t xml:space="preserve">Customers are encouraged to bring any concerns or grievances related to interest rates to the attention of </w:t>
      </w:r>
      <w:r w:rsidR="007F3CE2">
        <w:rPr>
          <w:color w:val="374151"/>
        </w:rPr>
        <w:t>CFPL</w:t>
      </w:r>
      <w:r>
        <w:rPr>
          <w:color w:val="374151"/>
        </w:rPr>
        <w:t xml:space="preserve"> through our established grievance redressal mechanism.</w:t>
      </w:r>
    </w:p>
    <w:p w:rsidR="008F0C52" w:rsidRPr="00D84BA7" w:rsidRDefault="00000000" w:rsidP="00D84BA7">
      <w:pPr>
        <w:pStyle w:val="BodyText"/>
        <w:spacing w:before="165" w:line="259" w:lineRule="auto"/>
        <w:ind w:left="448" w:right="729"/>
        <w:jc w:val="both"/>
      </w:pPr>
      <w:r>
        <w:rPr>
          <w:color w:val="374151"/>
        </w:rPr>
        <w:t>This</w:t>
      </w:r>
      <w:r>
        <w:rPr>
          <w:color w:val="374151"/>
          <w:spacing w:val="-4"/>
        </w:rPr>
        <w:t xml:space="preserve"> </w:t>
      </w:r>
      <w:r>
        <w:rPr>
          <w:color w:val="374151"/>
        </w:rPr>
        <w:t>Interest</w:t>
      </w:r>
      <w:r>
        <w:rPr>
          <w:color w:val="374151"/>
          <w:spacing w:val="-6"/>
        </w:rPr>
        <w:t xml:space="preserve"> </w:t>
      </w:r>
      <w:r>
        <w:rPr>
          <w:color w:val="374151"/>
        </w:rPr>
        <w:t>Rate</w:t>
      </w:r>
      <w:r>
        <w:rPr>
          <w:color w:val="374151"/>
          <w:spacing w:val="-4"/>
        </w:rPr>
        <w:t xml:space="preserve"> </w:t>
      </w:r>
      <w:r>
        <w:rPr>
          <w:color w:val="374151"/>
        </w:rPr>
        <w:t>Policy</w:t>
      </w:r>
      <w:r>
        <w:rPr>
          <w:color w:val="374151"/>
          <w:spacing w:val="-8"/>
        </w:rPr>
        <w:t xml:space="preserve"> </w:t>
      </w:r>
      <w:r>
        <w:rPr>
          <w:color w:val="374151"/>
        </w:rPr>
        <w:t>is</w:t>
      </w:r>
      <w:r>
        <w:rPr>
          <w:color w:val="374151"/>
          <w:spacing w:val="-4"/>
        </w:rPr>
        <w:t xml:space="preserve"> </w:t>
      </w:r>
      <w:r>
        <w:rPr>
          <w:color w:val="374151"/>
        </w:rPr>
        <w:t>designed</w:t>
      </w:r>
      <w:r>
        <w:rPr>
          <w:color w:val="374151"/>
          <w:spacing w:val="-5"/>
        </w:rPr>
        <w:t xml:space="preserve"> </w:t>
      </w:r>
      <w:r>
        <w:rPr>
          <w:color w:val="374151"/>
        </w:rPr>
        <w:t>to</w:t>
      </w:r>
      <w:r>
        <w:rPr>
          <w:color w:val="374151"/>
          <w:spacing w:val="-5"/>
        </w:rPr>
        <w:t xml:space="preserve"> </w:t>
      </w:r>
      <w:r>
        <w:rPr>
          <w:color w:val="374151"/>
        </w:rPr>
        <w:t>ensure</w:t>
      </w:r>
      <w:r>
        <w:rPr>
          <w:color w:val="374151"/>
          <w:spacing w:val="-4"/>
        </w:rPr>
        <w:t xml:space="preserve"> </w:t>
      </w:r>
      <w:r>
        <w:rPr>
          <w:color w:val="374151"/>
        </w:rPr>
        <w:t>transparency,</w:t>
      </w:r>
      <w:r>
        <w:rPr>
          <w:color w:val="374151"/>
          <w:spacing w:val="-2"/>
        </w:rPr>
        <w:t xml:space="preserve"> </w:t>
      </w:r>
      <w:r>
        <w:rPr>
          <w:color w:val="374151"/>
        </w:rPr>
        <w:t>fairness,</w:t>
      </w:r>
      <w:r>
        <w:rPr>
          <w:color w:val="374151"/>
          <w:spacing w:val="-2"/>
        </w:rPr>
        <w:t xml:space="preserve"> </w:t>
      </w:r>
      <w:r>
        <w:rPr>
          <w:color w:val="374151"/>
        </w:rPr>
        <w:t>and</w:t>
      </w:r>
      <w:r>
        <w:rPr>
          <w:color w:val="374151"/>
          <w:spacing w:val="-5"/>
        </w:rPr>
        <w:t xml:space="preserve"> </w:t>
      </w:r>
      <w:r>
        <w:rPr>
          <w:color w:val="374151"/>
        </w:rPr>
        <w:t>compliance</w:t>
      </w:r>
      <w:r>
        <w:rPr>
          <w:color w:val="374151"/>
          <w:spacing w:val="-4"/>
        </w:rPr>
        <w:t xml:space="preserve"> </w:t>
      </w:r>
      <w:r>
        <w:rPr>
          <w:color w:val="374151"/>
        </w:rPr>
        <w:t>with</w:t>
      </w:r>
      <w:r>
        <w:rPr>
          <w:color w:val="374151"/>
          <w:spacing w:val="-5"/>
        </w:rPr>
        <w:t xml:space="preserve"> </w:t>
      </w:r>
      <w:r>
        <w:rPr>
          <w:color w:val="374151"/>
        </w:rPr>
        <w:t xml:space="preserve">regulatory standards. </w:t>
      </w:r>
      <w:r w:rsidR="007F3CE2">
        <w:rPr>
          <w:color w:val="374151"/>
        </w:rPr>
        <w:t>CFPL</w:t>
      </w:r>
      <w:r>
        <w:rPr>
          <w:color w:val="374151"/>
        </w:rPr>
        <w:t xml:space="preserve"> remains committed to providing responsible financial solutions to our </w:t>
      </w:r>
      <w:r>
        <w:rPr>
          <w:color w:val="374151"/>
          <w:spacing w:val="-2"/>
        </w:rPr>
        <w:t>customer</w:t>
      </w: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spacing w:before="51"/>
        <w:rPr>
          <w:sz w:val="20"/>
        </w:rPr>
      </w:pPr>
    </w:p>
    <w:sectPr w:rsidR="008F0C52">
      <w:pgSz w:w="11910" w:h="16840"/>
      <w:pgMar w:top="960" w:right="708" w:bottom="1220" w:left="992" w:header="752" w:footer="1026"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3160E" w:rsidRDefault="00F3160E">
      <w:r>
        <w:separator/>
      </w:r>
    </w:p>
  </w:endnote>
  <w:endnote w:type="continuationSeparator" w:id="0">
    <w:p w:rsidR="00F3160E" w:rsidRDefault="00F31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3863791"/>
      <w:docPartObj>
        <w:docPartGallery w:val="Page Numbers (Bottom of Page)"/>
        <w:docPartUnique/>
      </w:docPartObj>
    </w:sdtPr>
    <w:sdtContent>
      <w:sdt>
        <w:sdtPr>
          <w:id w:val="1728636285"/>
          <w:docPartObj>
            <w:docPartGallery w:val="Page Numbers (Top of Page)"/>
            <w:docPartUnique/>
          </w:docPartObj>
        </w:sdtPr>
        <w:sdtContent>
          <w:p w:rsidR="00C84DAA" w:rsidRDefault="00C84DAA" w:rsidP="00C84DA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8F0C52" w:rsidRPr="00C84DAA" w:rsidRDefault="00C84DAA" w:rsidP="00C84DAA">
    <w:pPr>
      <w:pStyle w:val="BodyText"/>
      <w:spacing w:line="245" w:lineRule="exact"/>
      <w:ind w:left="20"/>
      <w:rPr>
        <w:b/>
        <w:bCs/>
        <w:sz w:val="28"/>
        <w:szCs w:val="28"/>
      </w:rPr>
    </w:pPr>
    <w:r w:rsidRPr="00C84DAA">
      <w:rPr>
        <w:b/>
        <w:bCs/>
        <w:sz w:val="28"/>
        <w:szCs w:val="28"/>
      </w:rPr>
      <w:t>Conatus Finserve Private Limited</w:t>
    </w:r>
    <w:r w:rsidRPr="00C84DAA">
      <w:rPr>
        <w:b/>
        <w:bCs/>
        <w:spacing w:val="42"/>
        <w:sz w:val="28"/>
        <w:szCs w:val="28"/>
      </w:rPr>
      <w:t xml:space="preserve"> </w:t>
    </w:r>
    <w:r w:rsidRPr="00C84DAA">
      <w:rPr>
        <w:b/>
        <w:bCs/>
        <w:sz w:val="28"/>
        <w:szCs w:val="28"/>
      </w:rPr>
      <w:t>–</w:t>
    </w:r>
    <w:r w:rsidRPr="00C84DAA">
      <w:rPr>
        <w:b/>
        <w:bCs/>
        <w:spacing w:val="-4"/>
        <w:sz w:val="28"/>
        <w:szCs w:val="28"/>
      </w:rPr>
      <w:t xml:space="preserve"> </w:t>
    </w:r>
    <w:r w:rsidRPr="00C84DAA">
      <w:rPr>
        <w:b/>
        <w:bCs/>
        <w:sz w:val="28"/>
        <w:szCs w:val="28"/>
      </w:rPr>
      <w:t>Interest</w:t>
    </w:r>
    <w:r w:rsidRPr="00C84DAA">
      <w:rPr>
        <w:b/>
        <w:bCs/>
        <w:spacing w:val="-5"/>
        <w:sz w:val="28"/>
        <w:szCs w:val="28"/>
      </w:rPr>
      <w:t xml:space="preserve"> </w:t>
    </w:r>
    <w:r w:rsidRPr="00C84DAA">
      <w:rPr>
        <w:b/>
        <w:bCs/>
        <w:sz w:val="28"/>
        <w:szCs w:val="28"/>
      </w:rPr>
      <w:t>Rate</w:t>
    </w:r>
    <w:r w:rsidRPr="00C84DAA">
      <w:rPr>
        <w:b/>
        <w:bCs/>
        <w:spacing w:val="-4"/>
        <w:sz w:val="28"/>
        <w:szCs w:val="28"/>
      </w:rPr>
      <w:t xml:space="preserve"> </w:t>
    </w:r>
    <w:r w:rsidRPr="00C84DAA">
      <w:rPr>
        <w:b/>
        <w:bCs/>
        <w:spacing w:val="-2"/>
        <w:sz w:val="28"/>
        <w:szCs w:val="28"/>
      </w:rPr>
      <w:t>Policy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3160E" w:rsidRDefault="00F3160E">
      <w:r>
        <w:separator/>
      </w:r>
    </w:p>
  </w:footnote>
  <w:footnote w:type="continuationSeparator" w:id="0">
    <w:p w:rsidR="00F3160E" w:rsidRDefault="00F316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F0C52" w:rsidRDefault="00000000">
    <w:pPr>
      <w:pStyle w:val="BodyText"/>
      <w:spacing w:line="14" w:lineRule="auto"/>
      <w:rPr>
        <w:sz w:val="20"/>
      </w:rPr>
    </w:pPr>
    <w:r>
      <w:rPr>
        <w:noProof/>
        <w:sz w:val="20"/>
      </w:rPr>
      <mc:AlternateContent>
        <mc:Choice Requires="wps">
          <w:drawing>
            <wp:anchor distT="0" distB="0" distL="0" distR="0" simplePos="0" relativeHeight="487385600" behindDoc="1" locked="0" layoutInCell="1" allowOverlap="1">
              <wp:simplePos x="0" y="0"/>
              <wp:positionH relativeFrom="page">
                <wp:posOffset>1885950</wp:posOffset>
              </wp:positionH>
              <wp:positionV relativeFrom="page">
                <wp:posOffset>393700</wp:posOffset>
              </wp:positionV>
              <wp:extent cx="4483100" cy="20955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3100" cy="209550"/>
                      </a:xfrm>
                      <a:prstGeom prst="rect">
                        <a:avLst/>
                      </a:prstGeom>
                    </wps:spPr>
                    <wps:txbx>
                      <w:txbxContent>
                        <w:p w:rsidR="008F0C52" w:rsidRPr="00560156" w:rsidRDefault="008F0C52">
                          <w:pPr>
                            <w:pStyle w:val="BodyText"/>
                            <w:spacing w:line="245" w:lineRule="exact"/>
                            <w:ind w:left="20"/>
                            <w:rPr>
                              <w:sz w:val="28"/>
                              <w:szCs w:val="28"/>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48.5pt;margin-top:31pt;width:353pt;height:16.5pt;z-index:-159308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" filled="f" stroked="f">
              <v:textbox inset="0,0,0,0">
                <w:txbxContent>
                  <w:p w:rsidR="008F0C52" w:rsidRPr="00560156" w:rsidRDefault="008F0C52">
                    <w:pPr>
                      <w:pStyle w:val="BodyText"/>
                      <w:spacing w:line="245" w:lineRule="exact"/>
                      <w:ind w:left="20"/>
                      <w:rPr>
                        <w:sz w:val="28"/>
                        <w:szCs w:val="2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203B7"/>
    <w:multiLevelType w:val="hybridMultilevel"/>
    <w:tmpl w:val="FD66BB46"/>
    <w:lvl w:ilvl="0" w:tplc="06F8AA22">
      <w:numFmt w:val="bullet"/>
      <w:lvlText w:val=""/>
      <w:lvlJc w:val="left"/>
      <w:pPr>
        <w:ind w:left="1169" w:hanging="361"/>
      </w:pPr>
      <w:rPr>
        <w:rFonts w:ascii="Symbol" w:eastAsia="Symbol" w:hAnsi="Symbol" w:cs="Symbol" w:hint="default"/>
        <w:b w:val="0"/>
        <w:bCs w:val="0"/>
        <w:i w:val="0"/>
        <w:iCs w:val="0"/>
        <w:color w:val="374151"/>
        <w:spacing w:val="0"/>
        <w:w w:val="100"/>
        <w:sz w:val="22"/>
        <w:szCs w:val="22"/>
        <w:lang w:val="en-US" w:eastAsia="en-US" w:bidi="ar-SA"/>
      </w:rPr>
    </w:lvl>
    <w:lvl w:ilvl="1" w:tplc="8A50BBC0">
      <w:numFmt w:val="bullet"/>
      <w:lvlText w:val="•"/>
      <w:lvlJc w:val="left"/>
      <w:pPr>
        <w:ind w:left="2064" w:hanging="361"/>
      </w:pPr>
      <w:rPr>
        <w:rFonts w:hint="default"/>
        <w:lang w:val="en-US" w:eastAsia="en-US" w:bidi="ar-SA"/>
      </w:rPr>
    </w:lvl>
    <w:lvl w:ilvl="2" w:tplc="360CB3C6">
      <w:numFmt w:val="bullet"/>
      <w:lvlText w:val="•"/>
      <w:lvlJc w:val="left"/>
      <w:pPr>
        <w:ind w:left="2968" w:hanging="361"/>
      </w:pPr>
      <w:rPr>
        <w:rFonts w:hint="default"/>
        <w:lang w:val="en-US" w:eastAsia="en-US" w:bidi="ar-SA"/>
      </w:rPr>
    </w:lvl>
    <w:lvl w:ilvl="3" w:tplc="33B621B6">
      <w:numFmt w:val="bullet"/>
      <w:lvlText w:val="•"/>
      <w:lvlJc w:val="left"/>
      <w:pPr>
        <w:ind w:left="3873" w:hanging="361"/>
      </w:pPr>
      <w:rPr>
        <w:rFonts w:hint="default"/>
        <w:lang w:val="en-US" w:eastAsia="en-US" w:bidi="ar-SA"/>
      </w:rPr>
    </w:lvl>
    <w:lvl w:ilvl="4" w:tplc="96F4A556">
      <w:numFmt w:val="bullet"/>
      <w:lvlText w:val="•"/>
      <w:lvlJc w:val="left"/>
      <w:pPr>
        <w:ind w:left="4777" w:hanging="361"/>
      </w:pPr>
      <w:rPr>
        <w:rFonts w:hint="default"/>
        <w:lang w:val="en-US" w:eastAsia="en-US" w:bidi="ar-SA"/>
      </w:rPr>
    </w:lvl>
    <w:lvl w:ilvl="5" w:tplc="6E34333E">
      <w:numFmt w:val="bullet"/>
      <w:lvlText w:val="•"/>
      <w:lvlJc w:val="left"/>
      <w:pPr>
        <w:ind w:left="5682" w:hanging="361"/>
      </w:pPr>
      <w:rPr>
        <w:rFonts w:hint="default"/>
        <w:lang w:val="en-US" w:eastAsia="en-US" w:bidi="ar-SA"/>
      </w:rPr>
    </w:lvl>
    <w:lvl w:ilvl="6" w:tplc="215AD8B2">
      <w:numFmt w:val="bullet"/>
      <w:lvlText w:val="•"/>
      <w:lvlJc w:val="left"/>
      <w:pPr>
        <w:ind w:left="6586" w:hanging="361"/>
      </w:pPr>
      <w:rPr>
        <w:rFonts w:hint="default"/>
        <w:lang w:val="en-US" w:eastAsia="en-US" w:bidi="ar-SA"/>
      </w:rPr>
    </w:lvl>
    <w:lvl w:ilvl="7" w:tplc="CD1427A4">
      <w:numFmt w:val="bullet"/>
      <w:lvlText w:val="•"/>
      <w:lvlJc w:val="left"/>
      <w:pPr>
        <w:ind w:left="7490" w:hanging="361"/>
      </w:pPr>
      <w:rPr>
        <w:rFonts w:hint="default"/>
        <w:lang w:val="en-US" w:eastAsia="en-US" w:bidi="ar-SA"/>
      </w:rPr>
    </w:lvl>
    <w:lvl w:ilvl="8" w:tplc="11309BEC">
      <w:numFmt w:val="bullet"/>
      <w:lvlText w:val="•"/>
      <w:lvlJc w:val="left"/>
      <w:pPr>
        <w:ind w:left="8395" w:hanging="361"/>
      </w:pPr>
      <w:rPr>
        <w:rFonts w:hint="default"/>
        <w:lang w:val="en-US" w:eastAsia="en-US" w:bidi="ar-SA"/>
      </w:rPr>
    </w:lvl>
  </w:abstractNum>
  <w:abstractNum w:abstractNumId="1" w15:restartNumberingAfterBreak="0">
    <w:nsid w:val="598466E6"/>
    <w:multiLevelType w:val="hybridMultilevel"/>
    <w:tmpl w:val="8348F19A"/>
    <w:lvl w:ilvl="0" w:tplc="40090005">
      <w:start w:val="1"/>
      <w:numFmt w:val="bullet"/>
      <w:lvlText w:val=""/>
      <w:lvlJc w:val="left"/>
      <w:pPr>
        <w:ind w:left="1168" w:hanging="360"/>
      </w:pPr>
      <w:rPr>
        <w:rFonts w:ascii="Wingdings" w:hAnsi="Wingdings" w:hint="default"/>
      </w:rPr>
    </w:lvl>
    <w:lvl w:ilvl="1" w:tplc="40090003" w:tentative="1">
      <w:start w:val="1"/>
      <w:numFmt w:val="bullet"/>
      <w:lvlText w:val="o"/>
      <w:lvlJc w:val="left"/>
      <w:pPr>
        <w:ind w:left="1888" w:hanging="360"/>
      </w:pPr>
      <w:rPr>
        <w:rFonts w:ascii="Courier New" w:hAnsi="Courier New" w:cs="Courier New" w:hint="default"/>
      </w:rPr>
    </w:lvl>
    <w:lvl w:ilvl="2" w:tplc="40090005" w:tentative="1">
      <w:start w:val="1"/>
      <w:numFmt w:val="bullet"/>
      <w:lvlText w:val=""/>
      <w:lvlJc w:val="left"/>
      <w:pPr>
        <w:ind w:left="2608" w:hanging="360"/>
      </w:pPr>
      <w:rPr>
        <w:rFonts w:ascii="Wingdings" w:hAnsi="Wingdings" w:hint="default"/>
      </w:rPr>
    </w:lvl>
    <w:lvl w:ilvl="3" w:tplc="40090001" w:tentative="1">
      <w:start w:val="1"/>
      <w:numFmt w:val="bullet"/>
      <w:lvlText w:val=""/>
      <w:lvlJc w:val="left"/>
      <w:pPr>
        <w:ind w:left="3328" w:hanging="360"/>
      </w:pPr>
      <w:rPr>
        <w:rFonts w:ascii="Symbol" w:hAnsi="Symbol" w:hint="default"/>
      </w:rPr>
    </w:lvl>
    <w:lvl w:ilvl="4" w:tplc="40090003" w:tentative="1">
      <w:start w:val="1"/>
      <w:numFmt w:val="bullet"/>
      <w:lvlText w:val="o"/>
      <w:lvlJc w:val="left"/>
      <w:pPr>
        <w:ind w:left="4048" w:hanging="360"/>
      </w:pPr>
      <w:rPr>
        <w:rFonts w:ascii="Courier New" w:hAnsi="Courier New" w:cs="Courier New" w:hint="default"/>
      </w:rPr>
    </w:lvl>
    <w:lvl w:ilvl="5" w:tplc="40090005" w:tentative="1">
      <w:start w:val="1"/>
      <w:numFmt w:val="bullet"/>
      <w:lvlText w:val=""/>
      <w:lvlJc w:val="left"/>
      <w:pPr>
        <w:ind w:left="4768" w:hanging="360"/>
      </w:pPr>
      <w:rPr>
        <w:rFonts w:ascii="Wingdings" w:hAnsi="Wingdings" w:hint="default"/>
      </w:rPr>
    </w:lvl>
    <w:lvl w:ilvl="6" w:tplc="40090001" w:tentative="1">
      <w:start w:val="1"/>
      <w:numFmt w:val="bullet"/>
      <w:lvlText w:val=""/>
      <w:lvlJc w:val="left"/>
      <w:pPr>
        <w:ind w:left="5488" w:hanging="360"/>
      </w:pPr>
      <w:rPr>
        <w:rFonts w:ascii="Symbol" w:hAnsi="Symbol" w:hint="default"/>
      </w:rPr>
    </w:lvl>
    <w:lvl w:ilvl="7" w:tplc="40090003" w:tentative="1">
      <w:start w:val="1"/>
      <w:numFmt w:val="bullet"/>
      <w:lvlText w:val="o"/>
      <w:lvlJc w:val="left"/>
      <w:pPr>
        <w:ind w:left="6208" w:hanging="360"/>
      </w:pPr>
      <w:rPr>
        <w:rFonts w:ascii="Courier New" w:hAnsi="Courier New" w:cs="Courier New" w:hint="default"/>
      </w:rPr>
    </w:lvl>
    <w:lvl w:ilvl="8" w:tplc="40090005" w:tentative="1">
      <w:start w:val="1"/>
      <w:numFmt w:val="bullet"/>
      <w:lvlText w:val=""/>
      <w:lvlJc w:val="left"/>
      <w:pPr>
        <w:ind w:left="6928" w:hanging="360"/>
      </w:pPr>
      <w:rPr>
        <w:rFonts w:ascii="Wingdings" w:hAnsi="Wingdings" w:hint="default"/>
      </w:rPr>
    </w:lvl>
  </w:abstractNum>
  <w:num w:numId="1" w16cid:durableId="1487084425">
    <w:abstractNumId w:val="0"/>
  </w:num>
  <w:num w:numId="2" w16cid:durableId="19861559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C52"/>
    <w:rsid w:val="000012C6"/>
    <w:rsid w:val="002A54C6"/>
    <w:rsid w:val="00560156"/>
    <w:rsid w:val="006B6A01"/>
    <w:rsid w:val="006D7FC0"/>
    <w:rsid w:val="007F3CE2"/>
    <w:rsid w:val="00852D10"/>
    <w:rsid w:val="008F0C52"/>
    <w:rsid w:val="008F4F27"/>
    <w:rsid w:val="009207D7"/>
    <w:rsid w:val="00A6475A"/>
    <w:rsid w:val="00AC3DFE"/>
    <w:rsid w:val="00AF5E89"/>
    <w:rsid w:val="00C756F7"/>
    <w:rsid w:val="00C84DAA"/>
    <w:rsid w:val="00D84BA7"/>
    <w:rsid w:val="00E62106"/>
    <w:rsid w:val="00F3160E"/>
    <w:rsid w:val="00F846AA"/>
    <w:rsid w:val="00FF440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59E9A"/>
  <w15:docId w15:val="{F781DA0B-479B-4E14-8A99-25AF27AE2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448"/>
      <w:outlineLvl w:val="0"/>
    </w:pPr>
    <w:rPr>
      <w:b/>
      <w:bCs/>
      <w:sz w:val="32"/>
      <w:szCs w:val="32"/>
    </w:rPr>
  </w:style>
  <w:style w:type="paragraph" w:styleId="Heading2">
    <w:name w:val="heading 2"/>
    <w:basedOn w:val="Normal"/>
    <w:uiPriority w:val="9"/>
    <w:unhideWhenUsed/>
    <w:qFormat/>
    <w:pPr>
      <w:ind w:left="448"/>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448"/>
    </w:pPr>
  </w:style>
  <w:style w:type="paragraph" w:styleId="BodyText">
    <w:name w:val="Body Text"/>
    <w:basedOn w:val="Normal"/>
    <w:uiPriority w:val="1"/>
    <w:qFormat/>
  </w:style>
  <w:style w:type="paragraph" w:styleId="ListParagraph">
    <w:name w:val="List Paragraph"/>
    <w:basedOn w:val="Normal"/>
    <w:uiPriority w:val="1"/>
    <w:qFormat/>
    <w:pPr>
      <w:spacing w:before="4"/>
      <w:ind w:left="1168" w:right="721" w:hanging="361"/>
      <w:jc w:val="both"/>
    </w:pPr>
  </w:style>
  <w:style w:type="paragraph" w:customStyle="1" w:styleId="TableParagraph">
    <w:name w:val="Table Paragraph"/>
    <w:basedOn w:val="Normal"/>
    <w:uiPriority w:val="1"/>
    <w:qFormat/>
    <w:pPr>
      <w:spacing w:before="1"/>
      <w:ind w:left="105"/>
    </w:pPr>
  </w:style>
  <w:style w:type="paragraph" w:styleId="Header">
    <w:name w:val="header"/>
    <w:basedOn w:val="Normal"/>
    <w:link w:val="HeaderChar"/>
    <w:uiPriority w:val="99"/>
    <w:unhideWhenUsed/>
    <w:rsid w:val="007F3CE2"/>
    <w:pPr>
      <w:tabs>
        <w:tab w:val="center" w:pos="4513"/>
        <w:tab w:val="right" w:pos="9026"/>
      </w:tabs>
    </w:pPr>
  </w:style>
  <w:style w:type="character" w:customStyle="1" w:styleId="HeaderChar">
    <w:name w:val="Header Char"/>
    <w:basedOn w:val="DefaultParagraphFont"/>
    <w:link w:val="Header"/>
    <w:uiPriority w:val="99"/>
    <w:rsid w:val="007F3CE2"/>
    <w:rPr>
      <w:rFonts w:ascii="Calibri" w:eastAsia="Calibri" w:hAnsi="Calibri" w:cs="Calibri"/>
    </w:rPr>
  </w:style>
  <w:style w:type="paragraph" w:styleId="Footer">
    <w:name w:val="footer"/>
    <w:basedOn w:val="Normal"/>
    <w:link w:val="FooterChar"/>
    <w:uiPriority w:val="99"/>
    <w:unhideWhenUsed/>
    <w:rsid w:val="007F3CE2"/>
    <w:pPr>
      <w:tabs>
        <w:tab w:val="center" w:pos="4513"/>
        <w:tab w:val="right" w:pos="9026"/>
      </w:tabs>
    </w:pPr>
  </w:style>
  <w:style w:type="character" w:customStyle="1" w:styleId="FooterChar">
    <w:name w:val="Footer Char"/>
    <w:basedOn w:val="DefaultParagraphFont"/>
    <w:link w:val="Footer"/>
    <w:uiPriority w:val="99"/>
    <w:rsid w:val="007F3CE2"/>
    <w:rPr>
      <w:rFonts w:ascii="Calibri" w:eastAsia="Calibri" w:hAnsi="Calibri" w:cs="Calibri"/>
    </w:rPr>
  </w:style>
  <w:style w:type="table" w:styleId="TableGrid">
    <w:name w:val="Table Grid"/>
    <w:basedOn w:val="TableNormal"/>
    <w:uiPriority w:val="39"/>
    <w:rsid w:val="002A54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560156"/>
    <w:pPr>
      <w:ind w:left="1265" w:hanging="3270"/>
    </w:pPr>
    <w:rPr>
      <w:rFonts w:ascii="Times New Roman" w:eastAsia="Times New Roman" w:hAnsi="Times New Roman" w:cs="Times New Roman"/>
      <w:b/>
      <w:bCs/>
      <w:sz w:val="40"/>
      <w:szCs w:val="40"/>
    </w:rPr>
  </w:style>
  <w:style w:type="character" w:customStyle="1" w:styleId="TitleChar">
    <w:name w:val="Title Char"/>
    <w:basedOn w:val="DefaultParagraphFont"/>
    <w:link w:val="Title"/>
    <w:uiPriority w:val="10"/>
    <w:rsid w:val="00560156"/>
    <w:rPr>
      <w:rFonts w:ascii="Times New Roman" w:eastAsia="Times New Roman" w:hAnsi="Times New Roman" w:cs="Times New Roman"/>
      <w:b/>
      <w:bC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694</Words>
  <Characters>3959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 Korti</dc:creator>
  <cp:lastModifiedBy>Murli Manohar</cp:lastModifiedBy>
  <cp:revision>6</cp:revision>
  <dcterms:created xsi:type="dcterms:W3CDTF">2025-11-20T10:32:00Z</dcterms:created>
  <dcterms:modified xsi:type="dcterms:W3CDTF">2026-02-15T07:49:00Z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2025-05-16T00:00:00Z</vt:filetime>
  </property>
  <property fmtid="{D5CDD505-2E9C-101B-9397-08002B2CF9AE}" pid="3" name="Creator">
    <vt:lpwstr>Microsoft® Word 2021</vt:lpwstr>
  </property>
  <property fmtid="{D5CDD505-2E9C-101B-9397-08002B2CF9AE}" pid="4" name="LastSaved">
    <vt:filetime>2025-10-02T00:00:00Z</vt:filetime>
  </property>
  <property fmtid="{D5CDD505-2E9C-101B-9397-08002B2CF9AE}" pid="5" name="Producer">
    <vt:lpwstr>Microsoft® Word 2021</vt:lpwstr>
  </property>
</Properties>
</file>