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1BCDBF4E" w:rsidR="000F108B" w:rsidRDefault="004D2EAF" w:rsidP="001F059D">
      <w:r>
        <w:rPr>
          <w:noProof/>
        </w:rPr>
        <mc:AlternateContent>
          <mc:Choice Requires="wps">
            <w:drawing>
              <wp:anchor distT="0" distB="0" distL="114300" distR="114300" simplePos="0" relativeHeight="251658242" behindDoc="0" locked="0" layoutInCell="1" allowOverlap="1" wp14:anchorId="4BE7ACF9" wp14:editId="1E05F6C3">
                <wp:simplePos x="0" y="0"/>
                <wp:positionH relativeFrom="column">
                  <wp:posOffset>-551898</wp:posOffset>
                </wp:positionH>
                <wp:positionV relativeFrom="paragraph">
                  <wp:posOffset>4759245</wp:posOffset>
                </wp:positionV>
                <wp:extent cx="3365500" cy="2324100"/>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365500" cy="2324100"/>
                        </a:xfrm>
                        <a:prstGeom prst="rect">
                          <a:avLst/>
                        </a:prstGeom>
                        <a:noFill/>
                        <a:ln w="6350">
                          <a:noFill/>
                        </a:ln>
                      </wps:spPr>
                      <wps:txbx>
                        <w:txbxContent>
                          <w:p w14:paraId="5334AF6B" w14:textId="5227BCA8" w:rsidR="004D2EAF" w:rsidRPr="004D2EAF" w:rsidRDefault="000F108B" w:rsidP="004D2EAF">
                            <w:pPr>
                              <w:pStyle w:val="Title"/>
                            </w:pPr>
                            <w:r w:rsidRPr="001F059D">
                              <w:t>T</w:t>
                            </w:r>
                            <w:r w:rsidR="009B2DC1">
                              <w:t xml:space="preserve">he Architecture of </w:t>
                            </w:r>
                            <w:r w:rsidR="004D2EAF">
                              <w:t xml:space="preserve">Criminal Liability </w:t>
                            </w:r>
                          </w:p>
                          <w:p w14:paraId="0923727F" w14:textId="73B8E8C1" w:rsidR="001F059D" w:rsidRDefault="000F4BF5" w:rsidP="000F4BF5">
                            <w:pPr>
                              <w:pStyle w:val="Subtitle"/>
                            </w:pPr>
                            <w:r>
                              <w:t xml:space="preserve">Conceptual Foundations of Criminal Responsibility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7ACF9" id="_x0000_t202" coordsize="21600,21600" o:spt="202" path="m,l,21600r21600,l21600,xe">
                <v:stroke joinstyle="miter"/>
                <v:path gradientshapeok="t" o:connecttype="rect"/>
              </v:shapetype>
              <v:shape id="Text Box 27" o:spid="_x0000_s1026" type="#_x0000_t202" style="position:absolute;margin-left:-43.45pt;margin-top:374.75pt;width:265pt;height:18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" filled="f" stroked="f" strokeweight=".5pt">
                <v:textbox>
                  <w:txbxContent>
                    <w:p w14:paraId="5334AF6B" w14:textId="5227BCA8" w:rsidR="004D2EAF" w:rsidRPr="004D2EAF" w:rsidRDefault="000F108B" w:rsidP="004D2EAF">
                      <w:pPr>
                        <w:pStyle w:val="Title"/>
                      </w:pPr>
                      <w:r w:rsidRPr="001F059D">
                        <w:t>T</w:t>
                      </w:r>
                      <w:r w:rsidR="009B2DC1">
                        <w:t xml:space="preserve">he Architecture of </w:t>
                      </w:r>
                      <w:r w:rsidR="004D2EAF">
                        <w:t xml:space="preserve">Criminal Liability </w:t>
                      </w:r>
                    </w:p>
                    <w:p w14:paraId="0923727F" w14:textId="73B8E8C1" w:rsidR="001F059D" w:rsidRDefault="000F4BF5" w:rsidP="000F4BF5">
                      <w:pPr>
                        <w:pStyle w:val="Subtitle"/>
                      </w:pPr>
                      <w:r>
                        <w:t xml:space="preserve">Conceptual Foundations of Criminal Responsibility </w:t>
                      </w:r>
                    </w:p>
                  </w:txbxContent>
                </v:textbox>
              </v:shape>
            </w:pict>
          </mc:Fallback>
        </mc:AlternateContent>
      </w:r>
      <w:r w:rsidR="004F7640">
        <w:rPr>
          <w:noProof/>
        </w:rPr>
        <w:drawing>
          <wp:anchor distT="0" distB="0" distL="114300" distR="114300" simplePos="0" relativeHeight="251658240" behindDoc="0" locked="0" layoutInCell="1" allowOverlap="1" wp14:anchorId="18EF27FB" wp14:editId="15CB1C47">
            <wp:simplePos x="0" y="0"/>
            <wp:positionH relativeFrom="column">
              <wp:posOffset>-863600</wp:posOffset>
            </wp:positionH>
            <wp:positionV relativeFrom="paragraph">
              <wp:posOffset>-965200</wp:posOffset>
            </wp:positionV>
            <wp:extent cx="7769860" cy="11240135"/>
            <wp:effectExtent l="0" t="0" r="2540" b="0"/>
            <wp:wrapNone/>
            <wp:docPr id="70070952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69860" cy="1124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6135F">
        <w:rPr>
          <w:noProof/>
        </w:rPr>
        <mc:AlternateContent>
          <mc:Choice Requires="wps">
            <w:drawing>
              <wp:anchor distT="0" distB="0" distL="114300" distR="114300" simplePos="0" relativeHeight="251658243" behindDoc="0" locked="0" layoutInCell="1" allowOverlap="1" wp14:anchorId="6666B828" wp14:editId="1D28ABFE">
                <wp:simplePos x="0" y="0"/>
                <wp:positionH relativeFrom="column">
                  <wp:posOffset>-500267</wp:posOffset>
                </wp:positionH>
                <wp:positionV relativeFrom="paragraph">
                  <wp:posOffset>7454032</wp:posOffset>
                </wp:positionV>
                <wp:extent cx="2433955" cy="313200"/>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313200"/>
                        </a:xfrm>
                        <a:prstGeom prst="rect">
                          <a:avLst/>
                        </a:prstGeom>
                        <a:noFill/>
                        <a:ln w="6350">
                          <a:noFill/>
                        </a:ln>
                      </wps:spPr>
                      <wps:txbx>
                        <w:txbxContent>
                          <w:p w14:paraId="34E472DF" w14:textId="42FC94D6"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7D10C9">
                              <w:rPr>
                                <w:color w:val="FFFFFF" w:themeColor="background1"/>
                                <w:sz w:val="32"/>
                                <w:szCs w:val="32"/>
                              </w:rPr>
                              <w:t xml:space="preserve">Joel Cartisano </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66B828" id="Text Box 21" o:spid="_x0000_s1027" type="#_x0000_t202" style="position:absolute;margin-left:-39.4pt;margin-top:586.95pt;width:191.65pt;height:24.6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" filled="f" stroked="f" strokeweight=".5pt">
                <v:textbox>
                  <w:txbxContent>
                    <w:p w14:paraId="34E472DF" w14:textId="42FC94D6"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7D10C9">
                        <w:rPr>
                          <w:color w:val="FFFFFF" w:themeColor="background1"/>
                          <w:sz w:val="32"/>
                          <w:szCs w:val="32"/>
                        </w:rPr>
                        <w:t xml:space="preserve">Joel Cartisano </w:t>
                      </w:r>
                    </w:p>
                    <w:p w14:paraId="3B17B765" w14:textId="77777777" w:rsidR="000F108B" w:rsidRDefault="000F108B" w:rsidP="001F059D"/>
                  </w:txbxContent>
                </v:textbox>
              </v:shape>
            </w:pict>
          </mc:Fallback>
        </mc:AlternateContent>
      </w:r>
      <w:r w:rsidR="00580005">
        <w:rPr>
          <w:noProof/>
        </w:rPr>
        <mc:AlternateContent>
          <mc:Choice Requires="wpg">
            <w:drawing>
              <wp:anchor distT="0" distB="0" distL="114300" distR="114300" simplePos="0" relativeHeight="251658241" behindDoc="0" locked="0" layoutInCell="1" allowOverlap="1" wp14:anchorId="2B6E4E9D" wp14:editId="46A6D3C0">
                <wp:simplePos x="0" y="0"/>
                <wp:positionH relativeFrom="column">
                  <wp:posOffset>-859420</wp:posOffset>
                </wp:positionH>
                <wp:positionV relativeFrom="paragraph">
                  <wp:posOffset>-960699</wp:posOffset>
                </wp:positionV>
                <wp:extent cx="7769860" cy="10930890"/>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860" cy="10930890"/>
                          <a:chOff x="0" y="-51025"/>
                          <a:chExt cx="7769915"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txbx>
                          <w:txbxContent>
                            <w:p w14:paraId="09DD7255" w14:textId="77777777" w:rsidR="004F7640" w:rsidRDefault="004F7640" w:rsidP="004F76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69" y="12698"/>
                            <a:ext cx="3620995" cy="6779909"/>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2B6E4E9D" id="Group 23" o:spid="_x0000_s1028" style="position:absolute;margin-left:-67.65pt;margin-top:-75.65pt;width:611.8pt;height:860.7pt;z-index:251658241;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">
                <v:rect id="Rectangle 15" o:spid="_x0000_s1029"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30"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31"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2"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3"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4"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textbox>
                    <w:txbxContent>
                      <w:p w14:paraId="09DD7255" w14:textId="77777777" w:rsidR="004F7640" w:rsidRDefault="004F7640" w:rsidP="004F7640">
                        <w:pPr>
                          <w:jc w:val="center"/>
                        </w:pPr>
                      </w:p>
                    </w:txbxContent>
                  </v:textbox>
                </v:shape>
                <v:line id="Straight Connector 19" o:spid="_x0000_s1035" style="position:absolute;flip:x y;visibility:visible;mso-wrap-style:square" from="6153,126" to="42363,679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6"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7"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8"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sidR="000F108B">
        <w:br w:type="page"/>
      </w:r>
    </w:p>
    <w:p w14:paraId="267E2FB4" w14:textId="77777777" w:rsidR="00E34033" w:rsidRPr="00E34033" w:rsidRDefault="00E34033" w:rsidP="00E34033">
      <w:pPr>
        <w:jc w:val="center"/>
        <w:outlineLvl w:val="0"/>
        <w:rPr>
          <w:color w:val="215E99" w:themeColor="text2" w:themeTint="BF"/>
          <w:sz w:val="28"/>
          <w:szCs w:val="28"/>
        </w:rPr>
      </w:pPr>
      <w:r w:rsidRPr="00E34033">
        <w:rPr>
          <w:color w:val="215E99" w:themeColor="text2" w:themeTint="BF"/>
          <w:sz w:val="28"/>
          <w:szCs w:val="28"/>
        </w:rPr>
        <w:lastRenderedPageBreak/>
        <w:t>I INTRODUCTION</w:t>
      </w:r>
    </w:p>
    <w:p w14:paraId="51F8C676" w14:textId="77777777" w:rsidR="00E34033" w:rsidRPr="00E34033" w:rsidRDefault="00E34033" w:rsidP="00E34033">
      <w:pPr>
        <w:spacing w:before="200" w:after="200"/>
        <w:rPr>
          <w:rFonts w:eastAsia="Times New Roman"/>
          <w:sz w:val="24"/>
          <w:szCs w:val="24"/>
        </w:rPr>
      </w:pPr>
      <w:r w:rsidRPr="00E34033">
        <w:rPr>
          <w:rFonts w:eastAsia="Times New Roman"/>
          <w:sz w:val="24"/>
          <w:szCs w:val="24"/>
        </w:rPr>
        <w:t>Criminal liability in common law systems rests upon the coincidence of two established elements: a guilty act (</w:t>
      </w:r>
      <w:r w:rsidRPr="00E34033">
        <w:rPr>
          <w:rFonts w:eastAsia="Times New Roman"/>
          <w:i/>
          <w:iCs/>
          <w:sz w:val="24"/>
          <w:szCs w:val="24"/>
        </w:rPr>
        <w:t>actus reus</w:t>
      </w:r>
      <w:r w:rsidRPr="00E34033">
        <w:rPr>
          <w:rFonts w:eastAsia="Times New Roman"/>
          <w:sz w:val="24"/>
          <w:szCs w:val="24"/>
        </w:rPr>
        <w:t>) and a guilty mind (</w:t>
      </w:r>
      <w:proofErr w:type="spellStart"/>
      <w:r w:rsidRPr="00E34033">
        <w:rPr>
          <w:rFonts w:eastAsia="Times New Roman"/>
          <w:i/>
          <w:iCs/>
          <w:sz w:val="24"/>
          <w:szCs w:val="24"/>
        </w:rPr>
        <w:t>mens</w:t>
      </w:r>
      <w:proofErr w:type="spellEnd"/>
      <w:r w:rsidRPr="00E34033">
        <w:rPr>
          <w:rFonts w:eastAsia="Times New Roman"/>
          <w:i/>
          <w:iCs/>
          <w:sz w:val="24"/>
          <w:szCs w:val="24"/>
        </w:rPr>
        <w:t xml:space="preserve"> rea</w:t>
      </w:r>
      <w:r w:rsidRPr="00E34033">
        <w:rPr>
          <w:rFonts w:eastAsia="Times New Roman"/>
          <w:sz w:val="24"/>
          <w:szCs w:val="24"/>
        </w:rPr>
        <w:t>). These principles form the foundation of criminal responsibility, ensuring that liability is imposed only where an accused has engaged in prohibited conduct accompanied by a legally relevant mental state.</w:t>
      </w:r>
    </w:p>
    <w:p w14:paraId="4FE26DF0" w14:textId="77777777" w:rsidR="00E34033" w:rsidRPr="00E34033" w:rsidRDefault="00E34033" w:rsidP="00E34033">
      <w:pPr>
        <w:spacing w:before="200" w:after="200"/>
        <w:rPr>
          <w:rFonts w:eastAsia="Times New Roman"/>
          <w:sz w:val="24"/>
          <w:szCs w:val="24"/>
        </w:rPr>
      </w:pPr>
      <w:r w:rsidRPr="00E34033">
        <w:rPr>
          <w:rFonts w:eastAsia="Times New Roman"/>
          <w:sz w:val="24"/>
          <w:szCs w:val="24"/>
        </w:rPr>
        <w:t>But what role does each element play in determining criminal responsibility, and how does causation contribute to the establishment of criminal liability?</w:t>
      </w:r>
    </w:p>
    <w:p w14:paraId="3CA07E8F" w14:textId="77777777" w:rsidR="00E34033" w:rsidRPr="00E34033" w:rsidRDefault="00E34033" w:rsidP="00E34033">
      <w:pPr>
        <w:jc w:val="center"/>
        <w:outlineLvl w:val="0"/>
        <w:rPr>
          <w:color w:val="215E99" w:themeColor="text2" w:themeTint="BF"/>
          <w:sz w:val="28"/>
          <w:szCs w:val="28"/>
        </w:rPr>
      </w:pPr>
      <w:bookmarkStart w:id="0" w:name="_10qsvb18s89n" w:colFirst="0" w:colLast="0"/>
      <w:bookmarkEnd w:id="0"/>
      <w:r w:rsidRPr="00E34033">
        <w:rPr>
          <w:color w:val="215E99" w:themeColor="text2" w:themeTint="BF"/>
          <w:sz w:val="28"/>
          <w:szCs w:val="28"/>
        </w:rPr>
        <w:t>II ELEMENTS OF LIABILITY</w:t>
      </w:r>
    </w:p>
    <w:p w14:paraId="7423FCC7" w14:textId="77777777" w:rsidR="00E34033" w:rsidRPr="00E34033" w:rsidRDefault="00E34033" w:rsidP="00E34033">
      <w:pPr>
        <w:spacing w:before="240"/>
        <w:rPr>
          <w:rFonts w:eastAsia="Times New Roman"/>
          <w:sz w:val="24"/>
          <w:szCs w:val="24"/>
        </w:rPr>
      </w:pPr>
      <w:r w:rsidRPr="00E34033">
        <w:rPr>
          <w:rFonts w:eastAsia="Times New Roman"/>
          <w:sz w:val="24"/>
          <w:szCs w:val="24"/>
        </w:rPr>
        <w:t xml:space="preserve">To truly understand the role of </w:t>
      </w:r>
      <w:r w:rsidRPr="00E34033">
        <w:rPr>
          <w:rFonts w:eastAsia="Times New Roman"/>
          <w:i/>
          <w:iCs/>
          <w:sz w:val="24"/>
          <w:szCs w:val="24"/>
        </w:rPr>
        <w:t>actus reus</w:t>
      </w:r>
      <w:r w:rsidRPr="00E34033">
        <w:rPr>
          <w:rFonts w:eastAsia="Times New Roman"/>
          <w:sz w:val="24"/>
          <w:szCs w:val="24"/>
        </w:rPr>
        <w:t xml:space="preserve"> and </w:t>
      </w:r>
      <w:proofErr w:type="spellStart"/>
      <w:r w:rsidRPr="00E34033">
        <w:rPr>
          <w:rFonts w:eastAsia="Times New Roman"/>
          <w:i/>
          <w:iCs/>
          <w:sz w:val="24"/>
          <w:szCs w:val="24"/>
        </w:rPr>
        <w:t>mens</w:t>
      </w:r>
      <w:proofErr w:type="spellEnd"/>
      <w:r w:rsidRPr="00E34033">
        <w:rPr>
          <w:rFonts w:eastAsia="Times New Roman"/>
          <w:i/>
          <w:iCs/>
          <w:sz w:val="24"/>
          <w:szCs w:val="24"/>
        </w:rPr>
        <w:t xml:space="preserve"> rea</w:t>
      </w:r>
      <w:r w:rsidRPr="00E34033">
        <w:rPr>
          <w:rFonts w:eastAsia="Times New Roman"/>
          <w:sz w:val="24"/>
          <w:szCs w:val="24"/>
        </w:rPr>
        <w:t xml:space="preserve"> in attributing criminal responsibility, their conceptual distinction and historical development must be considered.</w:t>
      </w:r>
    </w:p>
    <w:p w14:paraId="23A54D6A" w14:textId="77777777" w:rsidR="00E34033" w:rsidRPr="00E34033" w:rsidRDefault="00E34033" w:rsidP="00E34033">
      <w:pPr>
        <w:widowControl w:val="0"/>
        <w:spacing w:before="200"/>
        <w:rPr>
          <w:rFonts w:eastAsia="Times New Roman"/>
          <w:color w:val="111111"/>
          <w:sz w:val="24"/>
          <w:szCs w:val="24"/>
        </w:rPr>
      </w:pPr>
      <w:r w:rsidRPr="5F370480">
        <w:rPr>
          <w:rFonts w:eastAsia="Times New Roman"/>
          <w:b/>
          <w:bCs/>
          <w:i/>
          <w:iCs/>
          <w:color w:val="111111"/>
          <w:sz w:val="24"/>
          <w:szCs w:val="24"/>
        </w:rPr>
        <w:t>Actus reus</w:t>
      </w:r>
      <w:r w:rsidRPr="00E34033">
        <w:rPr>
          <w:rFonts w:eastAsia="Times New Roman"/>
          <w:color w:val="111111"/>
          <w:sz w:val="24"/>
          <w:szCs w:val="24"/>
        </w:rPr>
        <w:t xml:space="preserve"> refers to “</w:t>
      </w:r>
      <w:r w:rsidRPr="5F370480">
        <w:rPr>
          <w:rFonts w:eastAsia="Times New Roman"/>
          <w:i/>
          <w:iCs/>
          <w:color w:val="111111"/>
          <w:sz w:val="24"/>
          <w:szCs w:val="24"/>
        </w:rPr>
        <w:t>the physical elements of a crime</w:t>
      </w:r>
      <w:r w:rsidRPr="00E34033">
        <w:rPr>
          <w:rFonts w:eastAsia="Times New Roman"/>
          <w:sz w:val="24"/>
          <w:szCs w:val="24"/>
        </w:rPr>
        <w:t>”,</w:t>
      </w:r>
      <w:r w:rsidRPr="00E34033">
        <w:rPr>
          <w:rFonts w:eastAsia="Times New Roman"/>
          <w:sz w:val="24"/>
          <w:szCs w:val="24"/>
          <w:vertAlign w:val="superscript"/>
        </w:rPr>
        <w:footnoteReference w:id="1"/>
      </w:r>
      <w:r w:rsidRPr="00E34033">
        <w:rPr>
          <w:rFonts w:eastAsia="Times New Roman"/>
          <w:sz w:val="24"/>
          <w:szCs w:val="24"/>
        </w:rPr>
        <w:t xml:space="preserve"> </w:t>
      </w:r>
      <w:r w:rsidRPr="00E34033">
        <w:rPr>
          <w:rFonts w:eastAsia="Times New Roman"/>
          <w:color w:val="111111"/>
          <w:sz w:val="24"/>
          <w:szCs w:val="24"/>
        </w:rPr>
        <w:t>comprising both voluntary bodily movements and legally significant omissions</w:t>
      </w:r>
      <w:r w:rsidRPr="00E34033">
        <w:rPr>
          <w:rFonts w:eastAsia="Times New Roman"/>
          <w:sz w:val="24"/>
          <w:szCs w:val="24"/>
        </w:rPr>
        <w:t>.</w:t>
      </w:r>
      <w:r w:rsidRPr="00E34033">
        <w:rPr>
          <w:rFonts w:eastAsia="Times New Roman"/>
          <w:sz w:val="24"/>
          <w:szCs w:val="24"/>
          <w:vertAlign w:val="superscript"/>
        </w:rPr>
        <w:footnoteReference w:id="2"/>
      </w:r>
      <w:r w:rsidRPr="00E34033">
        <w:rPr>
          <w:rFonts w:eastAsia="Times New Roman"/>
          <w:color w:val="111111"/>
          <w:sz w:val="24"/>
          <w:szCs w:val="24"/>
        </w:rPr>
        <w:t xml:space="preserve"> This includes circumstances in which an accused fails to act despite being under a legal duty to do so, particularly in cases involving negligence</w:t>
      </w:r>
      <w:r w:rsidRPr="00E34033">
        <w:rPr>
          <w:rFonts w:eastAsia="Times New Roman"/>
          <w:sz w:val="24"/>
          <w:szCs w:val="24"/>
        </w:rPr>
        <w:t>.</w:t>
      </w:r>
      <w:r w:rsidRPr="00E34033">
        <w:rPr>
          <w:rFonts w:eastAsia="Times New Roman"/>
          <w:sz w:val="24"/>
          <w:szCs w:val="24"/>
          <w:vertAlign w:val="superscript"/>
        </w:rPr>
        <w:footnoteReference w:id="3"/>
      </w:r>
      <w:r w:rsidRPr="00E34033">
        <w:rPr>
          <w:rFonts w:eastAsia="Times New Roman"/>
          <w:color w:val="111111"/>
          <w:sz w:val="24"/>
          <w:szCs w:val="24"/>
        </w:rPr>
        <w:t xml:space="preserve"> In offences of strict liability, such as certain traffic offences (e.g. speeding), the establishment of actus reus alone is sufficient to ground criminal liability.</w:t>
      </w:r>
    </w:p>
    <w:p w14:paraId="17979D5F" w14:textId="77777777" w:rsidR="00E34033" w:rsidRPr="00E34033" w:rsidRDefault="00E34033" w:rsidP="00E34033">
      <w:pPr>
        <w:spacing w:before="200" w:after="200"/>
        <w:rPr>
          <w:rFonts w:eastAsia="Times New Roman"/>
          <w:sz w:val="24"/>
          <w:szCs w:val="24"/>
        </w:rPr>
      </w:pPr>
      <w:r w:rsidRPr="00E34033">
        <w:rPr>
          <w:rFonts w:eastAsia="Times New Roman"/>
          <w:color w:val="111111"/>
          <w:sz w:val="24"/>
          <w:szCs w:val="24"/>
        </w:rPr>
        <w:t xml:space="preserve">Conversely, </w:t>
      </w:r>
      <w:proofErr w:type="spellStart"/>
      <w:r w:rsidRPr="5F370480">
        <w:rPr>
          <w:rFonts w:eastAsia="Times New Roman"/>
          <w:b/>
          <w:bCs/>
          <w:i/>
          <w:iCs/>
          <w:color w:val="111111"/>
          <w:sz w:val="24"/>
          <w:szCs w:val="24"/>
        </w:rPr>
        <w:t>mens</w:t>
      </w:r>
      <w:proofErr w:type="spellEnd"/>
      <w:r w:rsidRPr="5F370480">
        <w:rPr>
          <w:rFonts w:eastAsia="Times New Roman"/>
          <w:b/>
          <w:bCs/>
          <w:i/>
          <w:iCs/>
          <w:color w:val="111111"/>
          <w:sz w:val="24"/>
          <w:szCs w:val="24"/>
        </w:rPr>
        <w:t xml:space="preserve"> rea</w:t>
      </w:r>
      <w:r w:rsidRPr="00E34033">
        <w:rPr>
          <w:rFonts w:eastAsia="Times New Roman"/>
          <w:color w:val="111111"/>
          <w:sz w:val="24"/>
          <w:szCs w:val="24"/>
        </w:rPr>
        <w:t xml:space="preserve"> concerns the mental state of the defendant at the time an offence is committed and has been described as “</w:t>
      </w:r>
      <w:r w:rsidRPr="5F370480">
        <w:rPr>
          <w:rFonts w:eastAsia="Times New Roman"/>
          <w:i/>
          <w:iCs/>
          <w:color w:val="111111"/>
          <w:sz w:val="24"/>
          <w:szCs w:val="24"/>
        </w:rPr>
        <w:t>one of the most fundamental safeguards within criminal law</w:t>
      </w:r>
      <w:r w:rsidRPr="00E34033">
        <w:rPr>
          <w:rFonts w:eastAsia="Times New Roman"/>
          <w:color w:val="111111"/>
          <w:sz w:val="24"/>
          <w:szCs w:val="24"/>
        </w:rPr>
        <w:t>”.</w:t>
      </w:r>
      <w:r w:rsidRPr="00E34033">
        <w:rPr>
          <w:rFonts w:eastAsia="Times New Roman"/>
          <w:sz w:val="24"/>
          <w:szCs w:val="24"/>
          <w:vertAlign w:val="superscript"/>
        </w:rPr>
        <w:footnoteReference w:id="4"/>
      </w:r>
      <w:r w:rsidRPr="00E34033">
        <w:rPr>
          <w:rFonts w:eastAsia="Times New Roman"/>
          <w:sz w:val="24"/>
          <w:szCs w:val="24"/>
        </w:rPr>
        <w:t xml:space="preserve"> </w:t>
      </w:r>
      <w:r w:rsidRPr="00E34033">
        <w:rPr>
          <w:rFonts w:eastAsia="Times New Roman"/>
          <w:color w:val="111111"/>
          <w:sz w:val="24"/>
          <w:szCs w:val="24"/>
        </w:rPr>
        <w:t xml:space="preserve">In criminal proceedings, alongside </w:t>
      </w:r>
      <w:r w:rsidRPr="5F370480">
        <w:rPr>
          <w:rFonts w:eastAsia="Times New Roman"/>
          <w:i/>
          <w:iCs/>
          <w:color w:val="111111"/>
          <w:sz w:val="24"/>
          <w:szCs w:val="24"/>
        </w:rPr>
        <w:t>actus reus</w:t>
      </w:r>
      <w:r w:rsidRPr="00E34033">
        <w:rPr>
          <w:rFonts w:eastAsia="Times New Roman"/>
          <w:color w:val="111111"/>
          <w:sz w:val="24"/>
          <w:szCs w:val="24"/>
        </w:rPr>
        <w:t>, the prosecution must ordinarily prove beyond reasonable doubt that the accused acted with a culpable state of mind. Accordingly, it must be established that the defendant possessed awareness of the facts that rendered their conduct criminal, and that such “awareness existed in the ordinary course of events”.</w:t>
      </w:r>
      <w:r w:rsidRPr="00E34033">
        <w:rPr>
          <w:rFonts w:eastAsia="Times New Roman"/>
          <w:color w:val="111111"/>
          <w:sz w:val="24"/>
          <w:szCs w:val="24"/>
          <w:vertAlign w:val="superscript"/>
        </w:rPr>
        <w:footnoteReference w:id="5"/>
      </w:r>
      <w:r w:rsidRPr="00E34033">
        <w:rPr>
          <w:rFonts w:eastAsia="Times New Roman"/>
          <w:color w:val="111111"/>
          <w:sz w:val="24"/>
          <w:szCs w:val="24"/>
        </w:rPr>
        <w:t xml:space="preserve"> </w:t>
      </w:r>
      <w:r w:rsidRPr="00E34033">
        <w:rPr>
          <w:rFonts w:eastAsia="Times New Roman"/>
          <w:sz w:val="24"/>
          <w:szCs w:val="24"/>
        </w:rPr>
        <w:t xml:space="preserve">This principle was further embedded within common law by Justice Holmes Jr, </w:t>
      </w:r>
      <w:r w:rsidRPr="00E34033">
        <w:rPr>
          <w:rFonts w:eastAsia="Times New Roman"/>
          <w:color w:val="111111"/>
          <w:sz w:val="24"/>
          <w:szCs w:val="24"/>
        </w:rPr>
        <w:t>who observed that “</w:t>
      </w:r>
      <w:r w:rsidRPr="5F370480">
        <w:rPr>
          <w:rFonts w:eastAsia="Times New Roman"/>
          <w:i/>
          <w:iCs/>
          <w:color w:val="111111"/>
          <w:sz w:val="24"/>
          <w:szCs w:val="24"/>
        </w:rPr>
        <w:t>even a dog knows the difference between being stumbled over and being kicked</w:t>
      </w:r>
      <w:r w:rsidRPr="00E34033">
        <w:rPr>
          <w:rFonts w:eastAsia="Times New Roman"/>
          <w:color w:val="111111"/>
          <w:sz w:val="24"/>
          <w:szCs w:val="24"/>
        </w:rPr>
        <w:t>”,</w:t>
      </w:r>
      <w:r w:rsidRPr="00E34033">
        <w:rPr>
          <w:rFonts w:eastAsia="Times New Roman"/>
          <w:sz w:val="24"/>
          <w:szCs w:val="24"/>
          <w:vertAlign w:val="superscript"/>
        </w:rPr>
        <w:footnoteReference w:id="6"/>
      </w:r>
      <w:r w:rsidRPr="00E34033">
        <w:rPr>
          <w:rFonts w:eastAsia="Times New Roman"/>
          <w:sz w:val="24"/>
          <w:szCs w:val="24"/>
        </w:rPr>
        <w:t xml:space="preserve"> thereby reflecting the law’s recognition of the moral distinction between accidental and intentional wrongdoing.</w:t>
      </w:r>
    </w:p>
    <w:p w14:paraId="2E7D1264" w14:textId="77777777" w:rsidR="00E34033" w:rsidRPr="00E34033" w:rsidRDefault="00E34033" w:rsidP="00E34033">
      <w:pPr>
        <w:spacing w:before="320"/>
        <w:rPr>
          <w:rFonts w:eastAsia="Times New Roman"/>
          <w:sz w:val="24"/>
          <w:szCs w:val="24"/>
        </w:rPr>
      </w:pPr>
      <w:r w:rsidRPr="00E34033">
        <w:rPr>
          <w:rFonts w:eastAsia="Times New Roman"/>
          <w:sz w:val="24"/>
          <w:szCs w:val="24"/>
        </w:rPr>
        <w:lastRenderedPageBreak/>
        <w:t xml:space="preserve">While </w:t>
      </w:r>
      <w:r w:rsidRPr="00E34033">
        <w:rPr>
          <w:rFonts w:eastAsia="Times New Roman"/>
          <w:i/>
          <w:iCs/>
          <w:sz w:val="24"/>
          <w:szCs w:val="24"/>
        </w:rPr>
        <w:t>actus reus</w:t>
      </w:r>
      <w:r w:rsidRPr="00E34033">
        <w:rPr>
          <w:rFonts w:eastAsia="Times New Roman"/>
          <w:sz w:val="24"/>
          <w:szCs w:val="24"/>
        </w:rPr>
        <w:t xml:space="preserve"> and</w:t>
      </w:r>
      <w:r w:rsidRPr="00E34033">
        <w:rPr>
          <w:rFonts w:eastAsia="Times New Roman"/>
          <w:i/>
          <w:iCs/>
          <w:sz w:val="24"/>
          <w:szCs w:val="24"/>
        </w:rPr>
        <w:t xml:space="preserve"> </w:t>
      </w:r>
      <w:proofErr w:type="spellStart"/>
      <w:r w:rsidRPr="00E34033">
        <w:rPr>
          <w:rFonts w:eastAsia="Times New Roman"/>
          <w:i/>
          <w:iCs/>
          <w:sz w:val="24"/>
          <w:szCs w:val="24"/>
        </w:rPr>
        <w:t>mens</w:t>
      </w:r>
      <w:proofErr w:type="spellEnd"/>
      <w:r w:rsidRPr="00E34033">
        <w:rPr>
          <w:rFonts w:eastAsia="Times New Roman"/>
          <w:i/>
          <w:iCs/>
          <w:sz w:val="24"/>
          <w:szCs w:val="24"/>
        </w:rPr>
        <w:t xml:space="preserve"> rea</w:t>
      </w:r>
      <w:r w:rsidRPr="00E34033">
        <w:rPr>
          <w:rFonts w:eastAsia="Times New Roman"/>
          <w:sz w:val="24"/>
          <w:szCs w:val="24"/>
        </w:rPr>
        <w:t xml:space="preserve"> establish the conduct and fault required for criminal responsibility, liability in many offences further depends upon proof of </w:t>
      </w:r>
      <w:r w:rsidRPr="00E34033">
        <w:rPr>
          <w:rFonts w:eastAsia="Times New Roman"/>
          <w:i/>
          <w:iCs/>
          <w:sz w:val="24"/>
          <w:szCs w:val="24"/>
        </w:rPr>
        <w:t>causation</w:t>
      </w:r>
      <w:r w:rsidRPr="00E34033">
        <w:rPr>
          <w:rFonts w:eastAsia="Times New Roman"/>
          <w:sz w:val="24"/>
          <w:szCs w:val="24"/>
        </w:rPr>
        <w:t xml:space="preserve">. </w:t>
      </w:r>
    </w:p>
    <w:p w14:paraId="0F3747BE" w14:textId="77777777" w:rsidR="00E34033" w:rsidRPr="00E34033" w:rsidRDefault="00E34033" w:rsidP="00E34033">
      <w:pPr>
        <w:spacing w:before="80"/>
        <w:rPr>
          <w:rFonts w:eastAsia="Times New Roman"/>
          <w:sz w:val="24"/>
          <w:szCs w:val="24"/>
          <w:shd w:val="clear" w:color="auto" w:fill="FFF2CC"/>
        </w:rPr>
      </w:pPr>
      <w:r w:rsidRPr="00E34033">
        <w:rPr>
          <w:rFonts w:eastAsia="Times New Roman"/>
          <w:b/>
          <w:bCs/>
          <w:i/>
          <w:iCs/>
          <w:sz w:val="24"/>
          <w:szCs w:val="24"/>
        </w:rPr>
        <w:t>Causation</w:t>
      </w:r>
      <w:r w:rsidRPr="00E34033">
        <w:rPr>
          <w:rFonts w:eastAsia="Times New Roman"/>
          <w:sz w:val="24"/>
          <w:szCs w:val="24"/>
        </w:rPr>
        <w:t xml:space="preserve"> concerns the connection between the defendant’s conduct and the prohibited consequence, ensuring that criminal punishment is imposed only where the conduct can be said to have brought about the relevant harm. This requirement operates as an additional safeguard, such that where causation cannot be established, criminal liability will fail, even if both </w:t>
      </w:r>
      <w:r w:rsidRPr="00E34033">
        <w:rPr>
          <w:rFonts w:eastAsia="Times New Roman"/>
          <w:i/>
          <w:iCs/>
          <w:sz w:val="24"/>
          <w:szCs w:val="24"/>
        </w:rPr>
        <w:t>actus reus</w:t>
      </w:r>
      <w:r w:rsidRPr="00E34033">
        <w:rPr>
          <w:rFonts w:eastAsia="Times New Roman"/>
          <w:sz w:val="24"/>
          <w:szCs w:val="24"/>
        </w:rPr>
        <w:t xml:space="preserve"> and </w:t>
      </w:r>
      <w:proofErr w:type="spellStart"/>
      <w:r w:rsidRPr="00E34033">
        <w:rPr>
          <w:rFonts w:eastAsia="Times New Roman"/>
          <w:i/>
          <w:iCs/>
          <w:sz w:val="24"/>
          <w:szCs w:val="24"/>
        </w:rPr>
        <w:t>mens</w:t>
      </w:r>
      <w:proofErr w:type="spellEnd"/>
      <w:r w:rsidRPr="00E34033">
        <w:rPr>
          <w:rFonts w:eastAsia="Times New Roman"/>
          <w:i/>
          <w:iCs/>
          <w:sz w:val="24"/>
          <w:szCs w:val="24"/>
        </w:rPr>
        <w:t xml:space="preserve"> rea</w:t>
      </w:r>
      <w:r w:rsidRPr="00E34033">
        <w:rPr>
          <w:rFonts w:eastAsia="Times New Roman"/>
          <w:sz w:val="24"/>
          <w:szCs w:val="24"/>
        </w:rPr>
        <w:t xml:space="preserve"> are present.</w:t>
      </w:r>
    </w:p>
    <w:p w14:paraId="56C80D74" w14:textId="77777777" w:rsidR="00E34033" w:rsidRPr="00E34033" w:rsidRDefault="00E34033" w:rsidP="00E34033">
      <w:pPr>
        <w:jc w:val="center"/>
        <w:outlineLvl w:val="0"/>
        <w:rPr>
          <w:color w:val="215E99" w:themeColor="text2" w:themeTint="BF"/>
          <w:sz w:val="24"/>
          <w:szCs w:val="24"/>
        </w:rPr>
      </w:pPr>
      <w:bookmarkStart w:id="1" w:name="_lk4tuvfd5jwm" w:colFirst="0" w:colLast="0"/>
      <w:bookmarkEnd w:id="1"/>
      <w:r w:rsidRPr="00E34033">
        <w:rPr>
          <w:color w:val="215E99" w:themeColor="text2" w:themeTint="BF"/>
          <w:sz w:val="28"/>
          <w:szCs w:val="28"/>
        </w:rPr>
        <w:t>III HISTORICAL DEVELOPMENT</w:t>
      </w:r>
    </w:p>
    <w:p w14:paraId="53B8F547" w14:textId="77777777" w:rsidR="00E34033" w:rsidRPr="00E34033" w:rsidRDefault="00E34033" w:rsidP="00E34033">
      <w:pPr>
        <w:spacing w:before="240"/>
        <w:rPr>
          <w:rFonts w:eastAsia="Times New Roman"/>
          <w:b/>
          <w:bCs/>
          <w:sz w:val="24"/>
          <w:szCs w:val="24"/>
        </w:rPr>
      </w:pPr>
      <w:r w:rsidRPr="00E34033">
        <w:rPr>
          <w:rFonts w:eastAsia="Times New Roman"/>
          <w:sz w:val="24"/>
          <w:szCs w:val="24"/>
        </w:rPr>
        <w:t xml:space="preserve">The presumption that criminal offences require proof of </w:t>
      </w:r>
      <w:proofErr w:type="spellStart"/>
      <w:r w:rsidRPr="5F370480">
        <w:rPr>
          <w:rFonts w:eastAsia="Times New Roman"/>
          <w:i/>
          <w:iCs/>
          <w:sz w:val="24"/>
          <w:szCs w:val="24"/>
        </w:rPr>
        <w:t>mens</w:t>
      </w:r>
      <w:proofErr w:type="spellEnd"/>
      <w:r w:rsidRPr="5F370480">
        <w:rPr>
          <w:rFonts w:eastAsia="Times New Roman"/>
          <w:i/>
          <w:iCs/>
          <w:sz w:val="24"/>
          <w:szCs w:val="24"/>
        </w:rPr>
        <w:t xml:space="preserve"> rea</w:t>
      </w:r>
      <w:r w:rsidRPr="00E34033">
        <w:rPr>
          <w:rFonts w:eastAsia="Times New Roman"/>
          <w:sz w:val="24"/>
          <w:szCs w:val="24"/>
        </w:rPr>
        <w:t xml:space="preserve"> reflects a significant doctrinal development within the common law. This shift found classical expression in the seventeenth-century writings of Sir Edward Coke, who enunciated the maxim “</w:t>
      </w:r>
      <w:r w:rsidRPr="5F370480">
        <w:rPr>
          <w:rFonts w:eastAsia="Times New Roman"/>
          <w:i/>
          <w:iCs/>
          <w:sz w:val="24"/>
          <w:szCs w:val="24"/>
        </w:rPr>
        <w:t xml:space="preserve">actus non facit </w:t>
      </w:r>
      <w:proofErr w:type="spellStart"/>
      <w:r w:rsidRPr="5F370480">
        <w:rPr>
          <w:rFonts w:eastAsia="Times New Roman"/>
          <w:i/>
          <w:iCs/>
          <w:sz w:val="24"/>
          <w:szCs w:val="24"/>
        </w:rPr>
        <w:t>reum</w:t>
      </w:r>
      <w:proofErr w:type="spellEnd"/>
      <w:r w:rsidRPr="5F370480">
        <w:rPr>
          <w:rFonts w:eastAsia="Times New Roman"/>
          <w:i/>
          <w:iCs/>
          <w:sz w:val="24"/>
          <w:szCs w:val="24"/>
        </w:rPr>
        <w:t xml:space="preserve">, nisi </w:t>
      </w:r>
      <w:proofErr w:type="spellStart"/>
      <w:r w:rsidRPr="5F370480">
        <w:rPr>
          <w:rFonts w:eastAsia="Times New Roman"/>
          <w:i/>
          <w:iCs/>
          <w:sz w:val="24"/>
          <w:szCs w:val="24"/>
        </w:rPr>
        <w:t>mens</w:t>
      </w:r>
      <w:proofErr w:type="spellEnd"/>
      <w:r w:rsidRPr="5F370480">
        <w:rPr>
          <w:rFonts w:eastAsia="Times New Roman"/>
          <w:i/>
          <w:iCs/>
          <w:sz w:val="24"/>
          <w:szCs w:val="24"/>
        </w:rPr>
        <w:t xml:space="preserve"> sit rea</w:t>
      </w:r>
      <w:r w:rsidRPr="00E34033">
        <w:rPr>
          <w:rFonts w:eastAsia="Times New Roman"/>
          <w:sz w:val="24"/>
          <w:szCs w:val="24"/>
        </w:rPr>
        <w:t>”, which means: “an act does not make a person guilty unless their mind is also guilty”.</w:t>
      </w:r>
      <w:r w:rsidRPr="00E34033">
        <w:rPr>
          <w:rFonts w:eastAsia="Times New Roman"/>
          <w:sz w:val="24"/>
          <w:szCs w:val="24"/>
          <w:vertAlign w:val="superscript"/>
        </w:rPr>
        <w:footnoteReference w:id="7"/>
      </w:r>
    </w:p>
    <w:p w14:paraId="79A69256" w14:textId="77777777" w:rsidR="00E34033" w:rsidRPr="00E34033" w:rsidRDefault="00E34033" w:rsidP="00E34033">
      <w:pPr>
        <w:spacing w:before="240"/>
        <w:rPr>
          <w:rFonts w:eastAsia="Times New Roman"/>
          <w:sz w:val="24"/>
          <w:szCs w:val="24"/>
        </w:rPr>
      </w:pPr>
      <w:r w:rsidRPr="00E34033">
        <w:rPr>
          <w:rFonts w:eastAsia="Times New Roman"/>
          <w:sz w:val="24"/>
          <w:szCs w:val="24"/>
        </w:rPr>
        <w:t xml:space="preserve">This principle was subsequently affirmed in </w:t>
      </w:r>
      <w:proofErr w:type="spellStart"/>
      <w:r w:rsidRPr="5F370480">
        <w:rPr>
          <w:rFonts w:eastAsia="Times New Roman"/>
          <w:i/>
          <w:iCs/>
          <w:sz w:val="24"/>
          <w:szCs w:val="24"/>
        </w:rPr>
        <w:t>Sherras</w:t>
      </w:r>
      <w:proofErr w:type="spellEnd"/>
      <w:r w:rsidRPr="5F370480">
        <w:rPr>
          <w:rFonts w:eastAsia="Times New Roman"/>
          <w:i/>
          <w:iCs/>
          <w:sz w:val="24"/>
          <w:szCs w:val="24"/>
        </w:rPr>
        <w:t xml:space="preserve"> v De Rutzen (1895)</w:t>
      </w:r>
      <w:r w:rsidRPr="00E34033">
        <w:rPr>
          <w:rFonts w:eastAsia="Times New Roman"/>
          <w:sz w:val="24"/>
          <w:szCs w:val="24"/>
        </w:rPr>
        <w:t>, where the court recognised that “</w:t>
      </w:r>
      <w:proofErr w:type="spellStart"/>
      <w:r w:rsidRPr="5F370480">
        <w:rPr>
          <w:rFonts w:eastAsia="Times New Roman"/>
          <w:i/>
          <w:iCs/>
          <w:sz w:val="24"/>
          <w:szCs w:val="24"/>
        </w:rPr>
        <w:t>mens</w:t>
      </w:r>
      <w:proofErr w:type="spellEnd"/>
      <w:r w:rsidRPr="5F370480">
        <w:rPr>
          <w:rFonts w:eastAsia="Times New Roman"/>
          <w:i/>
          <w:iCs/>
          <w:sz w:val="24"/>
          <w:szCs w:val="24"/>
        </w:rPr>
        <w:t xml:space="preserve"> rea, an evil intention, or a knowledge of the wrongfulness of the act, is an essential ingredient in every offence</w:t>
      </w:r>
      <w:r w:rsidRPr="00E34033">
        <w:rPr>
          <w:rFonts w:eastAsia="Times New Roman"/>
          <w:sz w:val="24"/>
          <w:szCs w:val="24"/>
        </w:rPr>
        <w:t>”.</w:t>
      </w:r>
      <w:r w:rsidRPr="00E34033">
        <w:rPr>
          <w:rFonts w:eastAsia="Times New Roman"/>
          <w:sz w:val="24"/>
          <w:szCs w:val="24"/>
          <w:vertAlign w:val="superscript"/>
        </w:rPr>
        <w:footnoteReference w:id="8"/>
      </w:r>
      <w:r w:rsidRPr="00E34033">
        <w:rPr>
          <w:rFonts w:eastAsia="Times New Roman"/>
          <w:sz w:val="24"/>
          <w:szCs w:val="24"/>
        </w:rPr>
        <w:t xml:space="preserve"> Wright J further emphasised that offences carrying moral blameworthiness or serious penalties ordinarily require proof that the defendant possessed knowledge of the wrongfulness of the act. </w:t>
      </w:r>
    </w:p>
    <w:p w14:paraId="0648DC84" w14:textId="77777777" w:rsidR="00E34033" w:rsidRPr="00E34033" w:rsidRDefault="00E34033" w:rsidP="00E34033">
      <w:pPr>
        <w:spacing w:before="240"/>
        <w:rPr>
          <w:rFonts w:eastAsia="Times New Roman"/>
          <w:sz w:val="24"/>
          <w:szCs w:val="24"/>
        </w:rPr>
      </w:pPr>
      <w:r w:rsidRPr="00E34033">
        <w:rPr>
          <w:rFonts w:eastAsia="Times New Roman"/>
          <w:sz w:val="24"/>
          <w:szCs w:val="24"/>
        </w:rPr>
        <w:t>Accordingly, unless a Commonwealth statute provides that an offence is one of strict liability, or otherwise “</w:t>
      </w:r>
      <w:r w:rsidRPr="5F370480">
        <w:rPr>
          <w:rFonts w:eastAsia="Times New Roman"/>
          <w:i/>
          <w:iCs/>
          <w:sz w:val="24"/>
          <w:szCs w:val="24"/>
        </w:rPr>
        <w:t>does not specify a fault element, the prosecution must prove fault: intention in relation to conduct or recklessness in relation to a circumstance or result</w:t>
      </w:r>
      <w:r w:rsidRPr="00E34033">
        <w:rPr>
          <w:rFonts w:eastAsia="Times New Roman"/>
          <w:sz w:val="24"/>
          <w:szCs w:val="24"/>
        </w:rPr>
        <w:t>.”</w:t>
      </w:r>
      <w:r w:rsidRPr="00E34033">
        <w:rPr>
          <w:rFonts w:eastAsia="Times New Roman"/>
          <w:sz w:val="24"/>
          <w:szCs w:val="24"/>
          <w:vertAlign w:val="superscript"/>
        </w:rPr>
        <w:footnoteReference w:id="9"/>
      </w:r>
      <w:r w:rsidRPr="00E34033">
        <w:rPr>
          <w:rFonts w:eastAsia="Times New Roman"/>
          <w:sz w:val="24"/>
          <w:szCs w:val="24"/>
        </w:rPr>
        <w:t xml:space="preserve"> In this manner, both common law and statute operate to preserve the foundational requirement that criminal liability is contingent upon proof of fault.</w:t>
      </w:r>
    </w:p>
    <w:p w14:paraId="34405D64" w14:textId="77777777" w:rsidR="00E34033" w:rsidRPr="00E34033" w:rsidRDefault="00E34033" w:rsidP="00E34033">
      <w:pPr>
        <w:jc w:val="center"/>
        <w:outlineLvl w:val="0"/>
        <w:rPr>
          <w:color w:val="111111"/>
          <w:sz w:val="24"/>
          <w:szCs w:val="24"/>
        </w:rPr>
      </w:pPr>
      <w:bookmarkStart w:id="2" w:name="_kt6orqde5md5" w:colFirst="0" w:colLast="0"/>
      <w:bookmarkEnd w:id="2"/>
      <w:r w:rsidRPr="00E34033">
        <w:rPr>
          <w:color w:val="215E99" w:themeColor="text2" w:themeTint="BF"/>
          <w:sz w:val="28"/>
          <w:szCs w:val="28"/>
        </w:rPr>
        <w:t>IV LEVELS OF MENS REA</w:t>
      </w:r>
    </w:p>
    <w:p w14:paraId="244B89F7" w14:textId="77777777" w:rsidR="00E34033" w:rsidRPr="00E34033" w:rsidRDefault="00E34033" w:rsidP="00E34033">
      <w:pPr>
        <w:spacing w:before="200" w:after="200"/>
        <w:rPr>
          <w:rFonts w:eastAsia="Times New Roman"/>
          <w:color w:val="111111"/>
          <w:sz w:val="24"/>
          <w:szCs w:val="24"/>
        </w:rPr>
      </w:pPr>
      <w:r w:rsidRPr="00E34033">
        <w:rPr>
          <w:rFonts w:eastAsia="Times New Roman"/>
          <w:color w:val="111111"/>
          <w:sz w:val="24"/>
          <w:szCs w:val="24"/>
        </w:rPr>
        <w:t xml:space="preserve">Pursuant to the </w:t>
      </w:r>
      <w:r w:rsidRPr="5F370480">
        <w:rPr>
          <w:rFonts w:eastAsia="Times New Roman"/>
          <w:i/>
          <w:iCs/>
          <w:color w:val="111111"/>
          <w:sz w:val="24"/>
          <w:szCs w:val="24"/>
        </w:rPr>
        <w:t>Criminal Code Act 1995</w:t>
      </w:r>
      <w:r w:rsidRPr="00E34033">
        <w:rPr>
          <w:rFonts w:eastAsia="Times New Roman"/>
          <w:color w:val="111111"/>
          <w:sz w:val="24"/>
          <w:szCs w:val="24"/>
        </w:rPr>
        <w:t xml:space="preserve"> (Cth), fault elements (</w:t>
      </w:r>
      <w:proofErr w:type="spellStart"/>
      <w:r w:rsidRPr="5F370480">
        <w:rPr>
          <w:rFonts w:eastAsia="Times New Roman"/>
          <w:i/>
          <w:iCs/>
          <w:color w:val="111111"/>
          <w:sz w:val="24"/>
          <w:szCs w:val="24"/>
        </w:rPr>
        <w:t>mens</w:t>
      </w:r>
      <w:proofErr w:type="spellEnd"/>
      <w:r w:rsidRPr="5F370480">
        <w:rPr>
          <w:rFonts w:eastAsia="Times New Roman"/>
          <w:i/>
          <w:iCs/>
          <w:color w:val="111111"/>
          <w:sz w:val="24"/>
          <w:szCs w:val="24"/>
        </w:rPr>
        <w:t xml:space="preserve"> rea)</w:t>
      </w:r>
      <w:r w:rsidRPr="00E34033">
        <w:rPr>
          <w:rFonts w:eastAsia="Times New Roman"/>
          <w:color w:val="111111"/>
          <w:sz w:val="24"/>
          <w:szCs w:val="24"/>
        </w:rPr>
        <w:t>, including intention, recklessness and negligence,</w:t>
      </w:r>
      <w:r w:rsidRPr="00E34033">
        <w:rPr>
          <w:rFonts w:eastAsia="Times New Roman"/>
          <w:color w:val="111111"/>
          <w:sz w:val="24"/>
          <w:szCs w:val="24"/>
          <w:vertAlign w:val="superscript"/>
        </w:rPr>
        <w:footnoteReference w:id="10"/>
      </w:r>
      <w:r w:rsidRPr="00E34033">
        <w:rPr>
          <w:rFonts w:eastAsia="Times New Roman"/>
          <w:color w:val="111111"/>
          <w:sz w:val="24"/>
          <w:szCs w:val="24"/>
        </w:rPr>
        <w:t xml:space="preserve"> provide a structured hierarchy for the assessment of culpability in Commonwealth offences.</w:t>
      </w:r>
    </w:p>
    <w:p w14:paraId="00F88AE5" w14:textId="77777777" w:rsidR="00E34033" w:rsidRPr="00E34033" w:rsidRDefault="00E34033" w:rsidP="00E34033">
      <w:pPr>
        <w:spacing w:before="240"/>
        <w:rPr>
          <w:rFonts w:eastAsia="Times New Roman"/>
          <w:color w:val="111111"/>
          <w:sz w:val="24"/>
          <w:szCs w:val="24"/>
        </w:rPr>
      </w:pPr>
      <w:r w:rsidRPr="00E34033">
        <w:rPr>
          <w:rFonts w:eastAsia="Times New Roman"/>
          <w:color w:val="111111"/>
          <w:sz w:val="24"/>
          <w:szCs w:val="24"/>
        </w:rPr>
        <w:lastRenderedPageBreak/>
        <w:t>Intention represents the highest level of culpability and is required to establish liability for the most serious indictable offences, including murder. A defendant is said to have acted intentionally with respect to conduct if they “</w:t>
      </w:r>
      <w:r w:rsidRPr="5F370480">
        <w:rPr>
          <w:rFonts w:eastAsia="Times New Roman"/>
          <w:i/>
          <w:iCs/>
          <w:color w:val="111111"/>
          <w:sz w:val="24"/>
          <w:szCs w:val="24"/>
        </w:rPr>
        <w:t>meant to engage in that conduct</w:t>
      </w:r>
      <w:r w:rsidRPr="00E34033">
        <w:rPr>
          <w:rFonts w:eastAsia="Times New Roman"/>
          <w:color w:val="111111"/>
          <w:sz w:val="24"/>
          <w:szCs w:val="24"/>
        </w:rPr>
        <w:t>”, and with respect to a result if they “</w:t>
      </w:r>
      <w:r w:rsidRPr="5F370480">
        <w:rPr>
          <w:rFonts w:eastAsia="Times New Roman"/>
          <w:i/>
          <w:iCs/>
          <w:color w:val="111111"/>
          <w:sz w:val="24"/>
          <w:szCs w:val="24"/>
        </w:rPr>
        <w:t>meant to bring it about or were aware that it would occur in the ordinary course of events</w:t>
      </w:r>
      <w:r w:rsidRPr="00E34033">
        <w:rPr>
          <w:rFonts w:eastAsia="Times New Roman"/>
          <w:color w:val="111111"/>
          <w:sz w:val="24"/>
          <w:szCs w:val="24"/>
        </w:rPr>
        <w:t>”.</w:t>
      </w:r>
      <w:r w:rsidRPr="00E34033">
        <w:rPr>
          <w:rFonts w:eastAsia="Times New Roman"/>
          <w:color w:val="111111"/>
          <w:sz w:val="24"/>
          <w:szCs w:val="24"/>
          <w:vertAlign w:val="superscript"/>
        </w:rPr>
        <w:footnoteReference w:id="11"/>
      </w:r>
      <w:r w:rsidRPr="00E34033">
        <w:rPr>
          <w:rFonts w:eastAsia="Times New Roman"/>
          <w:color w:val="111111"/>
          <w:sz w:val="24"/>
          <w:szCs w:val="24"/>
        </w:rPr>
        <w:t xml:space="preserve"> </w:t>
      </w:r>
    </w:p>
    <w:p w14:paraId="59F53594" w14:textId="77777777" w:rsidR="00E34033" w:rsidRPr="00E34033" w:rsidRDefault="00E34033" w:rsidP="00E34033">
      <w:pPr>
        <w:spacing w:before="240"/>
        <w:rPr>
          <w:rFonts w:eastAsia="Times New Roman"/>
          <w:color w:val="111111"/>
          <w:sz w:val="24"/>
          <w:szCs w:val="24"/>
        </w:rPr>
      </w:pPr>
      <w:r w:rsidRPr="00E34033">
        <w:rPr>
          <w:rFonts w:eastAsia="Times New Roman"/>
          <w:color w:val="111111"/>
          <w:sz w:val="24"/>
          <w:szCs w:val="24"/>
        </w:rPr>
        <w:t>A defendant may be regarded as reckless if they were “</w:t>
      </w:r>
      <w:r w:rsidRPr="5F370480">
        <w:rPr>
          <w:rFonts w:eastAsia="Times New Roman"/>
          <w:i/>
          <w:iCs/>
          <w:color w:val="111111"/>
          <w:sz w:val="24"/>
          <w:szCs w:val="24"/>
        </w:rPr>
        <w:t>aware of a substantial risk that a result would occur and, having regard to the circumstances known to them, it was unjustifiable to take that risk</w:t>
      </w:r>
      <w:r w:rsidRPr="00E34033">
        <w:rPr>
          <w:rFonts w:eastAsia="Times New Roman"/>
          <w:color w:val="111111"/>
          <w:sz w:val="24"/>
          <w:szCs w:val="24"/>
        </w:rPr>
        <w:t>”.</w:t>
      </w:r>
      <w:r w:rsidRPr="00E34033">
        <w:rPr>
          <w:rFonts w:eastAsia="Times New Roman"/>
          <w:color w:val="111111"/>
          <w:sz w:val="24"/>
          <w:szCs w:val="24"/>
          <w:vertAlign w:val="superscript"/>
        </w:rPr>
        <w:footnoteReference w:id="12"/>
      </w:r>
      <w:r w:rsidRPr="00E34033">
        <w:rPr>
          <w:rFonts w:eastAsia="Times New Roman"/>
          <w:color w:val="111111"/>
          <w:sz w:val="24"/>
          <w:szCs w:val="24"/>
        </w:rPr>
        <w:t xml:space="preserve"> This level of fault reflects conscious risk-taking that falls short of deliberate purpose yet exceeds mere inadvertence.</w:t>
      </w:r>
    </w:p>
    <w:p w14:paraId="2F15460F" w14:textId="77777777" w:rsidR="00E34033" w:rsidRPr="00E34033" w:rsidRDefault="00E34033" w:rsidP="00E34033">
      <w:pPr>
        <w:spacing w:before="240"/>
        <w:rPr>
          <w:rFonts w:eastAsia="Times New Roman"/>
          <w:color w:val="111111"/>
          <w:sz w:val="24"/>
          <w:szCs w:val="24"/>
        </w:rPr>
      </w:pPr>
      <w:r w:rsidRPr="00E34033">
        <w:rPr>
          <w:rFonts w:eastAsia="Times New Roman"/>
          <w:color w:val="111111"/>
          <w:sz w:val="24"/>
          <w:szCs w:val="24"/>
        </w:rPr>
        <w:t>Negligence represents the lowest level of culpability and commonly arises in cases involving serious harm or death resulting from a breach of duty. A defendant may be regarded as negligent if their conduct “</w:t>
      </w:r>
      <w:r w:rsidRPr="5F370480">
        <w:rPr>
          <w:rFonts w:eastAsia="Times New Roman"/>
          <w:i/>
          <w:iCs/>
          <w:color w:val="111111"/>
          <w:sz w:val="24"/>
          <w:szCs w:val="24"/>
        </w:rPr>
        <w:t>falls short of the standard of care that a reasonable person would exercise</w:t>
      </w:r>
      <w:r w:rsidRPr="00E34033">
        <w:rPr>
          <w:rFonts w:eastAsia="Times New Roman"/>
          <w:color w:val="111111"/>
          <w:sz w:val="24"/>
          <w:szCs w:val="24"/>
        </w:rPr>
        <w:t>”, carrying “</w:t>
      </w:r>
      <w:r w:rsidRPr="5F370480">
        <w:rPr>
          <w:rFonts w:eastAsia="Times New Roman"/>
          <w:i/>
          <w:iCs/>
          <w:color w:val="111111"/>
          <w:sz w:val="24"/>
          <w:szCs w:val="24"/>
        </w:rPr>
        <w:t>such a high risk</w:t>
      </w:r>
      <w:r w:rsidRPr="00E34033">
        <w:rPr>
          <w:rFonts w:eastAsia="Times New Roman"/>
          <w:color w:val="111111"/>
          <w:sz w:val="24"/>
          <w:szCs w:val="24"/>
        </w:rPr>
        <w:t>” of the prohibited outcome that it warrants criminal punishment.</w:t>
      </w:r>
      <w:r w:rsidRPr="00E34033">
        <w:rPr>
          <w:rFonts w:eastAsia="Times New Roman"/>
          <w:color w:val="111111"/>
          <w:sz w:val="24"/>
          <w:szCs w:val="24"/>
          <w:vertAlign w:val="superscript"/>
        </w:rPr>
        <w:footnoteReference w:id="13"/>
      </w:r>
      <w:r w:rsidRPr="00E34033">
        <w:rPr>
          <w:rFonts w:eastAsia="Times New Roman"/>
          <w:color w:val="111111"/>
          <w:sz w:val="24"/>
          <w:szCs w:val="24"/>
        </w:rPr>
        <w:t xml:space="preserve"> </w:t>
      </w:r>
    </w:p>
    <w:p w14:paraId="5E2D83D7" w14:textId="77777777" w:rsidR="00E34033" w:rsidRPr="00E34033" w:rsidRDefault="00E34033" w:rsidP="00E34033">
      <w:pPr>
        <w:spacing w:before="200"/>
        <w:rPr>
          <w:rFonts w:eastAsia="Times New Roman"/>
          <w:sz w:val="24"/>
          <w:szCs w:val="24"/>
        </w:rPr>
      </w:pPr>
      <w:r w:rsidRPr="00E34033">
        <w:rPr>
          <w:rFonts w:eastAsia="Times New Roman"/>
          <w:color w:val="111111"/>
          <w:sz w:val="24"/>
          <w:szCs w:val="24"/>
        </w:rPr>
        <w:t xml:space="preserve">The presence of </w:t>
      </w:r>
      <w:proofErr w:type="spellStart"/>
      <w:r w:rsidRPr="00E34033">
        <w:rPr>
          <w:rFonts w:eastAsia="Times New Roman"/>
          <w:color w:val="111111"/>
          <w:sz w:val="24"/>
          <w:szCs w:val="24"/>
        </w:rPr>
        <w:t>mens</w:t>
      </w:r>
      <w:proofErr w:type="spellEnd"/>
      <w:r w:rsidRPr="00E34033">
        <w:rPr>
          <w:rFonts w:eastAsia="Times New Roman"/>
          <w:color w:val="111111"/>
          <w:sz w:val="24"/>
          <w:szCs w:val="24"/>
        </w:rPr>
        <w:t xml:space="preserve"> rea therefore serves to attribute moral blameworthiness to the accused, thereby justifying the imposition of criminal punishment.</w:t>
      </w:r>
    </w:p>
    <w:p w14:paraId="1327B982" w14:textId="77777777" w:rsidR="00E34033" w:rsidRPr="00E34033" w:rsidRDefault="00E34033" w:rsidP="00E34033">
      <w:pPr>
        <w:jc w:val="center"/>
        <w:outlineLvl w:val="0"/>
        <w:rPr>
          <w:b/>
          <w:bCs/>
          <w:color w:val="215E99" w:themeColor="text2" w:themeTint="BF"/>
          <w:sz w:val="34"/>
          <w:szCs w:val="34"/>
        </w:rPr>
      </w:pPr>
      <w:bookmarkStart w:id="3" w:name="_gcycxgpyulp3" w:colFirst="0" w:colLast="0"/>
      <w:bookmarkEnd w:id="3"/>
      <w:r w:rsidRPr="00E34033">
        <w:rPr>
          <w:color w:val="215E99" w:themeColor="text2" w:themeTint="BF"/>
          <w:sz w:val="28"/>
          <w:szCs w:val="28"/>
        </w:rPr>
        <w:t>V CONCLUSION</w:t>
      </w:r>
    </w:p>
    <w:p w14:paraId="76046100" w14:textId="77777777" w:rsidR="00E34033" w:rsidRPr="00E34033" w:rsidRDefault="00E34033" w:rsidP="00E34033">
      <w:pPr>
        <w:spacing w:before="240"/>
        <w:rPr>
          <w:rFonts w:eastAsia="Times New Roman"/>
          <w:sz w:val="24"/>
          <w:szCs w:val="24"/>
        </w:rPr>
      </w:pPr>
      <w:r w:rsidRPr="00E34033">
        <w:rPr>
          <w:rFonts w:eastAsia="Times New Roman"/>
          <w:sz w:val="24"/>
          <w:szCs w:val="24"/>
        </w:rPr>
        <w:t xml:space="preserve">The doctrines of </w:t>
      </w:r>
      <w:r w:rsidRPr="00E34033">
        <w:rPr>
          <w:rFonts w:eastAsia="Times New Roman"/>
          <w:i/>
          <w:iCs/>
          <w:sz w:val="24"/>
          <w:szCs w:val="24"/>
        </w:rPr>
        <w:t>actus reus</w:t>
      </w:r>
      <w:r w:rsidRPr="00E34033">
        <w:rPr>
          <w:rFonts w:eastAsia="Times New Roman"/>
          <w:sz w:val="24"/>
          <w:szCs w:val="24"/>
        </w:rPr>
        <w:t xml:space="preserve"> and </w:t>
      </w:r>
      <w:proofErr w:type="spellStart"/>
      <w:r w:rsidRPr="00E34033">
        <w:rPr>
          <w:rFonts w:eastAsia="Times New Roman"/>
          <w:i/>
          <w:iCs/>
          <w:sz w:val="24"/>
          <w:szCs w:val="24"/>
        </w:rPr>
        <w:t>mens</w:t>
      </w:r>
      <w:proofErr w:type="spellEnd"/>
      <w:r w:rsidRPr="00E34033">
        <w:rPr>
          <w:rFonts w:eastAsia="Times New Roman"/>
          <w:i/>
          <w:iCs/>
          <w:sz w:val="24"/>
          <w:szCs w:val="24"/>
        </w:rPr>
        <w:t xml:space="preserve"> rea</w:t>
      </w:r>
      <w:r w:rsidRPr="00E34033">
        <w:rPr>
          <w:rFonts w:eastAsia="Times New Roman"/>
          <w:sz w:val="24"/>
          <w:szCs w:val="24"/>
        </w:rPr>
        <w:t xml:space="preserve"> remain foundational to the structure of criminal liability within common law systems, ensuring that punishment is imposed only where prohibited conduct is accompanied by a culpable state of mind. Their historical development reflects the law’s enduring commitment to moral blameworthiness as a precondition for criminal responsibility, while statutory frameworks continue to refine the hierarchy of fault.</w:t>
      </w:r>
    </w:p>
    <w:p w14:paraId="2247D524" w14:textId="686AF81A" w:rsidR="00E34033" w:rsidRPr="006838E5" w:rsidRDefault="00E34033" w:rsidP="006838E5">
      <w:pPr>
        <w:spacing w:before="240"/>
        <w:rPr>
          <w:rFonts w:eastAsia="Times New Roman"/>
          <w:sz w:val="24"/>
          <w:szCs w:val="24"/>
        </w:rPr>
      </w:pPr>
      <w:r w:rsidRPr="00E34033">
        <w:rPr>
          <w:rFonts w:eastAsia="Times New Roman"/>
          <w:sz w:val="24"/>
          <w:szCs w:val="24"/>
        </w:rPr>
        <w:t xml:space="preserve">When considered alongside the requirement of causation, these principles operate collectively to ensure that liability is imposed in a measured and principled manner in order to achieve just </w:t>
      </w:r>
      <w:r w:rsidRPr="00E34033">
        <w:rPr>
          <w:sz w:val="24"/>
          <w:szCs w:val="24"/>
        </w:rPr>
        <w:fldChar w:fldCharType="begin"/>
      </w:r>
      <w:r w:rsidRPr="00E34033">
        <w:rPr>
          <w:sz w:val="24"/>
          <w:szCs w:val="24"/>
        </w:rPr>
        <w:instrText xml:space="preserve"> INCLUDEPICTURE "/Users/benjaminmacvan/Library/Group Containers/UBF8T346G9.ms/WebArchiveCopyPasteTempFiles/com.microsoft.Word/image.jpg" \* MERGEFORMATINET </w:instrText>
      </w:r>
      <w:r w:rsidRPr="00E34033">
        <w:rPr>
          <w:sz w:val="24"/>
          <w:szCs w:val="24"/>
        </w:rPr>
        <w:fldChar w:fldCharType="separate"/>
      </w:r>
      <w:r w:rsidRPr="00E34033">
        <w:rPr>
          <w:sz w:val="24"/>
          <w:szCs w:val="24"/>
        </w:rPr>
        <w:fldChar w:fldCharType="end"/>
      </w:r>
      <w:r w:rsidRPr="00E34033">
        <w:rPr>
          <w:rFonts w:eastAsia="Times New Roman"/>
          <w:sz w:val="24"/>
          <w:szCs w:val="24"/>
        </w:rPr>
        <w:t xml:space="preserve">outcomes. </w:t>
      </w:r>
    </w:p>
    <w:p w14:paraId="21B70BA4" w14:textId="4AF110B2" w:rsidR="001F059D" w:rsidRPr="001F059D" w:rsidRDefault="00E34033" w:rsidP="001F059D">
      <w:r w:rsidRPr="00E34033">
        <w:br w:type="page"/>
      </w:r>
    </w:p>
    <w:p w14:paraId="698F75F1" w14:textId="347E32AD" w:rsidR="000F108B" w:rsidRDefault="000F108B" w:rsidP="001F059D">
      <w:r>
        <w:lastRenderedPageBreak/>
        <w:br w:type="page"/>
      </w:r>
      <w:r w:rsidR="0008172E">
        <w:rPr>
          <w:noProof/>
        </w:rPr>
        <mc:AlternateContent>
          <mc:Choice Requires="wpg">
            <w:drawing>
              <wp:anchor distT="0" distB="0" distL="114300" distR="114300" simplePos="0" relativeHeight="251658245" behindDoc="0" locked="0" layoutInCell="1" allowOverlap="1" wp14:anchorId="3E0AF44C" wp14:editId="3B5484FA">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D072826" id="Group 23" o:spid="_x0000_s1026" style="position:absolute;margin-left:-54.8pt;margin-top:-1in;width:611.8pt;height:856.65pt;z-index:251658245;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sidR="0008172E">
        <w:rPr>
          <w:noProof/>
        </w:rPr>
        <w:drawing>
          <wp:anchor distT="0" distB="0" distL="114300" distR="114300" simplePos="0" relativeHeight="25165824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7">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DF80B" w14:textId="77777777" w:rsidR="000827CC" w:rsidRDefault="000827CC" w:rsidP="00334ADB">
      <w:pPr>
        <w:spacing w:after="0" w:line="240" w:lineRule="auto"/>
      </w:pPr>
      <w:r>
        <w:separator/>
      </w:r>
    </w:p>
  </w:endnote>
  <w:endnote w:type="continuationSeparator" w:id="0">
    <w:p w14:paraId="258490F3" w14:textId="77777777" w:rsidR="000827CC" w:rsidRDefault="000827CC"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5F370480" w14:paraId="1A35E9CA" w14:textId="77777777" w:rsidTr="5F370480">
      <w:trPr>
        <w:trHeight w:val="300"/>
      </w:trPr>
      <w:tc>
        <w:tcPr>
          <w:tcW w:w="3245" w:type="dxa"/>
        </w:tcPr>
        <w:p w14:paraId="7104EBCF" w14:textId="7F317952" w:rsidR="5F370480" w:rsidRDefault="5F370480" w:rsidP="5F370480">
          <w:pPr>
            <w:pStyle w:val="Header"/>
            <w:ind w:left="-115"/>
          </w:pPr>
        </w:p>
      </w:tc>
      <w:tc>
        <w:tcPr>
          <w:tcW w:w="3245" w:type="dxa"/>
        </w:tcPr>
        <w:p w14:paraId="096DF2EE" w14:textId="4D339D79" w:rsidR="5F370480" w:rsidRDefault="5F370480" w:rsidP="5F370480">
          <w:pPr>
            <w:pStyle w:val="Header"/>
            <w:jc w:val="center"/>
          </w:pPr>
        </w:p>
      </w:tc>
      <w:tc>
        <w:tcPr>
          <w:tcW w:w="3245" w:type="dxa"/>
        </w:tcPr>
        <w:p w14:paraId="0D22BD23" w14:textId="765765A1" w:rsidR="5F370480" w:rsidRDefault="5F370480" w:rsidP="5F370480">
          <w:pPr>
            <w:pStyle w:val="Header"/>
            <w:ind w:right="-115"/>
            <w:jc w:val="right"/>
          </w:pPr>
        </w:p>
      </w:tc>
    </w:tr>
  </w:tbl>
  <w:p w14:paraId="61A519A0" w14:textId="0FB4A80D" w:rsidR="5F370480" w:rsidRDefault="5F370480" w:rsidP="5F370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3562A" w14:textId="77777777" w:rsidR="000827CC" w:rsidRDefault="000827CC" w:rsidP="00334ADB">
      <w:pPr>
        <w:spacing w:after="0" w:line="240" w:lineRule="auto"/>
      </w:pPr>
      <w:r>
        <w:separator/>
      </w:r>
    </w:p>
  </w:footnote>
  <w:footnote w:type="continuationSeparator" w:id="0">
    <w:p w14:paraId="22F3F192" w14:textId="77777777" w:rsidR="000827CC" w:rsidRDefault="000827CC" w:rsidP="00334ADB">
      <w:pPr>
        <w:spacing w:after="0" w:line="240" w:lineRule="auto"/>
      </w:pPr>
      <w:r>
        <w:continuationSeparator/>
      </w:r>
    </w:p>
  </w:footnote>
  <w:footnote w:id="1">
    <w:p w14:paraId="7FE8D75D" w14:textId="77777777" w:rsidR="00E34033" w:rsidRPr="00826EF3" w:rsidRDefault="00E34033" w:rsidP="5F370480">
      <w:pPr>
        <w:pStyle w:val="Footer"/>
        <w:rPr>
          <w:sz w:val="20"/>
          <w:szCs w:val="20"/>
          <w:u w:val="single"/>
        </w:rPr>
      </w:pPr>
      <w:r w:rsidRPr="5F370480">
        <w:rPr>
          <w:rFonts w:eastAsia="Times New Roman"/>
          <w:sz w:val="20"/>
          <w:szCs w:val="20"/>
          <w:vertAlign w:val="superscript"/>
        </w:rPr>
        <w:footnoteRef/>
      </w:r>
      <w:r w:rsidR="5F370480" w:rsidRPr="5F370480">
        <w:rPr>
          <w:rFonts w:eastAsia="Times New Roman"/>
          <w:sz w:val="20"/>
          <w:szCs w:val="20"/>
        </w:rPr>
        <w:t xml:space="preserve"> Cornell Law School, ‘Actus Reus’, </w:t>
      </w:r>
      <w:r w:rsidR="5F370480" w:rsidRPr="5F370480">
        <w:rPr>
          <w:rFonts w:eastAsia="Times New Roman"/>
          <w:i/>
          <w:iCs/>
          <w:sz w:val="20"/>
          <w:szCs w:val="20"/>
        </w:rPr>
        <w:t>Wex Legal Dictionary.</w:t>
      </w:r>
    </w:p>
  </w:footnote>
  <w:footnote w:id="2">
    <w:p w14:paraId="229B0A04" w14:textId="77777777" w:rsidR="00E34033" w:rsidRPr="00826EF3" w:rsidRDefault="00E34033" w:rsidP="5F370480">
      <w:pPr>
        <w:pStyle w:val="Footer"/>
        <w:rPr>
          <w:sz w:val="20"/>
          <w:szCs w:val="20"/>
          <w:u w:val="single"/>
        </w:rPr>
      </w:pPr>
      <w:r w:rsidRPr="5F370480">
        <w:rPr>
          <w:rFonts w:eastAsia="Times New Roman"/>
          <w:sz w:val="20"/>
          <w:szCs w:val="20"/>
          <w:vertAlign w:val="superscript"/>
        </w:rPr>
        <w:footnoteRef/>
      </w:r>
      <w:r w:rsidR="5F370480" w:rsidRPr="5F370480">
        <w:rPr>
          <w:rFonts w:eastAsia="Times New Roman"/>
          <w:sz w:val="20"/>
          <w:szCs w:val="20"/>
        </w:rPr>
        <w:t xml:space="preserve"> Ibid.</w:t>
      </w:r>
    </w:p>
  </w:footnote>
  <w:footnote w:id="3">
    <w:p w14:paraId="30DBFF44" w14:textId="77777777" w:rsidR="00E34033" w:rsidRPr="00826EF3" w:rsidRDefault="00E34033" w:rsidP="5F370480">
      <w:pPr>
        <w:pStyle w:val="Footer"/>
        <w:rPr>
          <w:sz w:val="20"/>
          <w:szCs w:val="20"/>
          <w:u w:val="single"/>
        </w:rPr>
      </w:pPr>
      <w:r w:rsidRPr="5F370480">
        <w:rPr>
          <w:rFonts w:eastAsia="Times New Roman"/>
          <w:sz w:val="20"/>
          <w:szCs w:val="20"/>
          <w:vertAlign w:val="superscript"/>
        </w:rPr>
        <w:footnoteRef/>
      </w:r>
      <w:r w:rsidR="5F370480" w:rsidRPr="5F370480">
        <w:rPr>
          <w:rFonts w:eastAsia="Times New Roman"/>
          <w:sz w:val="20"/>
          <w:szCs w:val="20"/>
        </w:rPr>
        <w:t xml:space="preserve"> Ibid.</w:t>
      </w:r>
    </w:p>
  </w:footnote>
  <w:footnote w:id="4">
    <w:p w14:paraId="02DC95F2" w14:textId="77777777" w:rsidR="00E34033" w:rsidRPr="00826EF3" w:rsidRDefault="00E34033" w:rsidP="5F370480">
      <w:pPr>
        <w:pStyle w:val="Footer"/>
        <w:rPr>
          <w:sz w:val="20"/>
          <w:szCs w:val="20"/>
        </w:rPr>
      </w:pPr>
      <w:r w:rsidRPr="5F370480">
        <w:rPr>
          <w:rFonts w:eastAsia="Times New Roman"/>
          <w:sz w:val="20"/>
          <w:szCs w:val="20"/>
          <w:vertAlign w:val="superscript"/>
        </w:rPr>
        <w:footnoteRef/>
      </w:r>
      <w:r w:rsidR="5F370480" w:rsidRPr="5F370480">
        <w:rPr>
          <w:rFonts w:eastAsia="Times New Roman"/>
          <w:sz w:val="20"/>
          <w:szCs w:val="20"/>
        </w:rPr>
        <w:t xml:space="preserve"> </w:t>
      </w:r>
      <w:r w:rsidR="5F370480" w:rsidRPr="5F370480">
        <w:rPr>
          <w:rFonts w:eastAsia="Times New Roman"/>
          <w:i/>
          <w:iCs/>
          <w:sz w:val="20"/>
          <w:szCs w:val="20"/>
        </w:rPr>
        <w:t>Attorney-General’s Department,</w:t>
      </w:r>
      <w:r w:rsidR="5F370480" w:rsidRPr="5F370480">
        <w:rPr>
          <w:rFonts w:eastAsia="Times New Roman"/>
          <w:sz w:val="20"/>
          <w:szCs w:val="20"/>
        </w:rPr>
        <w:t xml:space="preserve"> ‘A Guide to Framing Commonwealth Offences, Infringement Notices and Enforcement Powers’ (2011).</w:t>
      </w:r>
    </w:p>
  </w:footnote>
  <w:footnote w:id="5">
    <w:p w14:paraId="637107E7" w14:textId="77777777" w:rsidR="00E34033" w:rsidRPr="00826EF3" w:rsidRDefault="00E34033" w:rsidP="5F370480">
      <w:pPr>
        <w:pStyle w:val="Footer"/>
        <w:rPr>
          <w:sz w:val="20"/>
          <w:szCs w:val="20"/>
        </w:rPr>
      </w:pPr>
      <w:r w:rsidRPr="5F370480">
        <w:rPr>
          <w:rFonts w:eastAsia="Times New Roman"/>
          <w:sz w:val="20"/>
          <w:szCs w:val="20"/>
          <w:vertAlign w:val="superscript"/>
        </w:rPr>
        <w:footnoteRef/>
      </w:r>
      <w:r w:rsidR="5F370480" w:rsidRPr="5F370480">
        <w:rPr>
          <w:rFonts w:eastAsia="Times New Roman"/>
          <w:sz w:val="20"/>
          <w:szCs w:val="20"/>
        </w:rPr>
        <w:t xml:space="preserve"> </w:t>
      </w:r>
      <w:r w:rsidR="5F370480" w:rsidRPr="5F370480">
        <w:rPr>
          <w:rFonts w:eastAsia="Times New Roman"/>
          <w:i/>
          <w:iCs/>
          <w:color w:val="111111"/>
          <w:sz w:val="20"/>
          <w:szCs w:val="20"/>
        </w:rPr>
        <w:t>Criminal Code Act 1995</w:t>
      </w:r>
      <w:r w:rsidR="5F370480" w:rsidRPr="5F370480">
        <w:rPr>
          <w:rFonts w:eastAsia="Times New Roman"/>
          <w:color w:val="111111"/>
          <w:sz w:val="20"/>
          <w:szCs w:val="20"/>
        </w:rPr>
        <w:t xml:space="preserve"> (Cth) s 5.3 ‘Knowledge’.</w:t>
      </w:r>
    </w:p>
  </w:footnote>
  <w:footnote w:id="6">
    <w:p w14:paraId="02492275" w14:textId="77777777" w:rsidR="00E34033" w:rsidRPr="00826EF3" w:rsidRDefault="00E34033" w:rsidP="5F370480">
      <w:pPr>
        <w:pStyle w:val="Footer"/>
        <w:rPr>
          <w:rFonts w:eastAsia="Times New Roman"/>
          <w:i/>
          <w:iCs/>
          <w:sz w:val="20"/>
          <w:szCs w:val="20"/>
        </w:rPr>
      </w:pPr>
      <w:r w:rsidRPr="5F370480">
        <w:rPr>
          <w:rFonts w:eastAsia="Times New Roman"/>
          <w:sz w:val="20"/>
          <w:szCs w:val="20"/>
          <w:vertAlign w:val="superscript"/>
        </w:rPr>
        <w:footnoteRef/>
      </w:r>
      <w:r w:rsidR="5F370480" w:rsidRPr="5F370480">
        <w:rPr>
          <w:rFonts w:eastAsia="Times New Roman"/>
          <w:sz w:val="20"/>
          <w:szCs w:val="20"/>
        </w:rPr>
        <w:t xml:space="preserve"> Cornell Law School, ‘</w:t>
      </w:r>
      <w:proofErr w:type="spellStart"/>
      <w:r w:rsidR="5F370480" w:rsidRPr="5F370480">
        <w:rPr>
          <w:rFonts w:eastAsia="Times New Roman"/>
          <w:sz w:val="20"/>
          <w:szCs w:val="20"/>
        </w:rPr>
        <w:t>Mens</w:t>
      </w:r>
      <w:proofErr w:type="spellEnd"/>
      <w:r w:rsidR="5F370480" w:rsidRPr="5F370480">
        <w:rPr>
          <w:rFonts w:eastAsia="Times New Roman"/>
          <w:sz w:val="20"/>
          <w:szCs w:val="20"/>
        </w:rPr>
        <w:t xml:space="preserve"> Rea’, </w:t>
      </w:r>
      <w:r w:rsidR="5F370480" w:rsidRPr="5F370480">
        <w:rPr>
          <w:rFonts w:eastAsia="Times New Roman"/>
          <w:i/>
          <w:iCs/>
          <w:sz w:val="20"/>
          <w:szCs w:val="20"/>
        </w:rPr>
        <w:t>Wex Legal Dictionary.</w:t>
      </w:r>
    </w:p>
  </w:footnote>
  <w:footnote w:id="7">
    <w:p w14:paraId="4ABB9E72" w14:textId="77777777" w:rsidR="00E34033" w:rsidRPr="003108FF" w:rsidRDefault="00E34033" w:rsidP="5F370480">
      <w:pPr>
        <w:pStyle w:val="Footer"/>
        <w:rPr>
          <w:sz w:val="20"/>
          <w:szCs w:val="20"/>
        </w:rPr>
      </w:pPr>
      <w:r w:rsidRPr="5F370480">
        <w:rPr>
          <w:rFonts w:eastAsia="Times New Roman"/>
          <w:sz w:val="20"/>
          <w:szCs w:val="20"/>
          <w:vertAlign w:val="superscript"/>
        </w:rPr>
        <w:footnoteRef/>
      </w:r>
      <w:r w:rsidR="5F370480" w:rsidRPr="5F370480">
        <w:rPr>
          <w:rFonts w:eastAsia="Times New Roman"/>
          <w:sz w:val="20"/>
          <w:szCs w:val="20"/>
        </w:rPr>
        <w:t xml:space="preserve"> ‘Actus Non Facit Reum Nisi </w:t>
      </w:r>
      <w:proofErr w:type="spellStart"/>
      <w:r w:rsidR="5F370480" w:rsidRPr="5F370480">
        <w:rPr>
          <w:rFonts w:eastAsia="Times New Roman"/>
          <w:sz w:val="20"/>
          <w:szCs w:val="20"/>
        </w:rPr>
        <w:t>Mens</w:t>
      </w:r>
      <w:proofErr w:type="spellEnd"/>
      <w:r w:rsidR="5F370480" w:rsidRPr="5F370480">
        <w:rPr>
          <w:rFonts w:eastAsia="Times New Roman"/>
          <w:sz w:val="20"/>
          <w:szCs w:val="20"/>
        </w:rPr>
        <w:t xml:space="preserve"> Sit Rea’, The Law Dictionary.</w:t>
      </w:r>
    </w:p>
  </w:footnote>
  <w:footnote w:id="8">
    <w:p w14:paraId="1ABA613F" w14:textId="77777777" w:rsidR="00E34033" w:rsidRPr="003108FF" w:rsidRDefault="00E34033" w:rsidP="5F370480">
      <w:pPr>
        <w:pStyle w:val="Footer"/>
        <w:rPr>
          <w:sz w:val="20"/>
          <w:szCs w:val="20"/>
        </w:rPr>
      </w:pPr>
      <w:r w:rsidRPr="5F370480">
        <w:rPr>
          <w:rFonts w:eastAsia="Times New Roman"/>
          <w:sz w:val="20"/>
          <w:szCs w:val="20"/>
          <w:vertAlign w:val="superscript"/>
        </w:rPr>
        <w:footnoteRef/>
      </w:r>
      <w:r w:rsidR="5F370480" w:rsidRPr="5F370480">
        <w:rPr>
          <w:rFonts w:eastAsia="Times New Roman"/>
          <w:sz w:val="20"/>
          <w:szCs w:val="20"/>
        </w:rPr>
        <w:t xml:space="preserve"> </w:t>
      </w:r>
      <w:proofErr w:type="spellStart"/>
      <w:r w:rsidR="5F370480" w:rsidRPr="5F370480">
        <w:rPr>
          <w:rFonts w:eastAsia="Times New Roman"/>
          <w:i/>
          <w:iCs/>
          <w:sz w:val="20"/>
          <w:szCs w:val="20"/>
        </w:rPr>
        <w:t>Sherras</w:t>
      </w:r>
      <w:proofErr w:type="spellEnd"/>
      <w:r w:rsidR="5F370480" w:rsidRPr="5F370480">
        <w:rPr>
          <w:rFonts w:eastAsia="Times New Roman"/>
          <w:i/>
          <w:iCs/>
          <w:sz w:val="20"/>
          <w:szCs w:val="20"/>
        </w:rPr>
        <w:t xml:space="preserve"> v De </w:t>
      </w:r>
      <w:proofErr w:type="spellStart"/>
      <w:r w:rsidR="5F370480" w:rsidRPr="5F370480">
        <w:rPr>
          <w:rFonts w:eastAsia="Times New Roman"/>
          <w:i/>
          <w:iCs/>
          <w:sz w:val="20"/>
          <w:szCs w:val="20"/>
        </w:rPr>
        <w:t>Rutzo</w:t>
      </w:r>
      <w:proofErr w:type="spellEnd"/>
      <w:r w:rsidR="5F370480" w:rsidRPr="5F370480">
        <w:rPr>
          <w:rFonts w:eastAsia="Times New Roman"/>
          <w:i/>
          <w:iCs/>
          <w:sz w:val="20"/>
          <w:szCs w:val="20"/>
        </w:rPr>
        <w:t xml:space="preserve"> </w:t>
      </w:r>
      <w:r w:rsidR="5F370480" w:rsidRPr="5F370480">
        <w:rPr>
          <w:rFonts w:eastAsia="Times New Roman"/>
          <w:sz w:val="20"/>
          <w:szCs w:val="20"/>
        </w:rPr>
        <w:t xml:space="preserve">[1895] 1 QB 918, 921. </w:t>
      </w:r>
    </w:p>
  </w:footnote>
  <w:footnote w:id="9">
    <w:p w14:paraId="7B317298" w14:textId="77777777" w:rsidR="00E34033" w:rsidRPr="003108FF" w:rsidRDefault="00E34033" w:rsidP="5F370480">
      <w:pPr>
        <w:pStyle w:val="Footer"/>
        <w:rPr>
          <w:sz w:val="20"/>
          <w:szCs w:val="20"/>
        </w:rPr>
      </w:pPr>
      <w:r w:rsidRPr="5F370480">
        <w:rPr>
          <w:rFonts w:eastAsia="Times New Roman"/>
          <w:sz w:val="20"/>
          <w:szCs w:val="20"/>
          <w:vertAlign w:val="superscript"/>
        </w:rPr>
        <w:footnoteRef/>
      </w:r>
      <w:r w:rsidR="5F370480" w:rsidRPr="5F370480">
        <w:rPr>
          <w:rFonts w:eastAsia="Times New Roman"/>
          <w:sz w:val="20"/>
          <w:szCs w:val="20"/>
        </w:rPr>
        <w:t xml:space="preserve"> </w:t>
      </w:r>
      <w:r w:rsidR="5F370480" w:rsidRPr="5F370480">
        <w:rPr>
          <w:rFonts w:eastAsia="Times New Roman"/>
          <w:i/>
          <w:iCs/>
          <w:color w:val="111111"/>
          <w:sz w:val="20"/>
          <w:szCs w:val="20"/>
        </w:rPr>
        <w:t>Criminal Code Act 1995</w:t>
      </w:r>
      <w:r w:rsidR="5F370480" w:rsidRPr="5F370480">
        <w:rPr>
          <w:rFonts w:eastAsia="Times New Roman"/>
          <w:color w:val="111111"/>
          <w:sz w:val="20"/>
          <w:szCs w:val="20"/>
        </w:rPr>
        <w:t xml:space="preserve"> (Cth) s 5.6 ‘Offences that do not specify fault </w:t>
      </w:r>
      <w:proofErr w:type="gramStart"/>
      <w:r w:rsidR="5F370480" w:rsidRPr="5F370480">
        <w:rPr>
          <w:rFonts w:eastAsia="Times New Roman"/>
          <w:color w:val="111111"/>
          <w:sz w:val="20"/>
          <w:szCs w:val="20"/>
        </w:rPr>
        <w:t>elements’</w:t>
      </w:r>
      <w:proofErr w:type="gramEnd"/>
      <w:r w:rsidR="5F370480" w:rsidRPr="5F370480">
        <w:rPr>
          <w:rFonts w:eastAsia="Times New Roman"/>
          <w:color w:val="111111"/>
          <w:sz w:val="20"/>
          <w:szCs w:val="20"/>
        </w:rPr>
        <w:t>.</w:t>
      </w:r>
    </w:p>
  </w:footnote>
  <w:footnote w:id="10">
    <w:p w14:paraId="330620B7" w14:textId="77777777" w:rsidR="00E34033" w:rsidRPr="0046525F" w:rsidRDefault="00E34033" w:rsidP="5F370480">
      <w:pPr>
        <w:spacing w:after="0" w:line="240" w:lineRule="auto"/>
        <w:rPr>
          <w:rFonts w:eastAsia="Times New Roman"/>
          <w:i/>
          <w:iCs/>
          <w:color w:val="111111"/>
          <w:sz w:val="20"/>
          <w:szCs w:val="20"/>
        </w:rPr>
      </w:pPr>
      <w:r w:rsidRPr="5F370480">
        <w:rPr>
          <w:rFonts w:eastAsia="Times New Roman"/>
          <w:sz w:val="20"/>
          <w:szCs w:val="20"/>
          <w:vertAlign w:val="superscript"/>
        </w:rPr>
        <w:footnoteRef/>
      </w:r>
      <w:r w:rsidR="5F370480" w:rsidRPr="5F370480">
        <w:rPr>
          <w:rFonts w:eastAsia="Times New Roman"/>
          <w:i/>
          <w:iCs/>
          <w:sz w:val="20"/>
          <w:szCs w:val="20"/>
        </w:rPr>
        <w:t xml:space="preserve"> </w:t>
      </w:r>
      <w:r w:rsidR="5F370480" w:rsidRPr="5F370480">
        <w:rPr>
          <w:rFonts w:eastAsia="Times New Roman"/>
          <w:i/>
          <w:iCs/>
          <w:color w:val="111111"/>
          <w:sz w:val="20"/>
          <w:szCs w:val="20"/>
        </w:rPr>
        <w:t>Criminal Code Act 1995</w:t>
      </w:r>
      <w:r w:rsidR="5F370480" w:rsidRPr="5F370480">
        <w:rPr>
          <w:rFonts w:eastAsia="Times New Roman"/>
          <w:color w:val="111111"/>
          <w:sz w:val="20"/>
          <w:szCs w:val="20"/>
        </w:rPr>
        <w:t xml:space="preserve"> (Cth) s 5.1 ‘Fault </w:t>
      </w:r>
      <w:proofErr w:type="gramStart"/>
      <w:r w:rsidR="5F370480" w:rsidRPr="5F370480">
        <w:rPr>
          <w:rFonts w:eastAsia="Times New Roman"/>
          <w:color w:val="111111"/>
          <w:sz w:val="20"/>
          <w:szCs w:val="20"/>
        </w:rPr>
        <w:t>elements’</w:t>
      </w:r>
      <w:proofErr w:type="gramEnd"/>
      <w:r w:rsidR="5F370480" w:rsidRPr="5F370480">
        <w:rPr>
          <w:rFonts w:eastAsia="Times New Roman"/>
          <w:color w:val="111111"/>
          <w:sz w:val="20"/>
          <w:szCs w:val="20"/>
        </w:rPr>
        <w:t>.</w:t>
      </w:r>
    </w:p>
  </w:footnote>
  <w:footnote w:id="11">
    <w:p w14:paraId="0D21CAC0" w14:textId="77777777" w:rsidR="00E34033" w:rsidRPr="003108FF" w:rsidRDefault="00E34033" w:rsidP="5F370480">
      <w:pPr>
        <w:pStyle w:val="Footer"/>
        <w:rPr>
          <w:sz w:val="20"/>
          <w:szCs w:val="20"/>
        </w:rPr>
      </w:pPr>
      <w:r w:rsidRPr="5F370480">
        <w:rPr>
          <w:rFonts w:eastAsia="Times New Roman"/>
          <w:sz w:val="20"/>
          <w:szCs w:val="20"/>
          <w:vertAlign w:val="superscript"/>
        </w:rPr>
        <w:footnoteRef/>
      </w:r>
      <w:r w:rsidR="5F370480" w:rsidRPr="5F370480">
        <w:rPr>
          <w:rFonts w:eastAsia="Times New Roman"/>
          <w:sz w:val="20"/>
          <w:szCs w:val="20"/>
        </w:rPr>
        <w:t xml:space="preserve"> Ibid s 5.2 ‘Intention’.</w:t>
      </w:r>
    </w:p>
  </w:footnote>
  <w:footnote w:id="12">
    <w:p w14:paraId="646BD90D" w14:textId="77777777" w:rsidR="00E34033" w:rsidRPr="003108FF" w:rsidRDefault="00E34033" w:rsidP="5F370480">
      <w:pPr>
        <w:pStyle w:val="Footer"/>
        <w:rPr>
          <w:sz w:val="20"/>
          <w:szCs w:val="20"/>
        </w:rPr>
      </w:pPr>
      <w:r w:rsidRPr="5F370480">
        <w:rPr>
          <w:rFonts w:eastAsia="Times New Roman"/>
          <w:sz w:val="20"/>
          <w:szCs w:val="20"/>
          <w:vertAlign w:val="superscript"/>
        </w:rPr>
        <w:footnoteRef/>
      </w:r>
      <w:r w:rsidR="5F370480" w:rsidRPr="5F370480">
        <w:rPr>
          <w:rFonts w:eastAsia="Times New Roman"/>
          <w:sz w:val="20"/>
          <w:szCs w:val="20"/>
        </w:rPr>
        <w:t xml:space="preserve"> </w:t>
      </w:r>
      <w:r w:rsidR="5F370480" w:rsidRPr="5F370480">
        <w:rPr>
          <w:rFonts w:eastAsia="Times New Roman"/>
          <w:i/>
          <w:iCs/>
          <w:sz w:val="20"/>
          <w:szCs w:val="20"/>
        </w:rPr>
        <w:t>Criminal Code Act 1995</w:t>
      </w:r>
      <w:r w:rsidR="5F370480" w:rsidRPr="5F370480">
        <w:rPr>
          <w:rFonts w:eastAsia="Times New Roman"/>
          <w:sz w:val="20"/>
          <w:szCs w:val="20"/>
        </w:rPr>
        <w:t xml:space="preserve"> (Cth) s 5.4 ‘Recklessness’.</w:t>
      </w:r>
    </w:p>
  </w:footnote>
  <w:footnote w:id="13">
    <w:p w14:paraId="1872B57F" w14:textId="77777777" w:rsidR="00E34033" w:rsidRPr="003108FF" w:rsidRDefault="00E34033" w:rsidP="5F370480">
      <w:pPr>
        <w:pStyle w:val="Footer"/>
        <w:rPr>
          <w:sz w:val="20"/>
          <w:szCs w:val="20"/>
        </w:rPr>
      </w:pPr>
      <w:r w:rsidRPr="5F370480">
        <w:rPr>
          <w:rFonts w:eastAsia="Times New Roman"/>
          <w:sz w:val="20"/>
          <w:szCs w:val="20"/>
          <w:vertAlign w:val="superscript"/>
        </w:rPr>
        <w:footnoteRef/>
      </w:r>
      <w:r w:rsidR="5F370480" w:rsidRPr="5F370480">
        <w:rPr>
          <w:rFonts w:eastAsia="Times New Roman"/>
          <w:sz w:val="20"/>
          <w:szCs w:val="20"/>
        </w:rPr>
        <w:t xml:space="preserve"> </w:t>
      </w:r>
      <w:r w:rsidR="5F370480" w:rsidRPr="5F370480">
        <w:rPr>
          <w:rFonts w:eastAsia="Times New Roman"/>
          <w:i/>
          <w:iCs/>
          <w:sz w:val="20"/>
          <w:szCs w:val="20"/>
        </w:rPr>
        <w:t>Criminal Code Act 1995</w:t>
      </w:r>
      <w:r w:rsidR="5F370480" w:rsidRPr="5F370480">
        <w:rPr>
          <w:rFonts w:eastAsia="Times New Roman"/>
          <w:sz w:val="20"/>
          <w:szCs w:val="20"/>
        </w:rPr>
        <w:t xml:space="preserve"> (Cth) s 5.5 ‘Negligence’.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5F370480" w14:paraId="4BF3AD81" w14:textId="77777777" w:rsidTr="5F370480">
      <w:trPr>
        <w:trHeight w:val="300"/>
      </w:trPr>
      <w:tc>
        <w:tcPr>
          <w:tcW w:w="3245" w:type="dxa"/>
        </w:tcPr>
        <w:p w14:paraId="600D944B" w14:textId="3DAC422D" w:rsidR="5F370480" w:rsidRDefault="5F370480" w:rsidP="5F370480">
          <w:pPr>
            <w:pStyle w:val="Header"/>
            <w:ind w:left="-115"/>
          </w:pPr>
        </w:p>
      </w:tc>
      <w:tc>
        <w:tcPr>
          <w:tcW w:w="3245" w:type="dxa"/>
        </w:tcPr>
        <w:p w14:paraId="5B83F368" w14:textId="73A74075" w:rsidR="5F370480" w:rsidRDefault="5F370480" w:rsidP="5F370480">
          <w:pPr>
            <w:pStyle w:val="Header"/>
            <w:jc w:val="center"/>
          </w:pPr>
        </w:p>
      </w:tc>
      <w:tc>
        <w:tcPr>
          <w:tcW w:w="3245" w:type="dxa"/>
        </w:tcPr>
        <w:p w14:paraId="51C1411C" w14:textId="5D34A68B" w:rsidR="5F370480" w:rsidRDefault="5F370480" w:rsidP="5F370480">
          <w:pPr>
            <w:pStyle w:val="Header"/>
            <w:ind w:right="-115"/>
            <w:jc w:val="right"/>
          </w:pPr>
        </w:p>
      </w:tc>
    </w:tr>
  </w:tbl>
  <w:p w14:paraId="6FB3F0BA" w14:textId="40C51702" w:rsidR="5F370480" w:rsidRDefault="5F370480" w:rsidP="5F370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5F370480" w14:paraId="05C6C032" w14:textId="77777777" w:rsidTr="5F370480">
      <w:trPr>
        <w:trHeight w:val="300"/>
      </w:trPr>
      <w:tc>
        <w:tcPr>
          <w:tcW w:w="3245" w:type="dxa"/>
        </w:tcPr>
        <w:p w14:paraId="2832C083" w14:textId="089D26D5" w:rsidR="5F370480" w:rsidRDefault="5F370480" w:rsidP="5F370480">
          <w:pPr>
            <w:pStyle w:val="Header"/>
            <w:ind w:left="-115"/>
          </w:pPr>
        </w:p>
      </w:tc>
      <w:tc>
        <w:tcPr>
          <w:tcW w:w="3245" w:type="dxa"/>
        </w:tcPr>
        <w:p w14:paraId="685E45AA" w14:textId="3B093745" w:rsidR="5F370480" w:rsidRDefault="5F370480" w:rsidP="5F370480">
          <w:pPr>
            <w:pStyle w:val="Header"/>
            <w:jc w:val="center"/>
          </w:pPr>
        </w:p>
      </w:tc>
      <w:tc>
        <w:tcPr>
          <w:tcW w:w="3245" w:type="dxa"/>
        </w:tcPr>
        <w:p w14:paraId="1BAF0325" w14:textId="6215C621" w:rsidR="5F370480" w:rsidRDefault="5F370480" w:rsidP="5F370480">
          <w:pPr>
            <w:pStyle w:val="Header"/>
            <w:ind w:right="-115"/>
            <w:jc w:val="right"/>
          </w:pPr>
        </w:p>
      </w:tc>
    </w:tr>
  </w:tbl>
  <w:p w14:paraId="4508057D" w14:textId="40D071B8" w:rsidR="5F370480" w:rsidRDefault="5F370480" w:rsidP="5F3704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827CC"/>
    <w:rsid w:val="000A4193"/>
    <w:rsid w:val="000A7F76"/>
    <w:rsid w:val="000B2023"/>
    <w:rsid w:val="000C57B5"/>
    <w:rsid w:val="000D128E"/>
    <w:rsid w:val="000D3208"/>
    <w:rsid w:val="000F108B"/>
    <w:rsid w:val="000F4BF5"/>
    <w:rsid w:val="00111C95"/>
    <w:rsid w:val="00134090"/>
    <w:rsid w:val="00147DC9"/>
    <w:rsid w:val="00154C05"/>
    <w:rsid w:val="00175486"/>
    <w:rsid w:val="00193357"/>
    <w:rsid w:val="001A3BD0"/>
    <w:rsid w:val="001B7DFD"/>
    <w:rsid w:val="001F059D"/>
    <w:rsid w:val="001F7F8C"/>
    <w:rsid w:val="002065F5"/>
    <w:rsid w:val="0021596B"/>
    <w:rsid w:val="00220042"/>
    <w:rsid w:val="002278E6"/>
    <w:rsid w:val="0023078B"/>
    <w:rsid w:val="00240E95"/>
    <w:rsid w:val="0024493D"/>
    <w:rsid w:val="00285268"/>
    <w:rsid w:val="00294CA4"/>
    <w:rsid w:val="002F23C0"/>
    <w:rsid w:val="00300E0C"/>
    <w:rsid w:val="0032017D"/>
    <w:rsid w:val="00334ADB"/>
    <w:rsid w:val="00341B1E"/>
    <w:rsid w:val="00344A17"/>
    <w:rsid w:val="00356093"/>
    <w:rsid w:val="00391947"/>
    <w:rsid w:val="003A02E1"/>
    <w:rsid w:val="003A1CFB"/>
    <w:rsid w:val="003B7C76"/>
    <w:rsid w:val="003C2E5F"/>
    <w:rsid w:val="003D492E"/>
    <w:rsid w:val="003E43B4"/>
    <w:rsid w:val="003E7BC4"/>
    <w:rsid w:val="00405FCE"/>
    <w:rsid w:val="004428B7"/>
    <w:rsid w:val="00454AE5"/>
    <w:rsid w:val="0046317F"/>
    <w:rsid w:val="00464656"/>
    <w:rsid w:val="0046610A"/>
    <w:rsid w:val="00480B5D"/>
    <w:rsid w:val="00482078"/>
    <w:rsid w:val="00483774"/>
    <w:rsid w:val="00483FDC"/>
    <w:rsid w:val="004D2AC4"/>
    <w:rsid w:val="004D2EAF"/>
    <w:rsid w:val="004D4240"/>
    <w:rsid w:val="004E3D64"/>
    <w:rsid w:val="004E66C5"/>
    <w:rsid w:val="004F7640"/>
    <w:rsid w:val="00531BB6"/>
    <w:rsid w:val="00553DD0"/>
    <w:rsid w:val="00564DFA"/>
    <w:rsid w:val="00571DCD"/>
    <w:rsid w:val="0057441D"/>
    <w:rsid w:val="00580005"/>
    <w:rsid w:val="00580B86"/>
    <w:rsid w:val="0058507A"/>
    <w:rsid w:val="00596E11"/>
    <w:rsid w:val="005A06B9"/>
    <w:rsid w:val="005A5D56"/>
    <w:rsid w:val="005A6F4D"/>
    <w:rsid w:val="005D092F"/>
    <w:rsid w:val="005D6120"/>
    <w:rsid w:val="005E1FFE"/>
    <w:rsid w:val="005E5D24"/>
    <w:rsid w:val="00601F4E"/>
    <w:rsid w:val="00602F53"/>
    <w:rsid w:val="006059CA"/>
    <w:rsid w:val="00610E85"/>
    <w:rsid w:val="006137B4"/>
    <w:rsid w:val="00621706"/>
    <w:rsid w:val="00630EB4"/>
    <w:rsid w:val="00634D86"/>
    <w:rsid w:val="00663AD1"/>
    <w:rsid w:val="006838E5"/>
    <w:rsid w:val="00691C4F"/>
    <w:rsid w:val="006B0791"/>
    <w:rsid w:val="006B7BEF"/>
    <w:rsid w:val="006C458F"/>
    <w:rsid w:val="006F60E7"/>
    <w:rsid w:val="006F651C"/>
    <w:rsid w:val="00714231"/>
    <w:rsid w:val="00720129"/>
    <w:rsid w:val="00727A61"/>
    <w:rsid w:val="0076135F"/>
    <w:rsid w:val="0076785F"/>
    <w:rsid w:val="007769FF"/>
    <w:rsid w:val="007969BD"/>
    <w:rsid w:val="007B1D20"/>
    <w:rsid w:val="007B71B0"/>
    <w:rsid w:val="007C4F96"/>
    <w:rsid w:val="007D10C9"/>
    <w:rsid w:val="007D2217"/>
    <w:rsid w:val="007F17E8"/>
    <w:rsid w:val="00806120"/>
    <w:rsid w:val="0080654C"/>
    <w:rsid w:val="008132C3"/>
    <w:rsid w:val="008215DC"/>
    <w:rsid w:val="00840943"/>
    <w:rsid w:val="00843BE6"/>
    <w:rsid w:val="0085433B"/>
    <w:rsid w:val="008921FF"/>
    <w:rsid w:val="00893441"/>
    <w:rsid w:val="008B7194"/>
    <w:rsid w:val="008B7902"/>
    <w:rsid w:val="008F57CF"/>
    <w:rsid w:val="009035F2"/>
    <w:rsid w:val="009142C9"/>
    <w:rsid w:val="00924A66"/>
    <w:rsid w:val="00930211"/>
    <w:rsid w:val="0093046D"/>
    <w:rsid w:val="00944B71"/>
    <w:rsid w:val="00962EBB"/>
    <w:rsid w:val="009929D2"/>
    <w:rsid w:val="00997C34"/>
    <w:rsid w:val="009B2DC1"/>
    <w:rsid w:val="009C531C"/>
    <w:rsid w:val="009D06C6"/>
    <w:rsid w:val="009E1A7D"/>
    <w:rsid w:val="009F6F82"/>
    <w:rsid w:val="00A01517"/>
    <w:rsid w:val="00A03A12"/>
    <w:rsid w:val="00A0638E"/>
    <w:rsid w:val="00A239C8"/>
    <w:rsid w:val="00A502FB"/>
    <w:rsid w:val="00A540EA"/>
    <w:rsid w:val="00A82B82"/>
    <w:rsid w:val="00A830C0"/>
    <w:rsid w:val="00A87B7C"/>
    <w:rsid w:val="00A91239"/>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0D10"/>
    <w:rsid w:val="00BD62C4"/>
    <w:rsid w:val="00BE5553"/>
    <w:rsid w:val="00C00C1E"/>
    <w:rsid w:val="00C41993"/>
    <w:rsid w:val="00C65049"/>
    <w:rsid w:val="00C8782D"/>
    <w:rsid w:val="00CB7B0F"/>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4033"/>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6217"/>
    <w:rsid w:val="2787E0C6"/>
    <w:rsid w:val="5F3704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C7AFDA54-8D97-9B47-B05A-ACE47921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931</Words>
  <Characters>5227</Characters>
  <Application>Microsoft Office Word</Application>
  <DocSecurity>0</DocSecurity>
  <Lines>79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4</cp:revision>
  <dcterms:created xsi:type="dcterms:W3CDTF">2026-02-20T10:08:00Z</dcterms:created>
  <dcterms:modified xsi:type="dcterms:W3CDTF">2026-02-21T20:49:00Z</dcterms:modified>
</cp:coreProperties>
</file>