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BB56D" w14:textId="77777777" w:rsidR="00036E35" w:rsidRDefault="00036E35" w:rsidP="00872DA2">
      <w:pPr>
        <w:jc w:val="both"/>
        <w:rPr>
          <w:rFonts w:ascii="Arial" w:hAnsi="Arial" w:cs="Arial"/>
        </w:rPr>
      </w:pPr>
      <w:r>
        <w:rPr>
          <w:rFonts w:ascii="Arial" w:hAnsi="Arial" w:cs="Arial"/>
        </w:rPr>
        <w:t>Asunto: s</w:t>
      </w:r>
      <w:r w:rsidRPr="00036E35">
        <w:rPr>
          <w:rFonts w:ascii="Arial" w:hAnsi="Arial" w:cs="Arial"/>
        </w:rPr>
        <w:t>olicitud urgente de gestión frente a la atención de personas privadas de la libertad</w:t>
      </w:r>
    </w:p>
    <w:p w14:paraId="798BE62B" w14:textId="6C8A2721" w:rsidR="00036E35" w:rsidRPr="00036E35" w:rsidRDefault="00036E35" w:rsidP="00036E35">
      <w:pPr>
        <w:jc w:val="both"/>
        <w:rPr>
          <w:rFonts w:ascii="Arial" w:hAnsi="Arial" w:cs="Arial"/>
        </w:rPr>
      </w:pPr>
      <w:r w:rsidRPr="00036E35">
        <w:rPr>
          <w:rFonts w:ascii="Arial" w:hAnsi="Arial" w:cs="Arial"/>
        </w:rPr>
        <w:t xml:space="preserve">De manera atenta y respetuosa, me permito dirigirme al señor alcalde, con el fin de solicitar, con urgencia, información de acciones concretas frente a las gestiones adelantadas por esa Administración Municipal ante el Establecimiento Penitenciario de Mediana Seguridad y Carcelario – EPMSC (INPEC), sede Santa Marta, para la elaboración y suscripción del convenio interinstitucional que permita el traslado y la atención integral de las Personas Privadas de la Libertad (PPL) en calidad de indiciados, actualmente recluidas en las instalaciones del Distrito de Policía N.º 3 – Estación de Policía </w:t>
      </w:r>
      <w:r w:rsidR="007C55E3">
        <w:rPr>
          <w:rFonts w:ascii="Arial" w:hAnsi="Arial" w:cs="Arial"/>
        </w:rPr>
        <w:t>XXXX</w:t>
      </w:r>
      <w:r w:rsidRPr="00036E35">
        <w:rPr>
          <w:rFonts w:ascii="Arial" w:hAnsi="Arial" w:cs="Arial"/>
        </w:rPr>
        <w:t>.</w:t>
      </w:r>
    </w:p>
    <w:p w14:paraId="0709FC15" w14:textId="77777777" w:rsidR="00036E35" w:rsidRPr="00036E35" w:rsidRDefault="00036E35" w:rsidP="00036E35">
      <w:pPr>
        <w:jc w:val="both"/>
        <w:rPr>
          <w:rFonts w:ascii="Arial" w:hAnsi="Arial" w:cs="Arial"/>
        </w:rPr>
      </w:pPr>
      <w:r w:rsidRPr="00036E35">
        <w:rPr>
          <w:rFonts w:ascii="Arial" w:hAnsi="Arial" w:cs="Arial"/>
        </w:rPr>
        <w:t>Actualmente, se encuentran bajo custodia de esta unidad policial aproximadamente cincuenta y dos (52) Personas Privadas de la Libertad, cifra que supera ampliamente la capacidad instalada de la estación, configurándose un grave estado de hacinamiento y condiciones materiales de reclusión que resultan incompatibles con la dignidad humana. Los espacios disponibles no cuentan con ventilación adecuada ni con el área mínima vital por persona, presentan deficiencias en el acceso a servicios sanitarios básicos (inodoros, duchas y agua potable) y un suministro de alimentación insuficiente, tanto en cantidad como en calidad. Esta situación vulnera de manera directa derechos fundamentales como la dignidad humana, la salud, la integridad personal y el mínimo vital de las PPL, y representa, además, un riesgo cierto y permanente para el personal policial encargado de su custodia y para la seguridad de las instalaciones.</w:t>
      </w:r>
    </w:p>
    <w:p w14:paraId="251859DE" w14:textId="77777777" w:rsidR="00036E35" w:rsidRPr="00036E35" w:rsidRDefault="00036E35" w:rsidP="00036E35">
      <w:pPr>
        <w:jc w:val="both"/>
        <w:rPr>
          <w:rFonts w:ascii="Arial" w:hAnsi="Arial" w:cs="Arial"/>
        </w:rPr>
      </w:pPr>
      <w:r w:rsidRPr="00036E35">
        <w:rPr>
          <w:rFonts w:ascii="Arial" w:hAnsi="Arial" w:cs="Arial"/>
        </w:rPr>
        <w:t>Es pertinente recordar que, en la mesa de trabajo realizada el día 3 de febrero del presente año en las instalaciones de la Estación de Policía Ciénaga, esa Administración Municipal asumió el compromiso expreso de agilizar las gestiones necesarias para la celebración del convenio interinstitucional con el EPMSC – Santa Marta, como medida estructural para mitigar el hacinamiento y garantizar condiciones dignas de detención preventiva. No obstante, a la fecha dicho compromiso no se ha materializado, prolongando una situación crítica que exige una respuesta administrativa inmediata.</w:t>
      </w:r>
    </w:p>
    <w:p w14:paraId="323C61E1" w14:textId="77777777" w:rsidR="00036E35" w:rsidRPr="00036E35" w:rsidRDefault="00036E35" w:rsidP="00036E35">
      <w:pPr>
        <w:jc w:val="both"/>
        <w:rPr>
          <w:rFonts w:ascii="Arial" w:hAnsi="Arial" w:cs="Arial"/>
        </w:rPr>
      </w:pPr>
      <w:r w:rsidRPr="00036E35">
        <w:rPr>
          <w:rFonts w:ascii="Arial" w:hAnsi="Arial" w:cs="Arial"/>
        </w:rPr>
        <w:t>La inexistencia del referido convenio ha generado vacíos en la asignación de competencias y recursos, especialmente en lo relacionado con la alimentación de las Personas Privadas de la Libertad, obligación que recae legalmente en la Administración Municipal. Como consecuencia de la ausencia de un contrato formal de alimentación, se ha optado por la entrega de remesas o mercados a las PPL, permitiendo la preparación de alimentos al interior de las celdas, situación que incrementa de manera significativa los riesgos de incendios, motines, afectaciones a la salubridad, alteraciones del orden público y vulneraciones adicionales de derechos fundamentales.</w:t>
      </w:r>
    </w:p>
    <w:p w14:paraId="5183D279" w14:textId="77777777" w:rsidR="00036E35" w:rsidRPr="00036E35" w:rsidRDefault="00036E35" w:rsidP="00036E35">
      <w:pPr>
        <w:jc w:val="both"/>
        <w:rPr>
          <w:rFonts w:ascii="Arial" w:hAnsi="Arial" w:cs="Arial"/>
        </w:rPr>
      </w:pPr>
      <w:r w:rsidRPr="00036E35">
        <w:rPr>
          <w:rFonts w:ascii="Arial" w:hAnsi="Arial" w:cs="Arial"/>
        </w:rPr>
        <w:t>Desde el punto de vista jurídico, resulta necesario precisar que las instalaciones policiales no están legal ni técnicamente habilitadas como centros de reclusión permanente, conforme a lo dispuesto en la Ley 65 de 1993 – Código Penitenciario y Carcelario, la cual establece:</w:t>
      </w:r>
    </w:p>
    <w:p w14:paraId="492E4EB6" w14:textId="77777777" w:rsidR="00036E35" w:rsidRPr="00036E35" w:rsidRDefault="00036E35" w:rsidP="00036E35">
      <w:pPr>
        <w:numPr>
          <w:ilvl w:val="0"/>
          <w:numId w:val="2"/>
        </w:numPr>
        <w:jc w:val="both"/>
        <w:rPr>
          <w:rFonts w:ascii="Arial" w:hAnsi="Arial" w:cs="Arial"/>
        </w:rPr>
      </w:pPr>
      <w:r w:rsidRPr="00036E35">
        <w:rPr>
          <w:rFonts w:ascii="Arial" w:hAnsi="Arial" w:cs="Arial"/>
        </w:rPr>
        <w:t>Artículo 1: El Código regula el cumplimiento de las medidas de aseguramiento y la ejecución de penas privativas de la libertad, funciones que no corresponden a la Policía Nacional.</w:t>
      </w:r>
    </w:p>
    <w:p w14:paraId="108E8565" w14:textId="77777777" w:rsidR="00036E35" w:rsidRPr="00036E35" w:rsidRDefault="00036E35" w:rsidP="00036E35">
      <w:pPr>
        <w:numPr>
          <w:ilvl w:val="0"/>
          <w:numId w:val="2"/>
        </w:numPr>
        <w:jc w:val="both"/>
        <w:rPr>
          <w:rFonts w:ascii="Arial" w:hAnsi="Arial" w:cs="Arial"/>
        </w:rPr>
      </w:pPr>
      <w:r w:rsidRPr="00036E35">
        <w:rPr>
          <w:rFonts w:ascii="Arial" w:hAnsi="Arial" w:cs="Arial"/>
        </w:rPr>
        <w:t>Artículo 16: Los establecimientos de reclusión deben reunir condiciones técnicas, de seguridad y salubridad adecuadas.</w:t>
      </w:r>
    </w:p>
    <w:p w14:paraId="46A02F09" w14:textId="77777777" w:rsidR="00036E35" w:rsidRPr="00036E35" w:rsidRDefault="00036E35" w:rsidP="00036E35">
      <w:pPr>
        <w:numPr>
          <w:ilvl w:val="0"/>
          <w:numId w:val="2"/>
        </w:numPr>
        <w:jc w:val="both"/>
        <w:rPr>
          <w:rFonts w:ascii="Arial" w:hAnsi="Arial" w:cs="Arial"/>
        </w:rPr>
      </w:pPr>
      <w:r w:rsidRPr="00036E35">
        <w:rPr>
          <w:rFonts w:ascii="Arial" w:hAnsi="Arial" w:cs="Arial"/>
        </w:rPr>
        <w:lastRenderedPageBreak/>
        <w:t>Artículo 21: La detención preventiva debe cumplirse en establecimientos habilitados para tal fin y no en instalaciones policiales.</w:t>
      </w:r>
    </w:p>
    <w:p w14:paraId="0A3940B8" w14:textId="77777777" w:rsidR="00036E35" w:rsidRPr="00036E35" w:rsidRDefault="00036E35" w:rsidP="00036E35">
      <w:pPr>
        <w:numPr>
          <w:ilvl w:val="0"/>
          <w:numId w:val="2"/>
        </w:numPr>
        <w:jc w:val="both"/>
        <w:rPr>
          <w:rFonts w:ascii="Arial" w:hAnsi="Arial" w:cs="Arial"/>
        </w:rPr>
      </w:pPr>
      <w:r w:rsidRPr="00036E35">
        <w:rPr>
          <w:rFonts w:ascii="Arial" w:hAnsi="Arial" w:cs="Arial"/>
        </w:rPr>
        <w:t>Artículo 34: El Estado debe garantizar medios materiales mínimos compatibles con la dignidad humana, como acceso a agua potable, servicios sanitarios, alimentación adecuada y condiciones de habitabilidad.</w:t>
      </w:r>
    </w:p>
    <w:p w14:paraId="51747B28" w14:textId="77777777" w:rsidR="00036E35" w:rsidRPr="00036E35" w:rsidRDefault="00036E35" w:rsidP="00036E35">
      <w:pPr>
        <w:jc w:val="both"/>
        <w:rPr>
          <w:rFonts w:ascii="Arial" w:hAnsi="Arial" w:cs="Arial"/>
        </w:rPr>
      </w:pPr>
      <w:r w:rsidRPr="00036E35">
        <w:rPr>
          <w:rFonts w:ascii="Arial" w:hAnsi="Arial" w:cs="Arial"/>
        </w:rPr>
        <w:t>Adicionalmente, la Corte Constitucional, mediante la Sentencia SU-122 de 2022, reiteró que, si bien las estaciones de policía y carceletas son lugares de reclusión transitoria y excepcional, ello no exonera a las autoridades territoriales de su deber constitucional de garantizar los derechos fundamentales de las personas privadas de la libertad, ni de adoptar medidas de coordinación interinstitucional para evitar situaciones de hacinamiento, tratos indignos o riesgos para la vida y la integridad personal. La Corte ha sido enfática en señalar que la permanencia prolongada de PPL en estaciones de policía constituye una vulneración sistemática de derechos fundamentales y compromete la responsabilidad de las autoridades administrativas competentes, en especial de las entidades territoriales.</w:t>
      </w:r>
    </w:p>
    <w:p w14:paraId="7CA57CBA" w14:textId="77777777" w:rsidR="00036E35" w:rsidRDefault="00036E35" w:rsidP="00036E35">
      <w:pPr>
        <w:jc w:val="both"/>
        <w:rPr>
          <w:rFonts w:ascii="Arial" w:hAnsi="Arial" w:cs="Arial"/>
        </w:rPr>
      </w:pPr>
      <w:r w:rsidRPr="00036E35">
        <w:rPr>
          <w:rFonts w:ascii="Arial" w:hAnsi="Arial" w:cs="Arial"/>
        </w:rPr>
        <w:t>En este contexto, la Policía Nacional ha venido asumiendo la contención y mitigación de los riesgos derivados de esta situación, sin que exista un soporte contractual, administrativo ni presupuestal adecuado, lo cual excede sus funciones constitucionales y legales, y expone tanto a la Institución como a la Administración Municipal a eventuales responsabilidades disciplinarias, fiscales y judiciales.</w:t>
      </w:r>
    </w:p>
    <w:p w14:paraId="73AEEB8C" w14:textId="77777777" w:rsidR="00036E35" w:rsidRDefault="00036E35" w:rsidP="00036E35">
      <w:pPr>
        <w:jc w:val="both"/>
        <w:rPr>
          <w:rFonts w:ascii="Arial" w:hAnsi="Arial" w:cs="Arial"/>
        </w:rPr>
      </w:pPr>
      <w:r>
        <w:rPr>
          <w:rFonts w:ascii="Arial" w:hAnsi="Arial" w:cs="Arial"/>
        </w:rPr>
        <w:t>EVIDENCIA FOTOGRÁFICA:</w:t>
      </w:r>
    </w:p>
    <w:p w14:paraId="188F3CFE" w14:textId="498CF5CC" w:rsidR="00036E35" w:rsidRDefault="00052BBD" w:rsidP="00036E35">
      <w:pPr>
        <w:jc w:val="both"/>
        <w:rPr>
          <w:rFonts w:ascii="Arial" w:hAnsi="Arial" w:cs="Arial"/>
        </w:rPr>
      </w:pPr>
      <w:r>
        <w:rPr>
          <w:noProof/>
        </w:rPr>
        <w:drawing>
          <wp:anchor distT="0" distB="0" distL="114300" distR="114300" simplePos="0" relativeHeight="251672576" behindDoc="0" locked="0" layoutInCell="1" allowOverlap="1" wp14:anchorId="6C6E9278" wp14:editId="3FBE77F7">
            <wp:simplePos x="0" y="0"/>
            <wp:positionH relativeFrom="column">
              <wp:posOffset>0</wp:posOffset>
            </wp:positionH>
            <wp:positionV relativeFrom="paragraph">
              <wp:posOffset>66040</wp:posOffset>
            </wp:positionV>
            <wp:extent cx="1260000" cy="1079500"/>
            <wp:effectExtent l="0" t="0" r="0" b="6350"/>
            <wp:wrapNone/>
            <wp:docPr id="5" name="Imagen 5" descr="C:\Users\oscaro.garciap\Downloads\e193db12-bdbc-4885-8ef8-53e0d891394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C:\Users\oscaro.garciap\Downloads\e193db12-bdbc-4885-8ef8-53e0d8913941.JPG"/>
                    <pic:cNvPicPr preferRelativeResize="0">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60000"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239BBD" w14:textId="77777777" w:rsidR="00036E35" w:rsidRDefault="00036E35" w:rsidP="00036E35">
      <w:pPr>
        <w:jc w:val="both"/>
        <w:rPr>
          <w:rFonts w:ascii="Arial" w:hAnsi="Arial" w:cs="Arial"/>
        </w:rPr>
      </w:pPr>
    </w:p>
    <w:p w14:paraId="531A75BB" w14:textId="77777777" w:rsidR="00036E35" w:rsidRDefault="00036E35" w:rsidP="00036E35">
      <w:pPr>
        <w:jc w:val="both"/>
        <w:rPr>
          <w:rFonts w:ascii="Arial" w:hAnsi="Arial" w:cs="Arial"/>
        </w:rPr>
      </w:pPr>
    </w:p>
    <w:p w14:paraId="39235921" w14:textId="77777777" w:rsidR="00036E35" w:rsidRDefault="00036E35" w:rsidP="00036E35">
      <w:pPr>
        <w:jc w:val="both"/>
        <w:rPr>
          <w:rFonts w:ascii="Arial" w:hAnsi="Arial" w:cs="Arial"/>
        </w:rPr>
      </w:pPr>
    </w:p>
    <w:p w14:paraId="1C1F2ACC" w14:textId="77777777" w:rsidR="00036E35" w:rsidRPr="00036E35" w:rsidRDefault="00036E35" w:rsidP="00036E35">
      <w:pPr>
        <w:jc w:val="both"/>
        <w:rPr>
          <w:rFonts w:ascii="Arial" w:hAnsi="Arial" w:cs="Arial"/>
        </w:rPr>
      </w:pPr>
    </w:p>
    <w:p w14:paraId="72B9857C" w14:textId="77777777" w:rsidR="00036E35" w:rsidRPr="00036E35" w:rsidRDefault="00036E35" w:rsidP="00036E35">
      <w:pPr>
        <w:jc w:val="both"/>
        <w:rPr>
          <w:rFonts w:ascii="Arial" w:hAnsi="Arial" w:cs="Arial"/>
        </w:rPr>
      </w:pPr>
      <w:r w:rsidRPr="00036E35">
        <w:rPr>
          <w:rFonts w:ascii="Arial" w:hAnsi="Arial" w:cs="Arial"/>
        </w:rPr>
        <w:t>En virtud de lo anterior, respetuosamente se solicita a su despacho:</w:t>
      </w:r>
    </w:p>
    <w:p w14:paraId="5242DAC9" w14:textId="77777777" w:rsidR="00036E35" w:rsidRPr="00036E35" w:rsidRDefault="00036E35" w:rsidP="00036E35">
      <w:pPr>
        <w:numPr>
          <w:ilvl w:val="0"/>
          <w:numId w:val="3"/>
        </w:numPr>
        <w:jc w:val="both"/>
        <w:rPr>
          <w:rFonts w:ascii="Arial" w:hAnsi="Arial" w:cs="Arial"/>
        </w:rPr>
      </w:pPr>
      <w:r w:rsidRPr="00036E35">
        <w:rPr>
          <w:rFonts w:ascii="Arial" w:hAnsi="Arial" w:cs="Arial"/>
        </w:rPr>
        <w:t>Informar de manera clara y documentada las acciones concretas adelantadas por esa Alcaldía ante el EPMSC – Santa Marta para la formalización del convenio interinstitucional requerido.</w:t>
      </w:r>
    </w:p>
    <w:p w14:paraId="69D02ADB" w14:textId="77777777" w:rsidR="00036E35" w:rsidRPr="00036E35" w:rsidRDefault="00036E35" w:rsidP="00036E35">
      <w:pPr>
        <w:numPr>
          <w:ilvl w:val="0"/>
          <w:numId w:val="3"/>
        </w:numPr>
        <w:jc w:val="both"/>
        <w:rPr>
          <w:rFonts w:ascii="Arial" w:hAnsi="Arial" w:cs="Arial"/>
        </w:rPr>
      </w:pPr>
      <w:r w:rsidRPr="00036E35">
        <w:rPr>
          <w:rFonts w:ascii="Arial" w:hAnsi="Arial" w:cs="Arial"/>
        </w:rPr>
        <w:t>Indicar el estado actual del trámite, los obstáculos identificados y los compromisos adquiridos por las partes.</w:t>
      </w:r>
    </w:p>
    <w:p w14:paraId="72090B97" w14:textId="77777777" w:rsidR="00036E35" w:rsidRPr="00036E35" w:rsidRDefault="00036E35" w:rsidP="00036E35">
      <w:pPr>
        <w:numPr>
          <w:ilvl w:val="0"/>
          <w:numId w:val="3"/>
        </w:numPr>
        <w:jc w:val="both"/>
        <w:rPr>
          <w:rFonts w:ascii="Arial" w:hAnsi="Arial" w:cs="Arial"/>
        </w:rPr>
      </w:pPr>
      <w:r w:rsidRPr="00036E35">
        <w:rPr>
          <w:rFonts w:ascii="Arial" w:hAnsi="Arial" w:cs="Arial"/>
        </w:rPr>
        <w:t>Señalar el cronograma definido para la suscripción del convenio y la implementación efectiva del traslado de los indiciados a un establecimiento de reclusión legalmente habilitado.</w:t>
      </w:r>
    </w:p>
    <w:p w14:paraId="600E9F9B" w14:textId="77777777" w:rsidR="00036E35" w:rsidRPr="00036E35" w:rsidRDefault="00036E35" w:rsidP="00036E35">
      <w:pPr>
        <w:numPr>
          <w:ilvl w:val="0"/>
          <w:numId w:val="3"/>
        </w:numPr>
        <w:jc w:val="both"/>
        <w:rPr>
          <w:rFonts w:ascii="Arial" w:hAnsi="Arial" w:cs="Arial"/>
        </w:rPr>
      </w:pPr>
      <w:r w:rsidRPr="00036E35">
        <w:rPr>
          <w:rFonts w:ascii="Arial" w:hAnsi="Arial" w:cs="Arial"/>
        </w:rPr>
        <w:t>Precisar las medidas transitorias que se adoptarán, bajo responsabilidad de la Administración Municipal, para garantizar condiciones dignas, seguras y acordes con el marco constitucional y legal mientras se concreta dicho convenio.</w:t>
      </w:r>
    </w:p>
    <w:p w14:paraId="2C0DF1F9" w14:textId="77777777" w:rsidR="00036E35" w:rsidRPr="00036E35" w:rsidRDefault="00036E35" w:rsidP="00036E35">
      <w:pPr>
        <w:jc w:val="both"/>
        <w:rPr>
          <w:rFonts w:ascii="Arial" w:hAnsi="Arial" w:cs="Arial"/>
        </w:rPr>
      </w:pPr>
      <w:r w:rsidRPr="00036E35">
        <w:rPr>
          <w:rFonts w:ascii="Arial" w:hAnsi="Arial" w:cs="Arial"/>
        </w:rPr>
        <w:t>Es importante enfatizar que la presente comunicación no tiene como finalidad trasladar responsabilidades, sino dejar constancia institucional de una situación crítica que requiere intervención inmediata, en cumplimiento del deber constitucional y legal que le asiste a la Administración Municipal frente a la atención integral de las Personas Privadas de la Libertad.</w:t>
      </w:r>
    </w:p>
    <w:p w14:paraId="2E08B02E" w14:textId="77777777" w:rsidR="00036E35" w:rsidRPr="00036E35" w:rsidRDefault="00036E35" w:rsidP="00036E35">
      <w:pPr>
        <w:jc w:val="both"/>
        <w:rPr>
          <w:rFonts w:ascii="Arial" w:hAnsi="Arial" w:cs="Arial"/>
        </w:rPr>
      </w:pPr>
      <w:r w:rsidRPr="00036E35">
        <w:rPr>
          <w:rFonts w:ascii="Arial" w:hAnsi="Arial" w:cs="Arial"/>
        </w:rPr>
        <w:t>Confiamos en su liderazgo y compromiso institucional para adoptar las decisiones necesarias que permitan superar esta problemática, garantizando los derechos fundamentales, la seguridad ciudadana y la correcta prestación del servicio público.</w:t>
      </w:r>
    </w:p>
    <w:p w14:paraId="1E5B9C92" w14:textId="77777777" w:rsidR="00036E35" w:rsidRPr="00036E35" w:rsidRDefault="00036E35" w:rsidP="00036E35">
      <w:pPr>
        <w:jc w:val="both"/>
        <w:rPr>
          <w:rFonts w:ascii="Arial" w:hAnsi="Arial" w:cs="Arial"/>
        </w:rPr>
      </w:pPr>
      <w:r w:rsidRPr="00036E35">
        <w:rPr>
          <w:rFonts w:ascii="Arial" w:hAnsi="Arial" w:cs="Arial"/>
        </w:rPr>
        <w:t>Agradeciendo de antemano la atención prestada, quedo atento a la respuesta y a las coordinaciones que desde su despacho se estimen pertinentes.</w:t>
      </w:r>
    </w:p>
    <w:p w14:paraId="3B9247EF" w14:textId="77777777" w:rsidR="00036E35" w:rsidRPr="00036E35" w:rsidRDefault="00036E35" w:rsidP="00036E35">
      <w:pPr>
        <w:jc w:val="both"/>
        <w:rPr>
          <w:rFonts w:ascii="Arial" w:hAnsi="Arial" w:cs="Arial"/>
        </w:rPr>
      </w:pPr>
      <w:r w:rsidRPr="00036E35">
        <w:rPr>
          <w:rFonts w:ascii="Arial" w:hAnsi="Arial" w:cs="Arial"/>
        </w:rPr>
        <w:t>Atentamente,</w:t>
      </w:r>
    </w:p>
    <w:p w14:paraId="75DE6CD2" w14:textId="77777777" w:rsidR="00BE70F5" w:rsidRDefault="00BE70F5" w:rsidP="00872DA2">
      <w:pPr>
        <w:jc w:val="both"/>
        <w:rPr>
          <w:rFonts w:ascii="Arial" w:hAnsi="Arial" w:cs="Arial"/>
        </w:rPr>
      </w:pPr>
    </w:p>
    <w:p w14:paraId="71019BB0" w14:textId="77777777" w:rsidR="00BE70F5" w:rsidRDefault="00BE70F5" w:rsidP="00BE70F5">
      <w:pPr>
        <w:pStyle w:val="NormalWeb"/>
      </w:pPr>
    </w:p>
    <w:p w14:paraId="65BEA240" w14:textId="77777777" w:rsidR="0014157E" w:rsidRDefault="0014157E" w:rsidP="0014157E">
      <w:pPr>
        <w:pStyle w:val="NormalWeb"/>
      </w:pPr>
    </w:p>
    <w:p w14:paraId="5D636011" w14:textId="77777777" w:rsidR="00BE70F5" w:rsidRDefault="00BE70F5" w:rsidP="00872DA2">
      <w:pPr>
        <w:jc w:val="both"/>
        <w:rPr>
          <w:rFonts w:ascii="Arial" w:hAnsi="Arial" w:cs="Arial"/>
        </w:rPr>
      </w:pPr>
    </w:p>
    <w:p w14:paraId="48695ED1" w14:textId="77777777" w:rsidR="0014157E" w:rsidRDefault="0014157E" w:rsidP="0014157E">
      <w:pPr>
        <w:pStyle w:val="NormalWeb"/>
      </w:pPr>
    </w:p>
    <w:p w14:paraId="0D674E52" w14:textId="77777777" w:rsidR="0014157E" w:rsidRDefault="0014157E" w:rsidP="0014157E">
      <w:pPr>
        <w:pStyle w:val="NormalWeb"/>
      </w:pPr>
    </w:p>
    <w:p w14:paraId="4F3463D3" w14:textId="77777777" w:rsidR="0014157E" w:rsidRDefault="0014157E" w:rsidP="0014157E">
      <w:pPr>
        <w:pStyle w:val="NormalWeb"/>
      </w:pPr>
    </w:p>
    <w:p w14:paraId="27E66CCC" w14:textId="77777777" w:rsidR="009C7337" w:rsidRDefault="009C7337"/>
    <w:sectPr w:rsidR="009C733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E169D"/>
    <w:multiLevelType w:val="multilevel"/>
    <w:tmpl w:val="67907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3712D5"/>
    <w:multiLevelType w:val="multilevel"/>
    <w:tmpl w:val="5168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0E3676"/>
    <w:multiLevelType w:val="multilevel"/>
    <w:tmpl w:val="31169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8146055">
    <w:abstractNumId w:val="2"/>
  </w:num>
  <w:num w:numId="2" w16cid:durableId="589432134">
    <w:abstractNumId w:val="1"/>
  </w:num>
  <w:num w:numId="3" w16cid:durableId="1935671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DA2"/>
    <w:rsid w:val="00036E35"/>
    <w:rsid w:val="00052BBD"/>
    <w:rsid w:val="0014157E"/>
    <w:rsid w:val="001627B7"/>
    <w:rsid w:val="003D24FF"/>
    <w:rsid w:val="00475638"/>
    <w:rsid w:val="007C55E3"/>
    <w:rsid w:val="00872DA2"/>
    <w:rsid w:val="009663F5"/>
    <w:rsid w:val="009C06EA"/>
    <w:rsid w:val="009C7337"/>
    <w:rsid w:val="009F5BE3"/>
    <w:rsid w:val="00A1758D"/>
    <w:rsid w:val="00B07D20"/>
    <w:rsid w:val="00BE70F5"/>
    <w:rsid w:val="00D71383"/>
    <w:rsid w:val="00D7366F"/>
    <w:rsid w:val="00EC3E6E"/>
    <w:rsid w:val="00FD78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2BD47"/>
  <w15:chartTrackingRefBased/>
  <w15:docId w15:val="{7008AFB7-1D50-464F-A9C5-45B7CB654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DA2"/>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Fuerte">
    <w:name w:val="Strong"/>
    <w:basedOn w:val="Fuentedeprrafopredeter"/>
    <w:uiPriority w:val="22"/>
    <w:qFormat/>
    <w:rsid w:val="00475638"/>
    <w:rPr>
      <w:b/>
      <w:bCs/>
    </w:rPr>
  </w:style>
  <w:style w:type="paragraph" w:styleId="NormalWeb">
    <w:name w:val="Normal (Web)"/>
    <w:basedOn w:val="Normal"/>
    <w:uiPriority w:val="99"/>
    <w:semiHidden/>
    <w:unhideWhenUsed/>
    <w:rsid w:val="00A1758D"/>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70500">
      <w:bodyDiv w:val="1"/>
      <w:marLeft w:val="0"/>
      <w:marRight w:val="0"/>
      <w:marTop w:val="0"/>
      <w:marBottom w:val="0"/>
      <w:divBdr>
        <w:top w:val="none" w:sz="0" w:space="0" w:color="auto"/>
        <w:left w:val="none" w:sz="0" w:space="0" w:color="auto"/>
        <w:bottom w:val="none" w:sz="0" w:space="0" w:color="auto"/>
        <w:right w:val="none" w:sz="0" w:space="0" w:color="auto"/>
      </w:divBdr>
    </w:div>
    <w:div w:id="373771597">
      <w:bodyDiv w:val="1"/>
      <w:marLeft w:val="0"/>
      <w:marRight w:val="0"/>
      <w:marTop w:val="0"/>
      <w:marBottom w:val="0"/>
      <w:divBdr>
        <w:top w:val="none" w:sz="0" w:space="0" w:color="auto"/>
        <w:left w:val="none" w:sz="0" w:space="0" w:color="auto"/>
        <w:bottom w:val="none" w:sz="0" w:space="0" w:color="auto"/>
        <w:right w:val="none" w:sz="0" w:space="0" w:color="auto"/>
      </w:divBdr>
    </w:div>
    <w:div w:id="448283175">
      <w:bodyDiv w:val="1"/>
      <w:marLeft w:val="0"/>
      <w:marRight w:val="0"/>
      <w:marTop w:val="0"/>
      <w:marBottom w:val="0"/>
      <w:divBdr>
        <w:top w:val="none" w:sz="0" w:space="0" w:color="auto"/>
        <w:left w:val="none" w:sz="0" w:space="0" w:color="auto"/>
        <w:bottom w:val="none" w:sz="0" w:space="0" w:color="auto"/>
        <w:right w:val="none" w:sz="0" w:space="0" w:color="auto"/>
      </w:divBdr>
    </w:div>
    <w:div w:id="606036752">
      <w:bodyDiv w:val="1"/>
      <w:marLeft w:val="0"/>
      <w:marRight w:val="0"/>
      <w:marTop w:val="0"/>
      <w:marBottom w:val="0"/>
      <w:divBdr>
        <w:top w:val="none" w:sz="0" w:space="0" w:color="auto"/>
        <w:left w:val="none" w:sz="0" w:space="0" w:color="auto"/>
        <w:bottom w:val="none" w:sz="0" w:space="0" w:color="auto"/>
        <w:right w:val="none" w:sz="0" w:space="0" w:color="auto"/>
      </w:divBdr>
    </w:div>
    <w:div w:id="982583544">
      <w:bodyDiv w:val="1"/>
      <w:marLeft w:val="0"/>
      <w:marRight w:val="0"/>
      <w:marTop w:val="0"/>
      <w:marBottom w:val="0"/>
      <w:divBdr>
        <w:top w:val="none" w:sz="0" w:space="0" w:color="auto"/>
        <w:left w:val="none" w:sz="0" w:space="0" w:color="auto"/>
        <w:bottom w:val="none" w:sz="0" w:space="0" w:color="auto"/>
        <w:right w:val="none" w:sz="0" w:space="0" w:color="auto"/>
      </w:divBdr>
    </w:div>
    <w:div w:id="1146632613">
      <w:bodyDiv w:val="1"/>
      <w:marLeft w:val="0"/>
      <w:marRight w:val="0"/>
      <w:marTop w:val="0"/>
      <w:marBottom w:val="0"/>
      <w:divBdr>
        <w:top w:val="none" w:sz="0" w:space="0" w:color="auto"/>
        <w:left w:val="none" w:sz="0" w:space="0" w:color="auto"/>
        <w:bottom w:val="none" w:sz="0" w:space="0" w:color="auto"/>
        <w:right w:val="none" w:sz="0" w:space="0" w:color="auto"/>
      </w:divBdr>
    </w:div>
    <w:div w:id="1175388234">
      <w:bodyDiv w:val="1"/>
      <w:marLeft w:val="0"/>
      <w:marRight w:val="0"/>
      <w:marTop w:val="0"/>
      <w:marBottom w:val="0"/>
      <w:divBdr>
        <w:top w:val="none" w:sz="0" w:space="0" w:color="auto"/>
        <w:left w:val="none" w:sz="0" w:space="0" w:color="auto"/>
        <w:bottom w:val="none" w:sz="0" w:space="0" w:color="auto"/>
        <w:right w:val="none" w:sz="0" w:space="0" w:color="auto"/>
      </w:divBdr>
    </w:div>
    <w:div w:id="1210994827">
      <w:bodyDiv w:val="1"/>
      <w:marLeft w:val="0"/>
      <w:marRight w:val="0"/>
      <w:marTop w:val="0"/>
      <w:marBottom w:val="0"/>
      <w:divBdr>
        <w:top w:val="none" w:sz="0" w:space="0" w:color="auto"/>
        <w:left w:val="none" w:sz="0" w:space="0" w:color="auto"/>
        <w:bottom w:val="none" w:sz="0" w:space="0" w:color="auto"/>
        <w:right w:val="none" w:sz="0" w:space="0" w:color="auto"/>
      </w:divBdr>
    </w:div>
    <w:div w:id="1366372189">
      <w:bodyDiv w:val="1"/>
      <w:marLeft w:val="0"/>
      <w:marRight w:val="0"/>
      <w:marTop w:val="0"/>
      <w:marBottom w:val="0"/>
      <w:divBdr>
        <w:top w:val="none" w:sz="0" w:space="0" w:color="auto"/>
        <w:left w:val="none" w:sz="0" w:space="0" w:color="auto"/>
        <w:bottom w:val="none" w:sz="0" w:space="0" w:color="auto"/>
        <w:right w:val="none" w:sz="0" w:space="0" w:color="auto"/>
      </w:divBdr>
    </w:div>
    <w:div w:id="1452047776">
      <w:bodyDiv w:val="1"/>
      <w:marLeft w:val="0"/>
      <w:marRight w:val="0"/>
      <w:marTop w:val="0"/>
      <w:marBottom w:val="0"/>
      <w:divBdr>
        <w:top w:val="none" w:sz="0" w:space="0" w:color="auto"/>
        <w:left w:val="none" w:sz="0" w:space="0" w:color="auto"/>
        <w:bottom w:val="none" w:sz="0" w:space="0" w:color="auto"/>
        <w:right w:val="none" w:sz="0" w:space="0" w:color="auto"/>
      </w:divBdr>
    </w:div>
    <w:div w:id="1602028715">
      <w:bodyDiv w:val="1"/>
      <w:marLeft w:val="0"/>
      <w:marRight w:val="0"/>
      <w:marTop w:val="0"/>
      <w:marBottom w:val="0"/>
      <w:divBdr>
        <w:top w:val="none" w:sz="0" w:space="0" w:color="auto"/>
        <w:left w:val="none" w:sz="0" w:space="0" w:color="auto"/>
        <w:bottom w:val="none" w:sz="0" w:space="0" w:color="auto"/>
        <w:right w:val="none" w:sz="0" w:space="0" w:color="auto"/>
      </w:divBdr>
    </w:div>
    <w:div w:id="168782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1009</Words>
  <Characters>5553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MESAN - OSCAR IVAN GARCIA PARDO</dc:creator>
  <cp:keywords/>
  <dc:description/>
  <cp:lastModifiedBy>ALVARO PELAEZ TOLOZA</cp:lastModifiedBy>
  <cp:revision>5</cp:revision>
  <dcterms:created xsi:type="dcterms:W3CDTF">2025-12-17T23:41:00Z</dcterms:created>
  <dcterms:modified xsi:type="dcterms:W3CDTF">2026-05-16T14:59:00Z</dcterms:modified>
</cp:coreProperties>
</file>