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F0C52" w:rsidRDefault="008F0C52">
      <w:pPr>
        <w:pStyle w:val="BodyText"/>
        <w:rPr>
          <w:rFonts w:ascii="Times New Roman"/>
          <w:sz w:val="20"/>
        </w:rPr>
      </w:pPr>
    </w:p>
    <w:p w:rsidR="008F0C52" w:rsidRDefault="002B697E">
      <w:pPr>
        <w:pStyle w:val="BodyText"/>
        <w:rPr>
          <w:rFonts w:ascii="Times New Roman"/>
          <w:sz w:val="20"/>
        </w:rPr>
      </w:pPr>
      <w:r w:rsidRPr="007F3CE2">
        <w:rPr>
          <w:rFonts w:ascii="Times New Roman"/>
          <w:noProof/>
          <w:sz w:val="20"/>
        </w:rPr>
        <w:drawing>
          <wp:anchor distT="0" distB="0" distL="114300" distR="114300" simplePos="0" relativeHeight="251657216" behindDoc="0" locked="0" layoutInCell="1" allowOverlap="1" wp14:anchorId="0FD63269" wp14:editId="2758B14D">
            <wp:simplePos x="0" y="0"/>
            <wp:positionH relativeFrom="column">
              <wp:posOffset>1256665</wp:posOffset>
            </wp:positionH>
            <wp:positionV relativeFrom="paragraph">
              <wp:posOffset>103505</wp:posOffset>
            </wp:positionV>
            <wp:extent cx="4100195" cy="1366520"/>
            <wp:effectExtent l="0" t="0" r="0" b="0"/>
            <wp:wrapNone/>
            <wp:docPr id="986265485" name="Picture 7" descr="A person with a black background&#10;&#10;Description automatically generated with medium confidence">
              <a:extLst xmlns:a="http://schemas.openxmlformats.org/drawingml/2006/main">
                <a:ext uri="{FF2B5EF4-FFF2-40B4-BE49-F238E27FC236}">
                  <a16:creationId xmlns:a16="http://schemas.microsoft.com/office/drawing/2014/main" id="{41CB95BA-1551-6634-82A5-3AF67FAAC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erson with a black background&#10;&#10;Description automatically generated with medium confidence">
                      <a:extLst>
                        <a:ext uri="{FF2B5EF4-FFF2-40B4-BE49-F238E27FC236}">
                          <a16:creationId xmlns:a16="http://schemas.microsoft.com/office/drawing/2014/main" id="{41CB95BA-1551-6634-82A5-3AF67FAACF0E}"/>
                        </a:ext>
                      </a:extLst>
                    </pic:cNvPr>
                    <pic:cNvPicPr>
                      <a:picLocks noChangeAspect="1"/>
                    </pic:cNvPicPr>
                  </pic:nvPicPr>
                  <pic:blipFill>
                    <a:blip r:embed="rId7"/>
                    <a:stretch>
                      <a:fillRect/>
                    </a:stretch>
                  </pic:blipFill>
                  <pic:spPr>
                    <a:xfrm>
                      <a:off x="0" y="0"/>
                      <a:ext cx="4100195" cy="1366520"/>
                    </a:xfrm>
                    <a:prstGeom prst="rect">
                      <a:avLst/>
                    </a:prstGeom>
                  </pic:spPr>
                </pic:pic>
              </a:graphicData>
            </a:graphic>
          </wp:anchor>
        </w:drawing>
      </w: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4F27">
      <w:pPr>
        <w:pStyle w:val="BodyText"/>
        <w:rPr>
          <w:rFonts w:ascii="Times New Roman"/>
          <w:sz w:val="20"/>
        </w:rPr>
      </w:pPr>
      <w:r w:rsidRPr="007F3CE2">
        <w:rPr>
          <w:rFonts w:ascii="Times New Roman"/>
          <w:noProof/>
          <w:sz w:val="20"/>
        </w:rPr>
        <mc:AlternateContent>
          <mc:Choice Requires="wps">
            <w:drawing>
              <wp:anchor distT="0" distB="0" distL="114300" distR="114300" simplePos="0" relativeHeight="251718656" behindDoc="0" locked="0" layoutInCell="1" allowOverlap="1" wp14:anchorId="7B5B4329" wp14:editId="772C73C7">
                <wp:simplePos x="0" y="0"/>
                <wp:positionH relativeFrom="column">
                  <wp:posOffset>1416050</wp:posOffset>
                </wp:positionH>
                <wp:positionV relativeFrom="paragraph">
                  <wp:posOffset>26670</wp:posOffset>
                </wp:positionV>
                <wp:extent cx="3486150" cy="384175"/>
                <wp:effectExtent l="0" t="0" r="0" b="0"/>
                <wp:wrapNone/>
                <wp:docPr id="39121139" name="TextBox 1"/>
                <wp:cNvGraphicFramePr/>
                <a:graphic xmlns:a="http://schemas.openxmlformats.org/drawingml/2006/main">
                  <a:graphicData uri="http://schemas.microsoft.com/office/word/2010/wordprocessingShape">
                    <wps:wsp>
                      <wps:cNvSpPr txBox="1"/>
                      <wps:spPr>
                        <a:xfrm>
                          <a:off x="0" y="0"/>
                          <a:ext cx="3486150" cy="384175"/>
                        </a:xfrm>
                        <a:prstGeom prst="rect">
                          <a:avLst/>
                        </a:prstGeom>
                        <a:noFill/>
                      </wps:spPr>
                      <wps:txbx>
                        <w:txbxContent>
                          <w:p w:rsidR="007F3CE2" w:rsidRDefault="007F3CE2" w:rsidP="008F4F27">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wps:txbx>
                      <wps:bodyPr wrap="square" rtlCol="0">
                        <a:spAutoFit/>
                      </wps:bodyPr>
                    </wps:wsp>
                  </a:graphicData>
                </a:graphic>
                <wp14:sizeRelH relativeFrom="margin">
                  <wp14:pctWidth>0</wp14:pctWidth>
                </wp14:sizeRelH>
              </wp:anchor>
            </w:drawing>
          </mc:Choice>
          <mc:Fallback>
            <w:pict>
              <v:shapetype w14:anchorId="7B5B4329" id="_x0000_t202" coordsize="21600,21600" o:spt="202" path="m,l,21600r21600,l21600,xe">
                <v:stroke joinstyle="miter"/>
                <v:path gradientshapeok="t" o:connecttype="rect"/>
              </v:shapetype>
              <v:shape id="TextBox 1" o:spid="_x0000_s1026" type="#_x0000_t202" style="position:absolute;margin-left:111.5pt;margin-top:2.1pt;width:274.5pt;height:30.25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" filled="f" stroked="f">
                <v:textbox style="mso-fit-shape-to-text:t">
                  <w:txbxContent>
                    <w:p w:rsidR="007F3CE2" w:rsidRDefault="007F3CE2" w:rsidP="008F4F27">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v:textbox>
              </v:shape>
            </w:pict>
          </mc:Fallback>
        </mc:AlternateContent>
      </w: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2B697E" w:rsidRDefault="002B697E">
      <w:pPr>
        <w:pStyle w:val="BodyText"/>
        <w:rPr>
          <w:rFonts w:ascii="Times New Roman"/>
          <w:sz w:val="20"/>
        </w:rPr>
      </w:pPr>
    </w:p>
    <w:p w:rsidR="002B697E" w:rsidRDefault="002B697E">
      <w:pPr>
        <w:pStyle w:val="BodyText"/>
        <w:rPr>
          <w:rFonts w:ascii="Times New Roman"/>
          <w:sz w:val="20"/>
        </w:rPr>
      </w:pPr>
    </w:p>
    <w:p w:rsidR="002B697E" w:rsidRDefault="002B697E">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C277DC" w:rsidRDefault="00C277DC" w:rsidP="00C277DC">
      <w:pPr>
        <w:pStyle w:val="Title"/>
        <w:spacing w:before="1" w:line="237" w:lineRule="auto"/>
        <w:ind w:left="4021"/>
      </w:pPr>
      <w:r>
        <w:t>CONATUS</w:t>
      </w:r>
      <w:r>
        <w:rPr>
          <w:spacing w:val="-14"/>
        </w:rPr>
        <w:t xml:space="preserve"> </w:t>
      </w:r>
      <w:r>
        <w:t>FINSERVE</w:t>
      </w:r>
      <w:r>
        <w:rPr>
          <w:spacing w:val="-15"/>
        </w:rPr>
        <w:t xml:space="preserve"> </w:t>
      </w:r>
      <w:r>
        <w:t>PRIVATE</w:t>
      </w:r>
      <w:r>
        <w:rPr>
          <w:spacing w:val="-11"/>
        </w:rPr>
        <w:t xml:space="preserve"> </w:t>
      </w:r>
      <w:r>
        <w:t xml:space="preserve">LIMITED </w:t>
      </w:r>
      <w:r>
        <w:rPr>
          <w:spacing w:val="-2"/>
        </w:rPr>
        <w:t>(CFPL)</w:t>
      </w:r>
    </w:p>
    <w:p w:rsidR="008F0C52" w:rsidRDefault="008F0C52">
      <w:pPr>
        <w:pStyle w:val="BodyText"/>
        <w:rPr>
          <w:rFonts w:ascii="Times New Roman"/>
          <w:sz w:val="20"/>
        </w:rPr>
      </w:pPr>
    </w:p>
    <w:p w:rsidR="008F0C52" w:rsidRDefault="008F0C52">
      <w:pPr>
        <w:pStyle w:val="BodyText"/>
        <w:rPr>
          <w:rFonts w:ascii="Times New Roman"/>
          <w:sz w:val="20"/>
        </w:rPr>
      </w:pPr>
    </w:p>
    <w:p w:rsidR="007F3CE2" w:rsidRPr="00C277DC" w:rsidRDefault="00164CAF" w:rsidP="008F4F27">
      <w:pPr>
        <w:jc w:val="center"/>
        <w:rPr>
          <w:rFonts w:ascii="Times New Roman" w:eastAsia="Times New Roman" w:hAnsi="Times New Roman" w:cs="Times New Roman"/>
          <w:b/>
          <w:bCs/>
          <w:sz w:val="40"/>
          <w:szCs w:val="40"/>
        </w:rPr>
      </w:pPr>
      <w:r w:rsidRPr="00C277DC">
        <w:rPr>
          <w:rFonts w:ascii="Times New Roman" w:eastAsia="Times New Roman" w:hAnsi="Times New Roman" w:cs="Times New Roman"/>
          <w:b/>
          <w:bCs/>
          <w:sz w:val="40"/>
          <w:szCs w:val="40"/>
        </w:rPr>
        <w:t>Schedule of Fees &amp; Charge</w:t>
      </w:r>
      <w:r w:rsidR="002B697E">
        <w:rPr>
          <w:rFonts w:ascii="Times New Roman" w:eastAsia="Times New Roman" w:hAnsi="Times New Roman" w:cs="Times New Roman"/>
          <w:b/>
          <w:bCs/>
          <w:sz w:val="40"/>
          <w:szCs w:val="40"/>
        </w:rPr>
        <w:t>s</w:t>
      </w:r>
    </w:p>
    <w:p w:rsidR="008F0C52" w:rsidRDefault="008F0C52" w:rsidP="007F3CE2">
      <w:pPr>
        <w:pStyle w:val="BodyText"/>
        <w:jc w:val="center"/>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spacing w:before="87"/>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Default="008F0C52">
      <w:pPr>
        <w:pStyle w:val="BodyText"/>
        <w:rPr>
          <w:rFonts w:ascii="Times New Roman"/>
          <w:sz w:val="20"/>
        </w:rPr>
      </w:pPr>
    </w:p>
    <w:p w:rsidR="008F0C52" w:rsidRPr="002B697E" w:rsidRDefault="002B697E" w:rsidP="007F3CE2">
      <w:pPr>
        <w:pStyle w:val="BodyText"/>
        <w:rPr>
          <w:b/>
          <w:bCs/>
        </w:rPr>
      </w:pPr>
      <w:r w:rsidRPr="002B697E">
        <w:rPr>
          <w:b/>
          <w:bCs/>
        </w:rPr>
        <w:t>Schedule of Fees &amp; Charges</w:t>
      </w:r>
      <w:r w:rsidR="007F3CE2" w:rsidRPr="002B697E">
        <w:rPr>
          <w:b/>
          <w:bCs/>
          <w:spacing w:val="-2"/>
        </w:rPr>
        <w:t>:</w:t>
      </w:r>
    </w:p>
    <w:p w:rsidR="008F0C52" w:rsidRDefault="008F0C52">
      <w:pPr>
        <w:pStyle w:val="BodyText"/>
        <w:spacing w:before="11"/>
        <w:rPr>
          <w:b/>
          <w:sz w:val="1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97"/>
        <w:gridCol w:w="1120"/>
        <w:gridCol w:w="1842"/>
        <w:gridCol w:w="1762"/>
        <w:gridCol w:w="1891"/>
        <w:gridCol w:w="1306"/>
        <w:gridCol w:w="1302"/>
      </w:tblGrid>
      <w:tr w:rsidR="002B697E" w:rsidTr="002B697E">
        <w:trPr>
          <w:trHeight w:val="542"/>
        </w:trPr>
        <w:tc>
          <w:tcPr>
            <w:tcW w:w="488" w:type="pct"/>
          </w:tcPr>
          <w:p w:rsidR="002B697E" w:rsidRDefault="002B697E" w:rsidP="007F3CE2">
            <w:pPr>
              <w:pStyle w:val="TableParagraph"/>
              <w:ind w:left="110"/>
            </w:pPr>
            <w:r>
              <w:t>Version</w:t>
            </w:r>
            <w:r>
              <w:rPr>
                <w:spacing w:val="-4"/>
              </w:rPr>
              <w:t xml:space="preserve"> </w:t>
            </w:r>
          </w:p>
        </w:tc>
        <w:tc>
          <w:tcPr>
            <w:tcW w:w="548" w:type="pct"/>
          </w:tcPr>
          <w:p w:rsidR="002B697E" w:rsidRDefault="002B697E" w:rsidP="007F3CE2">
            <w:pPr>
              <w:pStyle w:val="TableParagraph"/>
            </w:pPr>
            <w:r>
              <w:rPr>
                <w:spacing w:val="-4"/>
              </w:rPr>
              <w:t>Effective Date</w:t>
            </w:r>
          </w:p>
        </w:tc>
        <w:tc>
          <w:tcPr>
            <w:tcW w:w="901" w:type="pct"/>
          </w:tcPr>
          <w:p w:rsidR="002B697E" w:rsidRDefault="002B697E" w:rsidP="007F3CE2">
            <w:pPr>
              <w:pStyle w:val="TableParagraph"/>
              <w:ind w:left="110"/>
            </w:pPr>
            <w:r>
              <w:t>Prepared by</w:t>
            </w:r>
          </w:p>
        </w:tc>
        <w:tc>
          <w:tcPr>
            <w:tcW w:w="862" w:type="pct"/>
          </w:tcPr>
          <w:p w:rsidR="002B697E" w:rsidRDefault="002B697E" w:rsidP="007F3CE2">
            <w:pPr>
              <w:pStyle w:val="TableParagraph"/>
              <w:ind w:left="110"/>
            </w:pPr>
            <w:r>
              <w:t>Reviewed by</w:t>
            </w:r>
          </w:p>
        </w:tc>
        <w:tc>
          <w:tcPr>
            <w:tcW w:w="925" w:type="pct"/>
          </w:tcPr>
          <w:p w:rsidR="002B697E" w:rsidRDefault="002B697E" w:rsidP="007F3CE2">
            <w:pPr>
              <w:pStyle w:val="TableParagraph"/>
            </w:pPr>
            <w:r>
              <w:t>Approved</w:t>
            </w:r>
            <w:r>
              <w:rPr>
                <w:spacing w:val="-8"/>
              </w:rPr>
              <w:t xml:space="preserve"> </w:t>
            </w:r>
            <w:r>
              <w:rPr>
                <w:spacing w:val="-5"/>
              </w:rPr>
              <w:t>by</w:t>
            </w:r>
          </w:p>
        </w:tc>
        <w:tc>
          <w:tcPr>
            <w:tcW w:w="639" w:type="pct"/>
          </w:tcPr>
          <w:p w:rsidR="002B697E" w:rsidRDefault="002B697E" w:rsidP="007F3CE2">
            <w:pPr>
              <w:pStyle w:val="TableParagraph"/>
            </w:pPr>
            <w:r>
              <w:t>Approval</w:t>
            </w:r>
            <w:r>
              <w:rPr>
                <w:spacing w:val="-7"/>
              </w:rPr>
              <w:t xml:space="preserve"> </w:t>
            </w:r>
            <w:r>
              <w:rPr>
                <w:spacing w:val="-4"/>
              </w:rPr>
              <w:t>date</w:t>
            </w:r>
          </w:p>
        </w:tc>
        <w:tc>
          <w:tcPr>
            <w:tcW w:w="639" w:type="pct"/>
          </w:tcPr>
          <w:p w:rsidR="002B697E" w:rsidRDefault="002B697E" w:rsidP="007F3CE2">
            <w:pPr>
              <w:pStyle w:val="TableParagraph"/>
            </w:pPr>
            <w:r>
              <w:t>Next Review Date</w:t>
            </w:r>
          </w:p>
        </w:tc>
      </w:tr>
      <w:tr w:rsidR="002B697E" w:rsidTr="002B697E">
        <w:trPr>
          <w:trHeight w:val="537"/>
        </w:trPr>
        <w:tc>
          <w:tcPr>
            <w:tcW w:w="488" w:type="pct"/>
          </w:tcPr>
          <w:p w:rsidR="002B697E" w:rsidRDefault="002B697E" w:rsidP="007F3CE2">
            <w:pPr>
              <w:pStyle w:val="TableParagraph"/>
              <w:ind w:left="110"/>
            </w:pPr>
            <w:r>
              <w:rPr>
                <w:spacing w:val="-10"/>
              </w:rPr>
              <w:t>v.2.0</w:t>
            </w:r>
          </w:p>
        </w:tc>
        <w:tc>
          <w:tcPr>
            <w:tcW w:w="548" w:type="pct"/>
          </w:tcPr>
          <w:p w:rsidR="002B697E" w:rsidRDefault="00311025" w:rsidP="007F3CE2">
            <w:pPr>
              <w:pStyle w:val="TableParagraph"/>
            </w:pPr>
            <w:r>
              <w:t>11-Feb-2026</w:t>
            </w:r>
          </w:p>
        </w:tc>
        <w:tc>
          <w:tcPr>
            <w:tcW w:w="901" w:type="pct"/>
          </w:tcPr>
          <w:p w:rsidR="002B697E" w:rsidRDefault="002B697E" w:rsidP="007F3CE2">
            <w:pPr>
              <w:pStyle w:val="TableParagraph"/>
              <w:rPr>
                <w:spacing w:val="-4"/>
              </w:rPr>
            </w:pPr>
            <w:r>
              <w:rPr>
                <w:spacing w:val="-4"/>
              </w:rPr>
              <w:t>Pushpa Bhatt</w:t>
            </w:r>
          </w:p>
          <w:p w:rsidR="002B697E" w:rsidRDefault="002B697E" w:rsidP="007F3CE2">
            <w:pPr>
              <w:pStyle w:val="TableParagraph"/>
            </w:pPr>
            <w:r>
              <w:rPr>
                <w:spacing w:val="-4"/>
              </w:rPr>
              <w:t>Products</w:t>
            </w:r>
          </w:p>
        </w:tc>
        <w:tc>
          <w:tcPr>
            <w:tcW w:w="862" w:type="pct"/>
          </w:tcPr>
          <w:p w:rsidR="002B697E" w:rsidRDefault="002B697E" w:rsidP="007F3CE2">
            <w:pPr>
              <w:pStyle w:val="TableParagraph"/>
              <w:spacing w:before="0" w:line="270" w:lineRule="atLeast"/>
              <w:ind w:left="110"/>
              <w:rPr>
                <w:spacing w:val="-4"/>
              </w:rPr>
            </w:pPr>
            <w:r>
              <w:rPr>
                <w:spacing w:val="-4"/>
              </w:rPr>
              <w:t>Bhaskar Priyadarshi</w:t>
            </w:r>
          </w:p>
          <w:p w:rsidR="002B697E" w:rsidRDefault="002B697E" w:rsidP="007F3CE2">
            <w:pPr>
              <w:pStyle w:val="TableParagraph"/>
              <w:spacing w:before="0" w:line="270" w:lineRule="atLeast"/>
              <w:ind w:left="110"/>
            </w:pPr>
            <w:r>
              <w:rPr>
                <w:spacing w:val="-4"/>
              </w:rPr>
              <w:t>MD &amp; CEO</w:t>
            </w:r>
          </w:p>
        </w:tc>
        <w:tc>
          <w:tcPr>
            <w:tcW w:w="925" w:type="pct"/>
          </w:tcPr>
          <w:p w:rsidR="002B697E" w:rsidRDefault="002B697E" w:rsidP="007F3CE2">
            <w:pPr>
              <w:pStyle w:val="TableParagraph"/>
            </w:pPr>
            <w:r>
              <w:t>Board</w:t>
            </w:r>
            <w:r>
              <w:rPr>
                <w:spacing w:val="-10"/>
              </w:rPr>
              <w:t xml:space="preserve"> </w:t>
            </w:r>
            <w:r>
              <w:t>of</w:t>
            </w:r>
            <w:r>
              <w:rPr>
                <w:spacing w:val="-5"/>
              </w:rPr>
              <w:t xml:space="preserve"> </w:t>
            </w:r>
            <w:r>
              <w:rPr>
                <w:spacing w:val="-2"/>
              </w:rPr>
              <w:t>Directors</w:t>
            </w:r>
          </w:p>
        </w:tc>
        <w:tc>
          <w:tcPr>
            <w:tcW w:w="639" w:type="pct"/>
          </w:tcPr>
          <w:p w:rsidR="002B697E" w:rsidRDefault="002B697E" w:rsidP="007F3CE2">
            <w:pPr>
              <w:pStyle w:val="TableParagraph"/>
            </w:pPr>
            <w:r>
              <w:t>11-Feb-202</w:t>
            </w:r>
            <w:r w:rsidR="00D269F7">
              <w:t>6</w:t>
            </w:r>
          </w:p>
        </w:tc>
        <w:tc>
          <w:tcPr>
            <w:tcW w:w="639" w:type="pct"/>
          </w:tcPr>
          <w:p w:rsidR="002B697E" w:rsidRDefault="002B697E" w:rsidP="007F3CE2">
            <w:pPr>
              <w:pStyle w:val="TableParagraph"/>
            </w:pPr>
            <w:r>
              <w:t>By 28-Feb-202</w:t>
            </w:r>
            <w:r w:rsidR="00D269F7">
              <w:t>7</w:t>
            </w:r>
          </w:p>
        </w:tc>
      </w:tr>
      <w:tr w:rsidR="002B697E" w:rsidTr="002B697E">
        <w:trPr>
          <w:trHeight w:val="534"/>
        </w:trPr>
        <w:tc>
          <w:tcPr>
            <w:tcW w:w="488" w:type="pct"/>
          </w:tcPr>
          <w:p w:rsidR="002B697E" w:rsidRDefault="002B697E" w:rsidP="007F3CE2">
            <w:pPr>
              <w:pStyle w:val="TableParagraph"/>
              <w:spacing w:before="0" w:line="267" w:lineRule="exact"/>
              <w:ind w:left="110"/>
            </w:pPr>
          </w:p>
        </w:tc>
        <w:tc>
          <w:tcPr>
            <w:tcW w:w="548" w:type="pct"/>
          </w:tcPr>
          <w:p w:rsidR="002B697E" w:rsidRDefault="002B697E" w:rsidP="007F3CE2">
            <w:pPr>
              <w:pStyle w:val="TableParagraph"/>
              <w:spacing w:before="0" w:line="247" w:lineRule="exact"/>
            </w:pPr>
          </w:p>
        </w:tc>
        <w:tc>
          <w:tcPr>
            <w:tcW w:w="901" w:type="pct"/>
          </w:tcPr>
          <w:p w:rsidR="002B697E" w:rsidRDefault="002B697E" w:rsidP="007F3CE2">
            <w:pPr>
              <w:pStyle w:val="TableParagraph"/>
              <w:spacing w:before="0" w:line="247" w:lineRule="exact"/>
            </w:pPr>
          </w:p>
        </w:tc>
        <w:tc>
          <w:tcPr>
            <w:tcW w:w="862" w:type="pct"/>
          </w:tcPr>
          <w:p w:rsidR="002B697E" w:rsidRDefault="002B697E" w:rsidP="007F3CE2">
            <w:pPr>
              <w:pStyle w:val="TableParagraph"/>
              <w:spacing w:before="0" w:line="247" w:lineRule="exact"/>
              <w:ind w:left="110"/>
            </w:pPr>
          </w:p>
        </w:tc>
        <w:tc>
          <w:tcPr>
            <w:tcW w:w="925" w:type="pct"/>
          </w:tcPr>
          <w:p w:rsidR="002B697E" w:rsidRDefault="002B697E" w:rsidP="007F3CE2">
            <w:pPr>
              <w:pStyle w:val="TableParagraph"/>
              <w:spacing w:before="0" w:line="267" w:lineRule="exact"/>
            </w:pPr>
          </w:p>
        </w:tc>
        <w:tc>
          <w:tcPr>
            <w:tcW w:w="639" w:type="pct"/>
          </w:tcPr>
          <w:p w:rsidR="002B697E" w:rsidRDefault="002B697E" w:rsidP="007F3CE2">
            <w:pPr>
              <w:pStyle w:val="TableParagraph"/>
              <w:spacing w:before="0" w:line="267" w:lineRule="exact"/>
            </w:pPr>
          </w:p>
        </w:tc>
        <w:tc>
          <w:tcPr>
            <w:tcW w:w="639" w:type="pct"/>
          </w:tcPr>
          <w:p w:rsidR="002B697E" w:rsidRDefault="002B697E" w:rsidP="007F3CE2">
            <w:pPr>
              <w:pStyle w:val="TableParagraph"/>
              <w:spacing w:before="0" w:line="267" w:lineRule="exact"/>
            </w:pPr>
          </w:p>
        </w:tc>
      </w:tr>
      <w:tr w:rsidR="002B697E" w:rsidTr="002B697E">
        <w:trPr>
          <w:trHeight w:val="537"/>
        </w:trPr>
        <w:tc>
          <w:tcPr>
            <w:tcW w:w="488" w:type="pct"/>
          </w:tcPr>
          <w:p w:rsidR="002B697E" w:rsidRDefault="002B697E" w:rsidP="007F3CE2">
            <w:pPr>
              <w:pStyle w:val="TableParagraph"/>
              <w:ind w:left="110"/>
            </w:pPr>
          </w:p>
        </w:tc>
        <w:tc>
          <w:tcPr>
            <w:tcW w:w="548" w:type="pct"/>
          </w:tcPr>
          <w:p w:rsidR="002B697E" w:rsidRDefault="002B697E" w:rsidP="007F3CE2">
            <w:pPr>
              <w:pStyle w:val="TableParagraph"/>
              <w:spacing w:before="0" w:line="247" w:lineRule="exact"/>
            </w:pPr>
          </w:p>
        </w:tc>
        <w:tc>
          <w:tcPr>
            <w:tcW w:w="901" w:type="pct"/>
          </w:tcPr>
          <w:p w:rsidR="002B697E" w:rsidRDefault="002B697E" w:rsidP="007F3CE2">
            <w:pPr>
              <w:pStyle w:val="TableParagraph"/>
            </w:pPr>
          </w:p>
        </w:tc>
        <w:tc>
          <w:tcPr>
            <w:tcW w:w="862" w:type="pct"/>
          </w:tcPr>
          <w:p w:rsidR="002B697E" w:rsidRDefault="002B697E" w:rsidP="007F3CE2">
            <w:pPr>
              <w:pStyle w:val="TableParagraph"/>
              <w:spacing w:before="0" w:line="270" w:lineRule="atLeast"/>
              <w:ind w:left="110"/>
            </w:pPr>
          </w:p>
        </w:tc>
        <w:tc>
          <w:tcPr>
            <w:tcW w:w="925" w:type="pct"/>
          </w:tcPr>
          <w:p w:rsidR="002B697E" w:rsidRDefault="002B697E" w:rsidP="007F3CE2">
            <w:pPr>
              <w:pStyle w:val="TableParagraph"/>
            </w:pPr>
          </w:p>
        </w:tc>
        <w:tc>
          <w:tcPr>
            <w:tcW w:w="639" w:type="pct"/>
          </w:tcPr>
          <w:p w:rsidR="002B697E" w:rsidRDefault="002B697E" w:rsidP="007F3CE2">
            <w:pPr>
              <w:pStyle w:val="TableParagraph"/>
            </w:pPr>
          </w:p>
        </w:tc>
        <w:tc>
          <w:tcPr>
            <w:tcW w:w="639" w:type="pct"/>
          </w:tcPr>
          <w:p w:rsidR="002B697E" w:rsidRDefault="002B697E" w:rsidP="007F3CE2">
            <w:pPr>
              <w:pStyle w:val="TableParagraph"/>
            </w:pPr>
          </w:p>
        </w:tc>
      </w:tr>
    </w:tbl>
    <w:p w:rsidR="008F0C52" w:rsidRDefault="008F0C52">
      <w:pPr>
        <w:pStyle w:val="TableParagraph"/>
        <w:sectPr w:rsidR="008F0C52">
          <w:headerReference w:type="default" r:id="rId8"/>
          <w:footerReference w:type="default" r:id="rId9"/>
          <w:pgSz w:w="11910" w:h="16840"/>
          <w:pgMar w:top="960" w:right="708" w:bottom="1220" w:left="992" w:header="752" w:footer="1026" w:gutter="0"/>
          <w:pgBorders w:offsetFrom="page">
            <w:top w:val="single" w:sz="4" w:space="24" w:color="000000"/>
            <w:left w:val="single" w:sz="4" w:space="24" w:color="000000"/>
            <w:bottom w:val="single" w:sz="4" w:space="24" w:color="000000"/>
            <w:right w:val="single" w:sz="4" w:space="24" w:color="000000"/>
          </w:pgBorders>
          <w:cols w:space="720"/>
        </w:sectPr>
      </w:pPr>
    </w:p>
    <w:p w:rsidR="008F0C52" w:rsidRDefault="008F0C52">
      <w:pPr>
        <w:pStyle w:val="BodyText"/>
        <w:spacing w:before="75"/>
        <w:rPr>
          <w:b/>
          <w:sz w:val="32"/>
        </w:rPr>
      </w:pPr>
    </w:p>
    <w:p w:rsidR="008F0C52" w:rsidRPr="007F3CE2" w:rsidRDefault="00000000">
      <w:pPr>
        <w:ind w:left="448"/>
        <w:rPr>
          <w:b/>
          <w:color w:val="984806" w:themeColor="accent6" w:themeShade="80"/>
          <w:sz w:val="32"/>
        </w:rPr>
      </w:pPr>
      <w:r w:rsidRPr="007F3CE2">
        <w:rPr>
          <w:b/>
          <w:color w:val="984806" w:themeColor="accent6" w:themeShade="80"/>
          <w:sz w:val="32"/>
        </w:rPr>
        <w:t>Table</w:t>
      </w:r>
      <w:r w:rsidRPr="007F3CE2">
        <w:rPr>
          <w:b/>
          <w:color w:val="984806" w:themeColor="accent6" w:themeShade="80"/>
          <w:spacing w:val="-3"/>
          <w:sz w:val="32"/>
        </w:rPr>
        <w:t xml:space="preserve"> </w:t>
      </w:r>
      <w:r w:rsidRPr="007F3CE2">
        <w:rPr>
          <w:b/>
          <w:color w:val="984806" w:themeColor="accent6" w:themeShade="80"/>
          <w:sz w:val="32"/>
        </w:rPr>
        <w:t>of</w:t>
      </w:r>
      <w:r w:rsidRPr="007F3CE2">
        <w:rPr>
          <w:b/>
          <w:color w:val="984806" w:themeColor="accent6" w:themeShade="80"/>
          <w:spacing w:val="-4"/>
          <w:sz w:val="32"/>
        </w:rPr>
        <w:t xml:space="preserve"> </w:t>
      </w:r>
      <w:r w:rsidRPr="007F3CE2">
        <w:rPr>
          <w:b/>
          <w:color w:val="984806" w:themeColor="accent6" w:themeShade="80"/>
          <w:spacing w:val="-2"/>
          <w:sz w:val="32"/>
        </w:rPr>
        <w:t>Contents</w:t>
      </w:r>
    </w:p>
    <w:sdt>
      <w:sdtPr>
        <w:id w:val="317845806"/>
        <w:docPartObj>
          <w:docPartGallery w:val="Table of Contents"/>
          <w:docPartUnique/>
        </w:docPartObj>
      </w:sdtPr>
      <w:sdtContent>
        <w:p w:rsidR="008F0C52" w:rsidRDefault="008F0C52">
          <w:pPr>
            <w:pStyle w:val="TOC1"/>
            <w:tabs>
              <w:tab w:val="right" w:leader="dot" w:pos="9468"/>
            </w:tabs>
            <w:spacing w:before="36"/>
          </w:pPr>
          <w:hyperlink w:anchor="_bookmark0" w:history="1">
            <w:r>
              <w:rPr>
                <w:spacing w:val="-2"/>
              </w:rPr>
              <w:t>Introduction</w:t>
            </w:r>
            <w:r>
              <w:tab/>
            </w:r>
          </w:hyperlink>
          <w:r w:rsidR="00852D10">
            <w:t>3</w:t>
          </w:r>
        </w:p>
        <w:p w:rsidR="008F0C52" w:rsidRDefault="00164CAF">
          <w:pPr>
            <w:pStyle w:val="TOC1"/>
            <w:tabs>
              <w:tab w:val="right" w:leader="dot" w:pos="9468"/>
            </w:tabs>
          </w:pPr>
          <w:hyperlink w:anchor="_bookmark1" w:history="1">
            <w:r>
              <w:t>Details of the Fees &amp; Charges</w:t>
            </w:r>
            <w:r w:rsidR="008F0C52">
              <w:tab/>
            </w:r>
          </w:hyperlink>
          <w:r w:rsidR="00852D10">
            <w:t>3</w:t>
          </w:r>
        </w:p>
        <w:p w:rsidR="008F0C52" w:rsidRDefault="008F0C52">
          <w:pPr>
            <w:pStyle w:val="TOC1"/>
            <w:tabs>
              <w:tab w:val="right" w:leader="dot" w:pos="9468"/>
            </w:tabs>
            <w:spacing w:before="121"/>
          </w:pPr>
          <w:hyperlink w:anchor="_bookmark2" w:history="1">
            <w:r>
              <w:t>Communication</w:t>
            </w:r>
            <w:r>
              <w:rPr>
                <w:spacing w:val="-10"/>
              </w:rPr>
              <w:t xml:space="preserve"> </w:t>
            </w:r>
            <w:r>
              <w:t>of</w:t>
            </w:r>
            <w:r>
              <w:rPr>
                <w:spacing w:val="-10"/>
              </w:rPr>
              <w:t xml:space="preserve"> </w:t>
            </w:r>
            <w:r w:rsidR="00164CAF" w:rsidRPr="00164CAF">
              <w:t>Fees &amp; Charges</w:t>
            </w:r>
            <w:r>
              <w:tab/>
            </w:r>
          </w:hyperlink>
          <w:r w:rsidR="00852D10">
            <w:t>3</w:t>
          </w:r>
        </w:p>
        <w:p w:rsidR="008F0C52" w:rsidRDefault="008F0C52">
          <w:pPr>
            <w:pStyle w:val="TOC1"/>
            <w:tabs>
              <w:tab w:val="right" w:leader="dot" w:pos="9468"/>
            </w:tabs>
          </w:pPr>
          <w:hyperlink w:anchor="_bookmark3" w:history="1">
            <w:r>
              <w:t>Review</w:t>
            </w:r>
            <w:r>
              <w:rPr>
                <w:spacing w:val="-4"/>
              </w:rPr>
              <w:t xml:space="preserve"> </w:t>
            </w:r>
            <w:r>
              <w:t>&amp;</w:t>
            </w:r>
            <w:r>
              <w:rPr>
                <w:spacing w:val="-5"/>
              </w:rPr>
              <w:t xml:space="preserve"> </w:t>
            </w:r>
            <w:r>
              <w:rPr>
                <w:spacing w:val="-2"/>
              </w:rPr>
              <w:t>Revision</w:t>
            </w:r>
            <w:r>
              <w:tab/>
            </w:r>
          </w:hyperlink>
          <w:r w:rsidR="00852D10">
            <w:t>3</w:t>
          </w:r>
        </w:p>
        <w:p w:rsidR="008F0C52" w:rsidRDefault="008F0C52">
          <w:pPr>
            <w:pStyle w:val="TOC1"/>
            <w:tabs>
              <w:tab w:val="right" w:leader="dot" w:pos="9468"/>
            </w:tabs>
            <w:spacing w:before="125"/>
          </w:pPr>
          <w:hyperlink w:anchor="_bookmark4" w:history="1">
            <w:r>
              <w:t>Grievance</w:t>
            </w:r>
            <w:r>
              <w:rPr>
                <w:spacing w:val="-5"/>
              </w:rPr>
              <w:t xml:space="preserve"> </w:t>
            </w:r>
            <w:r>
              <w:rPr>
                <w:spacing w:val="-2"/>
              </w:rPr>
              <w:t>Redressal</w:t>
            </w:r>
            <w:r>
              <w:tab/>
            </w:r>
          </w:hyperlink>
          <w:r w:rsidR="00852D10">
            <w:t>4</w:t>
          </w:r>
        </w:p>
      </w:sdtContent>
    </w:sdt>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2B697E">
      <w:pPr>
        <w:pStyle w:val="BodyText"/>
        <w:rPr>
          <w:sz w:val="20"/>
        </w:rPr>
      </w:pPr>
      <w:r>
        <w:rPr>
          <w:sz w:val="20"/>
        </w:rPr>
        <w:t>Reference:</w:t>
      </w:r>
    </w:p>
    <w:p w:rsidR="002B697E" w:rsidRDefault="002B697E" w:rsidP="002B697E">
      <w:pPr>
        <w:pStyle w:val="BodyText"/>
        <w:rPr>
          <w:sz w:val="20"/>
        </w:rPr>
      </w:pPr>
      <w:r w:rsidRPr="00FF440A">
        <w:rPr>
          <w:sz w:val="20"/>
        </w:rPr>
        <w:t>Master Direction – Reserve Bank of India (Non-Banking Financial Company – Scale Based Regulation) Directions, 2023</w:t>
      </w:r>
    </w:p>
    <w:p w:rsidR="002B697E" w:rsidRDefault="002B697E" w:rsidP="002B697E">
      <w:pPr>
        <w:pStyle w:val="BodyText"/>
        <w:rPr>
          <w:sz w:val="20"/>
        </w:rPr>
      </w:pPr>
      <w:r w:rsidRPr="00FF440A">
        <w:rPr>
          <w:sz w:val="20"/>
        </w:rPr>
        <w:t>RBI/</w:t>
      </w:r>
      <w:proofErr w:type="spellStart"/>
      <w:r w:rsidRPr="00FF440A">
        <w:rPr>
          <w:sz w:val="20"/>
        </w:rPr>
        <w:t>DoR</w:t>
      </w:r>
      <w:proofErr w:type="spellEnd"/>
      <w:r w:rsidRPr="00FF440A">
        <w:rPr>
          <w:sz w:val="20"/>
        </w:rPr>
        <w:t xml:space="preserve">/2023-24/106 </w:t>
      </w:r>
      <w:proofErr w:type="gramStart"/>
      <w:r w:rsidRPr="00FF440A">
        <w:rPr>
          <w:sz w:val="20"/>
        </w:rPr>
        <w:t>DoR.FIN.REC.No.</w:t>
      </w:r>
      <w:proofErr w:type="gramEnd"/>
      <w:r w:rsidRPr="00FF440A">
        <w:rPr>
          <w:sz w:val="20"/>
        </w:rPr>
        <w:t xml:space="preserve">45/03.10.119/2023-24 </w:t>
      </w:r>
      <w:r>
        <w:rPr>
          <w:sz w:val="20"/>
        </w:rPr>
        <w:t xml:space="preserve">dt. </w:t>
      </w:r>
      <w:r w:rsidRPr="00FF440A">
        <w:rPr>
          <w:sz w:val="20"/>
        </w:rPr>
        <w:t>October 19, 2023 (Updated as on July 17, 2025)</w:t>
      </w:r>
    </w:p>
    <w:p w:rsidR="00311025" w:rsidRDefault="00311025" w:rsidP="002B697E">
      <w:pPr>
        <w:pStyle w:val="BodyText"/>
        <w:rPr>
          <w:sz w:val="20"/>
        </w:rPr>
      </w:pPr>
    </w:p>
    <w:p w:rsidR="00311025" w:rsidRDefault="00311025" w:rsidP="002B697E">
      <w:pPr>
        <w:pStyle w:val="BodyText"/>
        <w:rPr>
          <w:sz w:val="20"/>
        </w:rPr>
      </w:pPr>
      <w:r w:rsidRPr="00311025">
        <w:rPr>
          <w:sz w:val="20"/>
        </w:rPr>
        <w:t xml:space="preserve">Reserve Bank of India (Non-Banking Financial Companies – Responsible Business Conduct) Directions, 2025RBI/DOR/2025-26/362 </w:t>
      </w:r>
      <w:proofErr w:type="gramStart"/>
      <w:r w:rsidRPr="00311025">
        <w:rPr>
          <w:sz w:val="20"/>
        </w:rPr>
        <w:t>DOR.MCS.REC.No.</w:t>
      </w:r>
      <w:proofErr w:type="gramEnd"/>
      <w:r w:rsidRPr="00311025">
        <w:rPr>
          <w:sz w:val="20"/>
        </w:rPr>
        <w:t>281/01-01-039/2025- dt. 26 November 28, 2025</w:t>
      </w:r>
    </w:p>
    <w:p w:rsidR="002B697E" w:rsidRDefault="002B697E">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rPr>
          <w:sz w:val="20"/>
        </w:rPr>
      </w:pPr>
    </w:p>
    <w:p w:rsidR="008F0C52" w:rsidRDefault="008F0C52">
      <w:pPr>
        <w:pStyle w:val="BodyText"/>
        <w:spacing w:before="76"/>
        <w:rPr>
          <w:sz w:val="20"/>
        </w:rPr>
      </w:pPr>
    </w:p>
    <w:p w:rsidR="008F0C52" w:rsidRDefault="008F0C52">
      <w:pPr>
        <w:pStyle w:val="BodyText"/>
        <w:rPr>
          <w:sz w:val="20"/>
        </w:rPr>
        <w:sectPr w:rsidR="008F0C52">
          <w:pgSz w:w="11910" w:h="16840"/>
          <w:pgMar w:top="960" w:right="708" w:bottom="1220" w:left="992" w:header="752" w:footer="1026" w:gutter="0"/>
          <w:pgBorders w:offsetFrom="page">
            <w:top w:val="single" w:sz="4" w:space="24" w:color="000000"/>
            <w:left w:val="single" w:sz="4" w:space="24" w:color="000000"/>
            <w:bottom w:val="single" w:sz="4" w:space="24" w:color="000000"/>
            <w:right w:val="single" w:sz="4" w:space="24" w:color="000000"/>
          </w:pgBorders>
          <w:cols w:space="720"/>
        </w:sectPr>
      </w:pPr>
    </w:p>
    <w:p w:rsidR="008F0C52" w:rsidRDefault="008F0C52">
      <w:pPr>
        <w:pStyle w:val="BodyText"/>
        <w:spacing w:before="75"/>
        <w:rPr>
          <w:sz w:val="32"/>
        </w:rPr>
      </w:pPr>
    </w:p>
    <w:p w:rsidR="008F0C52" w:rsidRPr="007F3CE2" w:rsidRDefault="00000000">
      <w:pPr>
        <w:pStyle w:val="Heading1"/>
        <w:rPr>
          <w:color w:val="984806" w:themeColor="accent6" w:themeShade="80"/>
        </w:rPr>
      </w:pPr>
      <w:bookmarkStart w:id="0" w:name="_bookmark0"/>
      <w:bookmarkEnd w:id="0"/>
      <w:r w:rsidRPr="007F3CE2">
        <w:rPr>
          <w:color w:val="984806" w:themeColor="accent6" w:themeShade="80"/>
          <w:spacing w:val="-2"/>
        </w:rPr>
        <w:t>Introduction:</w:t>
      </w:r>
    </w:p>
    <w:p w:rsidR="00164CAF" w:rsidRDefault="00164CAF" w:rsidP="00164CAF">
      <w:pPr>
        <w:pStyle w:val="Heading1"/>
        <w:spacing w:before="242"/>
        <w:jc w:val="both"/>
        <w:rPr>
          <w:b w:val="0"/>
          <w:bCs w:val="0"/>
          <w:color w:val="374151"/>
          <w:sz w:val="22"/>
          <w:szCs w:val="22"/>
        </w:rPr>
      </w:pPr>
      <w:r w:rsidRPr="00164CAF">
        <w:rPr>
          <w:b w:val="0"/>
          <w:bCs w:val="0"/>
          <w:color w:val="374151"/>
          <w:sz w:val="22"/>
          <w:szCs w:val="22"/>
        </w:rPr>
        <w:t>The following expenses are incurred during the life of the loan</w:t>
      </w:r>
      <w:r>
        <w:rPr>
          <w:b w:val="0"/>
          <w:bCs w:val="0"/>
          <w:color w:val="374151"/>
          <w:sz w:val="22"/>
          <w:szCs w:val="22"/>
        </w:rPr>
        <w:t>.</w:t>
      </w:r>
    </w:p>
    <w:p w:rsidR="00164CAF" w:rsidRPr="00164CAF" w:rsidRDefault="00164CAF" w:rsidP="00164CAF">
      <w:pPr>
        <w:pStyle w:val="Heading1"/>
        <w:spacing w:before="242"/>
        <w:jc w:val="both"/>
        <w:rPr>
          <w:b w:val="0"/>
          <w:bCs w:val="0"/>
          <w:color w:val="374151"/>
          <w:sz w:val="22"/>
          <w:szCs w:val="22"/>
        </w:rPr>
      </w:pPr>
      <w:r w:rsidRPr="00164CAF">
        <w:rPr>
          <w:b w:val="0"/>
          <w:bCs w:val="0"/>
          <w:color w:val="374151"/>
          <w:sz w:val="22"/>
          <w:szCs w:val="22"/>
        </w:rPr>
        <w:t>a.</w:t>
      </w:r>
      <w:r w:rsidRPr="00164CAF">
        <w:rPr>
          <w:b w:val="0"/>
          <w:bCs w:val="0"/>
          <w:color w:val="374151"/>
          <w:sz w:val="22"/>
          <w:szCs w:val="22"/>
        </w:rPr>
        <w:tab/>
        <w:t>Sourcing costs at the time of application – These costs are incurred by the company before the customer takes his loan disbursement and will be covered through processing fee. These costs include acquisition, verification, legal &amp; valuation, credit appraisal etc.</w:t>
      </w:r>
    </w:p>
    <w:p w:rsidR="00164CAF" w:rsidRPr="00164CAF" w:rsidRDefault="00164CAF" w:rsidP="00164CAF">
      <w:pPr>
        <w:pStyle w:val="Heading1"/>
        <w:spacing w:before="242"/>
        <w:jc w:val="both"/>
        <w:rPr>
          <w:b w:val="0"/>
          <w:bCs w:val="0"/>
          <w:color w:val="374151"/>
          <w:sz w:val="22"/>
          <w:szCs w:val="22"/>
        </w:rPr>
      </w:pPr>
      <w:r w:rsidRPr="00164CAF">
        <w:rPr>
          <w:b w:val="0"/>
          <w:bCs w:val="0"/>
          <w:color w:val="374151"/>
          <w:sz w:val="22"/>
          <w:szCs w:val="22"/>
        </w:rPr>
        <w:t>b.</w:t>
      </w:r>
      <w:r w:rsidRPr="00164CAF">
        <w:rPr>
          <w:b w:val="0"/>
          <w:bCs w:val="0"/>
          <w:color w:val="374151"/>
          <w:sz w:val="22"/>
          <w:szCs w:val="22"/>
        </w:rPr>
        <w:tab/>
        <w:t>Cost incurred during the currency of the loan - Besides interest, other financial charges like cheque bouncing charges, additional interest for late payment, re-scheduling charges, part disbursement charges, cheque swap charges, security swap charges, charges for issue of statement account etc.</w:t>
      </w:r>
      <w:proofErr w:type="gramStart"/>
      <w:r w:rsidRPr="00164CAF">
        <w:rPr>
          <w:b w:val="0"/>
          <w:bCs w:val="0"/>
          <w:color w:val="374151"/>
          <w:sz w:val="22"/>
          <w:szCs w:val="22"/>
        </w:rPr>
        <w:t>,</w:t>
      </w:r>
      <w:r>
        <w:rPr>
          <w:b w:val="0"/>
          <w:bCs w:val="0"/>
          <w:color w:val="374151"/>
          <w:sz w:val="22"/>
          <w:szCs w:val="22"/>
        </w:rPr>
        <w:t xml:space="preserve"> </w:t>
      </w:r>
      <w:r w:rsidRPr="00164CAF">
        <w:rPr>
          <w:b w:val="0"/>
          <w:bCs w:val="0"/>
          <w:color w:val="374151"/>
          <w:sz w:val="22"/>
          <w:szCs w:val="22"/>
        </w:rPr>
        <w:t xml:space="preserve"> would</w:t>
      </w:r>
      <w:proofErr w:type="gramEnd"/>
      <w:r w:rsidRPr="00164CAF">
        <w:rPr>
          <w:b w:val="0"/>
          <w:bCs w:val="0"/>
          <w:color w:val="374151"/>
          <w:sz w:val="22"/>
          <w:szCs w:val="22"/>
        </w:rPr>
        <w:t xml:space="preserve"> be levied by the company from time to time wherever considered necessary. Besides these, statutory charges and service tax / GST* and other </w:t>
      </w:r>
      <w:proofErr w:type="spellStart"/>
      <w:r w:rsidRPr="00164CAF">
        <w:rPr>
          <w:b w:val="0"/>
          <w:bCs w:val="0"/>
          <w:color w:val="374151"/>
          <w:sz w:val="22"/>
          <w:szCs w:val="22"/>
        </w:rPr>
        <w:t>cess</w:t>
      </w:r>
      <w:proofErr w:type="spellEnd"/>
      <w:r w:rsidRPr="00164CAF">
        <w:rPr>
          <w:b w:val="0"/>
          <w:bCs w:val="0"/>
          <w:color w:val="374151"/>
          <w:sz w:val="22"/>
          <w:szCs w:val="22"/>
        </w:rPr>
        <w:t xml:space="preserve"> would be collected at applicable rates from time to time. Any revision in these charges would be implemented prospective basis with due communication to customers.</w:t>
      </w:r>
    </w:p>
    <w:p w:rsidR="00164CAF" w:rsidRPr="00164CAF" w:rsidRDefault="00164CAF" w:rsidP="00164CAF">
      <w:pPr>
        <w:pStyle w:val="Heading1"/>
        <w:spacing w:before="242"/>
        <w:jc w:val="both"/>
        <w:rPr>
          <w:b w:val="0"/>
          <w:bCs w:val="0"/>
          <w:color w:val="374151"/>
          <w:sz w:val="22"/>
          <w:szCs w:val="22"/>
        </w:rPr>
      </w:pPr>
      <w:r w:rsidRPr="00164CAF">
        <w:rPr>
          <w:b w:val="0"/>
          <w:bCs w:val="0"/>
          <w:color w:val="374151"/>
          <w:sz w:val="22"/>
          <w:szCs w:val="22"/>
        </w:rPr>
        <w:t>c.</w:t>
      </w:r>
      <w:r w:rsidRPr="00164CAF">
        <w:rPr>
          <w:b w:val="0"/>
          <w:bCs w:val="0"/>
          <w:color w:val="374151"/>
          <w:sz w:val="22"/>
          <w:szCs w:val="22"/>
        </w:rPr>
        <w:tab/>
      </w:r>
      <w:r w:rsidR="002B697E">
        <w:rPr>
          <w:b w:val="0"/>
          <w:bCs w:val="0"/>
          <w:color w:val="374151"/>
          <w:sz w:val="22"/>
          <w:szCs w:val="22"/>
        </w:rPr>
        <w:t>Cost incurred</w:t>
      </w:r>
      <w:r w:rsidRPr="00164CAF">
        <w:rPr>
          <w:b w:val="0"/>
          <w:bCs w:val="0"/>
          <w:color w:val="374151"/>
          <w:sz w:val="22"/>
          <w:szCs w:val="22"/>
        </w:rPr>
        <w:t xml:space="preserve"> at the time of loan closure – These will include pre- payment &amp; foreclosure charges subject to RBI guidelines, repossession and other legal expenses related to recovery of </w:t>
      </w:r>
      <w:proofErr w:type="spellStart"/>
      <w:r w:rsidRPr="00164CAF">
        <w:rPr>
          <w:b w:val="0"/>
          <w:bCs w:val="0"/>
          <w:color w:val="374151"/>
          <w:sz w:val="22"/>
          <w:szCs w:val="22"/>
        </w:rPr>
        <w:t>overdues</w:t>
      </w:r>
      <w:proofErr w:type="spellEnd"/>
      <w:r w:rsidRPr="00164CAF">
        <w:rPr>
          <w:b w:val="0"/>
          <w:bCs w:val="0"/>
          <w:color w:val="374151"/>
          <w:sz w:val="22"/>
          <w:szCs w:val="22"/>
        </w:rPr>
        <w:t>.</w:t>
      </w:r>
    </w:p>
    <w:p w:rsidR="00164CAF" w:rsidRDefault="00164CAF" w:rsidP="00164CAF">
      <w:pPr>
        <w:pStyle w:val="Heading1"/>
        <w:spacing w:before="242"/>
        <w:rPr>
          <w:color w:val="984806" w:themeColor="accent6" w:themeShade="80"/>
        </w:rPr>
      </w:pPr>
      <w:r w:rsidRPr="00164CAF">
        <w:rPr>
          <w:b w:val="0"/>
          <w:bCs w:val="0"/>
          <w:color w:val="374151"/>
          <w:sz w:val="22"/>
          <w:szCs w:val="22"/>
        </w:rPr>
        <w:t>d.</w:t>
      </w:r>
      <w:r w:rsidRPr="00164CAF">
        <w:rPr>
          <w:b w:val="0"/>
          <w:bCs w:val="0"/>
          <w:color w:val="374151"/>
          <w:sz w:val="22"/>
          <w:szCs w:val="22"/>
        </w:rPr>
        <w:tab/>
        <w:t>All charges and any revisions to the same will be approved by the Board</w:t>
      </w:r>
      <w:r w:rsidR="002B697E">
        <w:rPr>
          <w:b w:val="0"/>
          <w:bCs w:val="0"/>
          <w:color w:val="374151"/>
          <w:sz w:val="22"/>
          <w:szCs w:val="22"/>
        </w:rPr>
        <w:t xml:space="preserve"> of Directors of Conatus </w:t>
      </w:r>
      <w:proofErr w:type="spellStart"/>
      <w:r w:rsidR="002B697E">
        <w:rPr>
          <w:b w:val="0"/>
          <w:bCs w:val="0"/>
          <w:color w:val="374151"/>
          <w:sz w:val="22"/>
          <w:szCs w:val="22"/>
        </w:rPr>
        <w:t>Finserve</w:t>
      </w:r>
      <w:proofErr w:type="spellEnd"/>
      <w:r w:rsidR="002B697E">
        <w:rPr>
          <w:b w:val="0"/>
          <w:bCs w:val="0"/>
          <w:color w:val="374151"/>
          <w:sz w:val="22"/>
          <w:szCs w:val="22"/>
        </w:rPr>
        <w:t xml:space="preserve"> Private Limited (CFPL/ the Company/ the NBFC)</w:t>
      </w:r>
      <w:r w:rsidRPr="00164CAF">
        <w:rPr>
          <w:b w:val="0"/>
          <w:bCs w:val="0"/>
          <w:color w:val="374151"/>
          <w:sz w:val="22"/>
          <w:szCs w:val="22"/>
        </w:rPr>
        <w:t>.</w:t>
      </w:r>
    </w:p>
    <w:p w:rsidR="00164CAF" w:rsidRDefault="00164CAF" w:rsidP="00164CAF">
      <w:pPr>
        <w:pStyle w:val="Heading1"/>
        <w:spacing w:before="242"/>
        <w:ind w:left="0"/>
        <w:rPr>
          <w:color w:val="984806" w:themeColor="accent6" w:themeShade="80"/>
        </w:rPr>
      </w:pPr>
    </w:p>
    <w:p w:rsidR="00164CAF" w:rsidRPr="007F3CE2" w:rsidRDefault="00164CAF" w:rsidP="00164CAF">
      <w:pPr>
        <w:pStyle w:val="Heading1"/>
        <w:spacing w:before="243"/>
        <w:rPr>
          <w:color w:val="984806" w:themeColor="accent6" w:themeShade="80"/>
        </w:rPr>
      </w:pPr>
      <w:r>
        <w:rPr>
          <w:color w:val="984806" w:themeColor="accent6" w:themeShade="80"/>
        </w:rPr>
        <w:t>Details of Fees &amp; Charges</w:t>
      </w:r>
    </w:p>
    <w:tbl>
      <w:tblPr>
        <w:tblW w:w="5000" w:type="pct"/>
        <w:tblLayout w:type="fixed"/>
        <w:tblLook w:val="04A0" w:firstRow="1" w:lastRow="0" w:firstColumn="1" w:lastColumn="0" w:noHBand="0" w:noVBand="1"/>
      </w:tblPr>
      <w:tblGrid>
        <w:gridCol w:w="676"/>
        <w:gridCol w:w="5102"/>
        <w:gridCol w:w="4648"/>
      </w:tblGrid>
      <w:tr w:rsidR="00164CAF" w:rsidRPr="008F3FF6" w:rsidTr="00A14D3C">
        <w:trPr>
          <w:trHeight w:val="113"/>
        </w:trPr>
        <w:tc>
          <w:tcPr>
            <w:tcW w:w="324" w:type="pct"/>
            <w:tcBorders>
              <w:top w:val="single" w:sz="4" w:space="0" w:color="auto"/>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b/>
                <w:bCs/>
                <w:color w:val="000000"/>
                <w:lang w:val="en-IN" w:eastAsia="en-IN"/>
              </w:rPr>
            </w:pPr>
            <w:r w:rsidRPr="008F3FF6">
              <w:rPr>
                <w:rFonts w:eastAsia="Times New Roman"/>
                <w:b/>
                <w:bCs/>
                <w:color w:val="000000"/>
                <w:lang w:val="en-IN" w:eastAsia="en-IN"/>
              </w:rPr>
              <w:t>S.</w:t>
            </w:r>
            <w:r>
              <w:rPr>
                <w:rFonts w:eastAsia="Times New Roman"/>
                <w:b/>
                <w:bCs/>
                <w:color w:val="000000"/>
                <w:lang w:val="en-IN" w:eastAsia="en-IN"/>
              </w:rPr>
              <w:t xml:space="preserve"> </w:t>
            </w:r>
            <w:r w:rsidRPr="008F3FF6">
              <w:rPr>
                <w:rFonts w:eastAsia="Times New Roman"/>
                <w:b/>
                <w:bCs/>
                <w:color w:val="000000"/>
                <w:lang w:val="en-IN" w:eastAsia="en-IN"/>
              </w:rPr>
              <w:t>No</w:t>
            </w:r>
            <w:r>
              <w:rPr>
                <w:rFonts w:eastAsia="Times New Roman"/>
                <w:b/>
                <w:bCs/>
                <w:color w:val="000000"/>
                <w:lang w:val="en-IN" w:eastAsia="en-IN"/>
              </w:rPr>
              <w:t>.</w:t>
            </w:r>
          </w:p>
        </w:tc>
        <w:tc>
          <w:tcPr>
            <w:tcW w:w="2447" w:type="pct"/>
            <w:tcBorders>
              <w:top w:val="single" w:sz="4" w:space="0" w:color="auto"/>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b/>
                <w:bCs/>
                <w:color w:val="000000"/>
                <w:lang w:val="en-IN" w:eastAsia="en-IN"/>
              </w:rPr>
            </w:pPr>
            <w:r w:rsidRPr="008F3FF6">
              <w:rPr>
                <w:rFonts w:eastAsia="Times New Roman"/>
                <w:b/>
                <w:bCs/>
                <w:color w:val="000000"/>
                <w:lang w:val="en-IN" w:eastAsia="en-IN"/>
              </w:rPr>
              <w:t>PARTICULARS</w:t>
            </w:r>
          </w:p>
        </w:tc>
        <w:tc>
          <w:tcPr>
            <w:tcW w:w="2229" w:type="pct"/>
            <w:tcBorders>
              <w:top w:val="single" w:sz="4" w:space="0" w:color="auto"/>
              <w:left w:val="nil"/>
              <w:bottom w:val="single" w:sz="4" w:space="0" w:color="auto"/>
              <w:right w:val="single" w:sz="4" w:space="0" w:color="auto"/>
            </w:tcBorders>
            <w:noWrap/>
            <w:vAlign w:val="center"/>
            <w:hideMark/>
          </w:tcPr>
          <w:p w:rsidR="00164CAF" w:rsidRDefault="002B697E" w:rsidP="004C4C09">
            <w:pPr>
              <w:widowControl/>
              <w:autoSpaceDE/>
              <w:autoSpaceDN/>
              <w:rPr>
                <w:rFonts w:eastAsia="Times New Roman"/>
                <w:b/>
                <w:bCs/>
                <w:color w:val="000000"/>
                <w:lang w:val="en-IN" w:eastAsia="en-IN"/>
              </w:rPr>
            </w:pPr>
            <w:r>
              <w:rPr>
                <w:rFonts w:eastAsia="Times New Roman"/>
                <w:b/>
                <w:bCs/>
                <w:color w:val="000000"/>
                <w:lang w:val="en-IN" w:eastAsia="en-IN"/>
              </w:rPr>
              <w:t xml:space="preserve">Applicable </w:t>
            </w:r>
            <w:r w:rsidRPr="002B697E">
              <w:rPr>
                <w:rFonts w:eastAsia="Times New Roman"/>
                <w:b/>
                <w:bCs/>
                <w:color w:val="000000"/>
                <w:lang w:val="en-IN" w:eastAsia="en-IN"/>
              </w:rPr>
              <w:t>Fees &amp; Charges</w:t>
            </w:r>
          </w:p>
          <w:p w:rsidR="00164CAF" w:rsidRPr="008F3FF6" w:rsidRDefault="00164CAF" w:rsidP="004C4C09">
            <w:pPr>
              <w:widowControl/>
              <w:autoSpaceDE/>
              <w:autoSpaceDN/>
              <w:rPr>
                <w:rFonts w:eastAsia="Times New Roman"/>
                <w:b/>
                <w:bCs/>
                <w:color w:val="000000"/>
                <w:lang w:val="en-IN" w:eastAsia="en-IN"/>
              </w:rPr>
            </w:pPr>
            <w:r>
              <w:rPr>
                <w:rFonts w:eastAsia="Times New Roman"/>
                <w:b/>
                <w:bCs/>
                <w:color w:val="000000"/>
                <w:lang w:val="en-IN" w:eastAsia="en-IN"/>
              </w:rPr>
              <w:t>(Taxes/cess, as applicable, will be payable by the applicant, over and above the fees &amp; charges)</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Processing Fees</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Up to 4</w:t>
            </w:r>
            <w:r w:rsidRPr="008F3FF6">
              <w:rPr>
                <w:rFonts w:eastAsia="Times New Roman"/>
                <w:color w:val="000000"/>
                <w:lang w:val="en-IN" w:eastAsia="en-IN"/>
              </w:rPr>
              <w:t>%</w:t>
            </w:r>
            <w:r>
              <w:rPr>
                <w:rFonts w:eastAsia="Times New Roman"/>
                <w:color w:val="000000"/>
                <w:lang w:val="en-IN" w:eastAsia="en-IN"/>
              </w:rPr>
              <w:t xml:space="preserve"> of Sanctioned Loan Amount</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2</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Valuation Fees</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 xml:space="preserve">Up to </w:t>
            </w:r>
            <w:r w:rsidRPr="008F3FF6">
              <w:rPr>
                <w:rFonts w:eastAsia="Times New Roman"/>
                <w:color w:val="000000"/>
                <w:lang w:val="en-IN" w:eastAsia="en-IN"/>
              </w:rPr>
              <w:t>Rs.</w:t>
            </w:r>
            <w:r w:rsidR="00907033">
              <w:rPr>
                <w:rFonts w:eastAsia="Times New Roman"/>
                <w:color w:val="000000"/>
                <w:lang w:val="en-IN" w:eastAsia="en-IN"/>
              </w:rPr>
              <w:t xml:space="preserve"> 3000</w:t>
            </w:r>
            <w:r>
              <w:rPr>
                <w:rFonts w:eastAsia="Times New Roman"/>
                <w:color w:val="000000"/>
                <w:lang w:val="en-IN" w:eastAsia="en-IN"/>
              </w:rPr>
              <w:t xml:space="preserve"> per property</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3</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Legal Fee</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Up to Rs 5000</w:t>
            </w:r>
            <w:r w:rsidR="00907033">
              <w:rPr>
                <w:rFonts w:eastAsia="Times New Roman"/>
                <w:color w:val="000000"/>
                <w:lang w:val="en-IN" w:eastAsia="en-IN"/>
              </w:rPr>
              <w:t xml:space="preserve"> per property</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4</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Stamp Duty</w:t>
            </w:r>
            <w:r w:rsidR="00907033">
              <w:rPr>
                <w:rFonts w:eastAsia="Times New Roman"/>
                <w:color w:val="000000"/>
                <w:lang w:val="en-IN" w:eastAsia="en-IN"/>
              </w:rPr>
              <w:t xml:space="preserve"> on Agreement/Deeds/ Documents</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As Per actuals</w:t>
            </w:r>
            <w:r w:rsidR="00291635">
              <w:rPr>
                <w:rFonts w:eastAsia="Times New Roman"/>
                <w:color w:val="000000"/>
                <w:lang w:val="en-IN" w:eastAsia="en-IN"/>
              </w:rPr>
              <w:t>/ Directly payable by the customer</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5</w:t>
            </w:r>
          </w:p>
        </w:tc>
        <w:tc>
          <w:tcPr>
            <w:tcW w:w="2447" w:type="pct"/>
            <w:tcBorders>
              <w:top w:val="nil"/>
              <w:left w:val="nil"/>
              <w:bottom w:val="single" w:sz="4" w:space="0" w:color="auto"/>
              <w:right w:val="single" w:sz="4" w:space="0" w:color="auto"/>
            </w:tcBorders>
            <w:noWrap/>
            <w:vAlign w:val="center"/>
            <w:hideMark/>
          </w:tcPr>
          <w:p w:rsidR="00164CAF"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Penal charges, if any, in case of delayed payment</w:t>
            </w:r>
          </w:p>
          <w:p w:rsidR="00A14D3C" w:rsidRDefault="00A14D3C" w:rsidP="004C4C09">
            <w:pPr>
              <w:widowControl/>
              <w:autoSpaceDE/>
              <w:autoSpaceDN/>
              <w:rPr>
                <w:rFonts w:eastAsia="Times New Roman"/>
                <w:color w:val="000000"/>
                <w:lang w:val="en-IN" w:eastAsia="en-IN"/>
              </w:rPr>
            </w:pPr>
          </w:p>
          <w:p w:rsidR="00A14D3C" w:rsidRPr="008F3FF6" w:rsidRDefault="002B697E" w:rsidP="004C4C09">
            <w:pPr>
              <w:widowControl/>
              <w:autoSpaceDE/>
              <w:autoSpaceDN/>
              <w:rPr>
                <w:rFonts w:eastAsia="Times New Roman"/>
                <w:color w:val="000000"/>
                <w:lang w:val="en-IN" w:eastAsia="en-IN"/>
              </w:rPr>
            </w:pPr>
            <w:r>
              <w:rPr>
                <w:rFonts w:eastAsia="Times New Roman"/>
                <w:color w:val="000000"/>
                <w:lang w:eastAsia="en-IN"/>
              </w:rPr>
              <w:t>(Note-</w:t>
            </w:r>
            <w:r w:rsidR="00A14D3C" w:rsidRPr="00A14D3C">
              <w:rPr>
                <w:rFonts w:eastAsia="Times New Roman"/>
                <w:color w:val="000000"/>
                <w:lang w:eastAsia="en-IN"/>
              </w:rPr>
              <w:t xml:space="preserve">Penalty, if charged, for non-compliance of material terms and conditions of loan contract by the borrower shall be treated as ‘penal charges’ and shall not be levied in the </w:t>
            </w:r>
            <w:r w:rsidR="00A14D3C">
              <w:rPr>
                <w:rFonts w:eastAsia="Times New Roman"/>
                <w:color w:val="000000"/>
                <w:lang w:eastAsia="en-IN"/>
              </w:rPr>
              <w:t>f</w:t>
            </w:r>
            <w:r w:rsidR="00A14D3C" w:rsidRPr="00A14D3C">
              <w:rPr>
                <w:rFonts w:eastAsia="Times New Roman"/>
                <w:color w:val="000000"/>
                <w:lang w:eastAsia="en-IN"/>
              </w:rPr>
              <w:t xml:space="preserve">orm of ‘penal interest’ that is added to the rate of </w:t>
            </w:r>
            <w:r>
              <w:rPr>
                <w:rFonts w:eastAsia="Times New Roman"/>
                <w:color w:val="000000"/>
                <w:lang w:eastAsia="en-IN"/>
              </w:rPr>
              <w:t>i</w:t>
            </w:r>
            <w:r w:rsidR="00A14D3C" w:rsidRPr="00A14D3C">
              <w:rPr>
                <w:rFonts w:eastAsia="Times New Roman"/>
                <w:color w:val="000000"/>
                <w:lang w:eastAsia="en-IN"/>
              </w:rPr>
              <w:t xml:space="preserve">nterest charged on the advances. There shall be no </w:t>
            </w:r>
            <w:proofErr w:type="spellStart"/>
            <w:r w:rsidR="00A14D3C" w:rsidRPr="00A14D3C">
              <w:rPr>
                <w:rFonts w:eastAsia="Times New Roman"/>
                <w:color w:val="000000"/>
                <w:lang w:eastAsia="en-IN"/>
              </w:rPr>
              <w:t>capitalisation</w:t>
            </w:r>
            <w:proofErr w:type="spellEnd"/>
            <w:r w:rsidR="00A14D3C" w:rsidRPr="00A14D3C">
              <w:rPr>
                <w:rFonts w:eastAsia="Times New Roman"/>
                <w:color w:val="000000"/>
                <w:lang w:eastAsia="en-IN"/>
              </w:rPr>
              <w:t xml:space="preserve"> of penal charges i.e., no further interest computed on </w:t>
            </w:r>
            <w:r w:rsidR="00A14D3C">
              <w:rPr>
                <w:rFonts w:eastAsia="Times New Roman"/>
                <w:color w:val="000000"/>
                <w:lang w:eastAsia="en-IN"/>
              </w:rPr>
              <w:t>s</w:t>
            </w:r>
            <w:r w:rsidR="00A14D3C" w:rsidRPr="00A14D3C">
              <w:rPr>
                <w:rFonts w:eastAsia="Times New Roman"/>
                <w:color w:val="000000"/>
                <w:lang w:eastAsia="en-IN"/>
              </w:rPr>
              <w:t xml:space="preserve">uch charges. However, this will not affect the normal </w:t>
            </w:r>
            <w:r w:rsidR="00A14D3C">
              <w:rPr>
                <w:rFonts w:eastAsia="Times New Roman"/>
                <w:color w:val="000000"/>
                <w:lang w:eastAsia="en-IN"/>
              </w:rPr>
              <w:t>p</w:t>
            </w:r>
            <w:r w:rsidR="00A14D3C" w:rsidRPr="00A14D3C">
              <w:rPr>
                <w:rFonts w:eastAsia="Times New Roman"/>
                <w:color w:val="000000"/>
                <w:lang w:eastAsia="en-IN"/>
              </w:rPr>
              <w:t xml:space="preserve">rocedures for compounding of interest in the loan </w:t>
            </w:r>
            <w:r w:rsidR="00A14D3C">
              <w:rPr>
                <w:rFonts w:eastAsia="Times New Roman"/>
                <w:color w:val="000000"/>
                <w:lang w:eastAsia="en-IN"/>
              </w:rPr>
              <w:t>a</w:t>
            </w:r>
            <w:r w:rsidR="00A14D3C" w:rsidRPr="00A14D3C">
              <w:rPr>
                <w:rFonts w:eastAsia="Times New Roman"/>
                <w:color w:val="000000"/>
                <w:lang w:eastAsia="en-IN"/>
              </w:rPr>
              <w:t>ccount.</w:t>
            </w:r>
            <w:r>
              <w:rPr>
                <w:rFonts w:eastAsia="Times New Roman"/>
                <w:color w:val="000000"/>
                <w:lang w:eastAsia="en-IN"/>
              </w:rPr>
              <w:t>)</w:t>
            </w:r>
          </w:p>
        </w:tc>
        <w:tc>
          <w:tcPr>
            <w:tcW w:w="2229" w:type="pct"/>
            <w:tcBorders>
              <w:top w:val="nil"/>
              <w:left w:val="nil"/>
              <w:bottom w:val="single" w:sz="4" w:space="0" w:color="auto"/>
              <w:right w:val="single" w:sz="4" w:space="0" w:color="auto"/>
            </w:tcBorders>
            <w:vAlign w:val="center"/>
            <w:hideMark/>
          </w:tcPr>
          <w:p w:rsidR="00164CAF" w:rsidRPr="008F3FF6" w:rsidRDefault="00A14D3C" w:rsidP="004C4C09">
            <w:pPr>
              <w:widowControl/>
              <w:autoSpaceDE/>
              <w:autoSpaceDN/>
              <w:rPr>
                <w:rFonts w:eastAsia="Times New Roman"/>
                <w:color w:val="000000"/>
                <w:lang w:val="en-IN" w:eastAsia="en-IN"/>
              </w:rPr>
            </w:pPr>
            <w:r>
              <w:rPr>
                <w:rFonts w:eastAsia="Times New Roman"/>
                <w:color w:val="000000"/>
                <w:lang w:val="en-IN" w:eastAsia="en-IN"/>
              </w:rPr>
              <w:t>3</w:t>
            </w:r>
            <w:r w:rsidR="00164CAF" w:rsidRPr="008F3FF6">
              <w:rPr>
                <w:rFonts w:eastAsia="Times New Roman"/>
                <w:color w:val="000000"/>
                <w:lang w:val="en-IN" w:eastAsia="en-IN"/>
              </w:rPr>
              <w:t>% Per Month</w:t>
            </w:r>
            <w:r>
              <w:rPr>
                <w:rFonts w:eastAsia="Times New Roman"/>
                <w:color w:val="000000"/>
                <w:lang w:val="en-IN" w:eastAsia="en-IN"/>
              </w:rPr>
              <w:t xml:space="preserve"> on Overdue Amount</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6</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Login Fee</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 xml:space="preserve">Up to </w:t>
            </w:r>
            <w:r w:rsidRPr="008F3FF6">
              <w:rPr>
                <w:rFonts w:eastAsia="Times New Roman"/>
                <w:color w:val="000000"/>
                <w:lang w:val="en-IN" w:eastAsia="en-IN"/>
              </w:rPr>
              <w:t>Rs. 5000</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7</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Cheque</w:t>
            </w:r>
            <w:r w:rsidR="00907033">
              <w:rPr>
                <w:rFonts w:eastAsia="Times New Roman"/>
                <w:color w:val="000000"/>
                <w:lang w:val="en-IN" w:eastAsia="en-IN"/>
              </w:rPr>
              <w:t>/ECS/ACH</w:t>
            </w:r>
            <w:r w:rsidRPr="008F3FF6">
              <w:rPr>
                <w:rFonts w:eastAsia="Times New Roman"/>
                <w:color w:val="000000"/>
                <w:lang w:val="en-IN" w:eastAsia="en-IN"/>
              </w:rPr>
              <w:t xml:space="preserve"> Bounce </w:t>
            </w:r>
            <w:r w:rsidR="00907033">
              <w:rPr>
                <w:rFonts w:eastAsia="Times New Roman"/>
                <w:color w:val="000000"/>
                <w:lang w:val="en-IN" w:eastAsia="en-IN"/>
              </w:rPr>
              <w:t xml:space="preserve">(dishonour) </w:t>
            </w:r>
            <w:r w:rsidRPr="008F3FF6">
              <w:rPr>
                <w:rFonts w:eastAsia="Times New Roman"/>
                <w:color w:val="000000"/>
                <w:lang w:val="en-IN" w:eastAsia="en-IN"/>
              </w:rPr>
              <w:t>Charges</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 xml:space="preserve">Up to Rs </w:t>
            </w:r>
            <w:r w:rsidR="00291635">
              <w:rPr>
                <w:rFonts w:eastAsia="Times New Roman"/>
                <w:color w:val="000000"/>
                <w:lang w:val="en-IN" w:eastAsia="en-IN"/>
              </w:rPr>
              <w:t>10</w:t>
            </w:r>
            <w:r>
              <w:rPr>
                <w:rFonts w:eastAsia="Times New Roman"/>
                <w:color w:val="000000"/>
                <w:lang w:val="en-IN" w:eastAsia="en-IN"/>
              </w:rPr>
              <w:t>00 per instance</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8</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Document retrieval charges on Pre - Closure</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 xml:space="preserve">Up to Rs 2000 </w:t>
            </w:r>
            <w:r w:rsidRPr="008F3FF6">
              <w:rPr>
                <w:rFonts w:eastAsia="Times New Roman"/>
                <w:color w:val="000000"/>
                <w:lang w:val="en-IN" w:eastAsia="en-IN"/>
              </w:rPr>
              <w:t xml:space="preserve"> </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9</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Cheque Swapping</w:t>
            </w:r>
            <w:r w:rsidR="00291635">
              <w:rPr>
                <w:rFonts w:eastAsia="Times New Roman"/>
                <w:color w:val="000000"/>
                <w:lang w:val="en-IN" w:eastAsia="en-IN"/>
              </w:rPr>
              <w:t>/ ACH re-mapping</w:t>
            </w:r>
            <w:r w:rsidRPr="008F3FF6">
              <w:rPr>
                <w:rFonts w:eastAsia="Times New Roman"/>
                <w:color w:val="000000"/>
                <w:lang w:val="en-IN" w:eastAsia="en-IN"/>
              </w:rPr>
              <w:t xml:space="preserve"> Charges</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Pr>
                <w:rFonts w:eastAsia="Times New Roman"/>
                <w:color w:val="000000"/>
                <w:lang w:val="en-IN" w:eastAsia="en-IN"/>
              </w:rPr>
              <w:t xml:space="preserve">Up to Rs </w:t>
            </w:r>
            <w:r w:rsidR="00291635">
              <w:rPr>
                <w:rFonts w:eastAsia="Times New Roman"/>
                <w:color w:val="000000"/>
                <w:lang w:val="en-IN" w:eastAsia="en-IN"/>
              </w:rPr>
              <w:t>10</w:t>
            </w:r>
            <w:r>
              <w:rPr>
                <w:rFonts w:eastAsia="Times New Roman"/>
                <w:color w:val="000000"/>
                <w:lang w:val="en-IN" w:eastAsia="en-IN"/>
              </w:rPr>
              <w:t>00 per instance</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10</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Statement of Account</w:t>
            </w:r>
          </w:p>
        </w:tc>
        <w:tc>
          <w:tcPr>
            <w:tcW w:w="2229" w:type="pct"/>
            <w:tcBorders>
              <w:top w:val="nil"/>
              <w:left w:val="nil"/>
              <w:bottom w:val="single" w:sz="4" w:space="0" w:color="auto"/>
              <w:right w:val="single" w:sz="4" w:space="0" w:color="auto"/>
            </w:tcBorders>
            <w:vAlign w:val="center"/>
            <w:hideMark/>
          </w:tcPr>
          <w:p w:rsidR="00164CAF" w:rsidRPr="008F3FF6" w:rsidRDefault="00E65E24" w:rsidP="004C4C09">
            <w:pPr>
              <w:widowControl/>
              <w:autoSpaceDE/>
              <w:autoSpaceDN/>
              <w:rPr>
                <w:rFonts w:eastAsia="Times New Roman"/>
                <w:color w:val="000000"/>
                <w:lang w:val="en-IN" w:eastAsia="en-IN"/>
              </w:rPr>
            </w:pPr>
            <w:r>
              <w:rPr>
                <w:rFonts w:eastAsia="Times New Roman"/>
                <w:color w:val="000000"/>
                <w:lang w:val="en-IN" w:eastAsia="en-IN"/>
              </w:rPr>
              <w:t>Up to Rs 500 per instance</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11</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Rate Reset Fees</w:t>
            </w:r>
            <w:r w:rsidR="00291635">
              <w:rPr>
                <w:rFonts w:eastAsia="Times New Roman"/>
                <w:color w:val="000000"/>
                <w:lang w:val="en-IN" w:eastAsia="en-IN"/>
              </w:rPr>
              <w:t xml:space="preserve"> (</w:t>
            </w:r>
            <w:r w:rsidR="00291635" w:rsidRPr="008F3FF6">
              <w:rPr>
                <w:rFonts w:eastAsia="Times New Roman"/>
                <w:color w:val="000000"/>
                <w:lang w:val="en-IN" w:eastAsia="en-IN"/>
              </w:rPr>
              <w:t>applicable per instance</w:t>
            </w:r>
            <w:r w:rsidR="00291635">
              <w:rPr>
                <w:rFonts w:eastAsia="Times New Roman"/>
                <w:color w:val="000000"/>
                <w:lang w:val="en-IN" w:eastAsia="en-IN"/>
              </w:rPr>
              <w:t>)</w:t>
            </w:r>
          </w:p>
        </w:tc>
        <w:tc>
          <w:tcPr>
            <w:tcW w:w="2229" w:type="pct"/>
            <w:tcBorders>
              <w:top w:val="nil"/>
              <w:left w:val="nil"/>
              <w:bottom w:val="single" w:sz="4" w:space="0" w:color="auto"/>
              <w:right w:val="single" w:sz="4" w:space="0" w:color="auto"/>
            </w:tcBorders>
            <w:vAlign w:val="center"/>
            <w:hideMark/>
          </w:tcPr>
          <w:p w:rsidR="00164CAF" w:rsidRPr="008F3FF6" w:rsidRDefault="00E65E24" w:rsidP="004C4C09">
            <w:pPr>
              <w:widowControl/>
              <w:autoSpaceDE/>
              <w:autoSpaceDN/>
              <w:rPr>
                <w:rFonts w:eastAsia="Times New Roman"/>
                <w:color w:val="000000"/>
                <w:lang w:val="en-IN" w:eastAsia="en-IN"/>
              </w:rPr>
            </w:pPr>
            <w:r>
              <w:rPr>
                <w:rFonts w:eastAsia="Times New Roman"/>
                <w:color w:val="000000"/>
                <w:lang w:val="en-IN" w:eastAsia="en-IN"/>
              </w:rPr>
              <w:t>Up to 1</w:t>
            </w:r>
            <w:r w:rsidR="00164CAF" w:rsidRPr="008F3FF6">
              <w:rPr>
                <w:rFonts w:eastAsia="Times New Roman"/>
                <w:color w:val="000000"/>
                <w:lang w:val="en-IN" w:eastAsia="en-IN"/>
              </w:rPr>
              <w:t xml:space="preserve">% of the total outstanding principal </w:t>
            </w:r>
          </w:p>
        </w:tc>
      </w:tr>
      <w:tr w:rsidR="00E65E24"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E65E24" w:rsidRPr="008F3FF6" w:rsidRDefault="00E65E24" w:rsidP="00E65E24">
            <w:pPr>
              <w:widowControl/>
              <w:autoSpaceDE/>
              <w:autoSpaceDN/>
              <w:jc w:val="right"/>
              <w:rPr>
                <w:rFonts w:eastAsia="Times New Roman"/>
                <w:color w:val="000000"/>
                <w:lang w:val="en-IN" w:eastAsia="en-IN"/>
              </w:rPr>
            </w:pPr>
            <w:r w:rsidRPr="008F3FF6">
              <w:rPr>
                <w:rFonts w:eastAsia="Times New Roman"/>
                <w:color w:val="000000"/>
                <w:lang w:val="en-IN" w:eastAsia="en-IN"/>
              </w:rPr>
              <w:t>12</w:t>
            </w:r>
          </w:p>
        </w:tc>
        <w:tc>
          <w:tcPr>
            <w:tcW w:w="2447" w:type="pct"/>
            <w:tcBorders>
              <w:top w:val="nil"/>
              <w:left w:val="nil"/>
              <w:bottom w:val="single" w:sz="4" w:space="0" w:color="auto"/>
              <w:right w:val="single" w:sz="4" w:space="0" w:color="auto"/>
            </w:tcBorders>
            <w:noWrap/>
            <w:vAlign w:val="center"/>
            <w:hideMark/>
          </w:tcPr>
          <w:p w:rsidR="00E65E24" w:rsidRPr="008F3FF6" w:rsidRDefault="00E65E24" w:rsidP="00E65E24">
            <w:pPr>
              <w:widowControl/>
              <w:autoSpaceDE/>
              <w:autoSpaceDN/>
              <w:rPr>
                <w:rFonts w:eastAsia="Times New Roman"/>
                <w:color w:val="000000"/>
                <w:lang w:val="en-IN" w:eastAsia="en-IN"/>
              </w:rPr>
            </w:pPr>
            <w:r w:rsidRPr="008F3FF6">
              <w:rPr>
                <w:rFonts w:eastAsia="Times New Roman"/>
                <w:color w:val="000000"/>
                <w:lang w:val="en-IN" w:eastAsia="en-IN"/>
              </w:rPr>
              <w:t xml:space="preserve">List of </w:t>
            </w:r>
            <w:r w:rsidR="00907033">
              <w:rPr>
                <w:rFonts w:eastAsia="Times New Roman"/>
                <w:color w:val="000000"/>
                <w:lang w:val="en-IN" w:eastAsia="en-IN"/>
              </w:rPr>
              <w:t>D</w:t>
            </w:r>
            <w:r w:rsidRPr="008F3FF6">
              <w:rPr>
                <w:rFonts w:eastAsia="Times New Roman"/>
                <w:color w:val="000000"/>
                <w:lang w:val="en-IN" w:eastAsia="en-IN"/>
              </w:rPr>
              <w:t>ocuments</w:t>
            </w:r>
            <w:r w:rsidR="00907033">
              <w:rPr>
                <w:rFonts w:eastAsia="Times New Roman"/>
                <w:color w:val="000000"/>
                <w:lang w:val="en-IN" w:eastAsia="en-IN"/>
              </w:rPr>
              <w:t>- issuance charges</w:t>
            </w:r>
          </w:p>
        </w:tc>
        <w:tc>
          <w:tcPr>
            <w:tcW w:w="2229" w:type="pct"/>
            <w:tcBorders>
              <w:top w:val="nil"/>
              <w:left w:val="nil"/>
              <w:bottom w:val="single" w:sz="4" w:space="0" w:color="auto"/>
              <w:right w:val="single" w:sz="4" w:space="0" w:color="auto"/>
            </w:tcBorders>
            <w:hideMark/>
          </w:tcPr>
          <w:p w:rsidR="00E65E24" w:rsidRDefault="00E65E24" w:rsidP="00E65E24">
            <w:r w:rsidRPr="00425A49">
              <w:rPr>
                <w:rFonts w:eastAsia="Times New Roman"/>
                <w:color w:val="000000"/>
                <w:lang w:val="en-IN" w:eastAsia="en-IN"/>
              </w:rPr>
              <w:t xml:space="preserve">Up to Rs 2000 </w:t>
            </w:r>
            <w:r w:rsidR="00907033">
              <w:rPr>
                <w:rFonts w:eastAsia="Times New Roman"/>
                <w:color w:val="000000"/>
                <w:lang w:val="en-IN" w:eastAsia="en-IN"/>
              </w:rPr>
              <w:t>per instance</w:t>
            </w:r>
          </w:p>
        </w:tc>
      </w:tr>
      <w:tr w:rsidR="00E65E24"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E65E24" w:rsidRPr="008F3FF6" w:rsidRDefault="00E65E24" w:rsidP="00E65E24">
            <w:pPr>
              <w:widowControl/>
              <w:autoSpaceDE/>
              <w:autoSpaceDN/>
              <w:jc w:val="right"/>
              <w:rPr>
                <w:rFonts w:eastAsia="Times New Roman"/>
                <w:color w:val="000000"/>
                <w:lang w:val="en-IN" w:eastAsia="en-IN"/>
              </w:rPr>
            </w:pPr>
            <w:r w:rsidRPr="008F3FF6">
              <w:rPr>
                <w:rFonts w:eastAsia="Times New Roman"/>
                <w:color w:val="000000"/>
                <w:lang w:val="en-IN" w:eastAsia="en-IN"/>
              </w:rPr>
              <w:t>13</w:t>
            </w:r>
          </w:p>
        </w:tc>
        <w:tc>
          <w:tcPr>
            <w:tcW w:w="2447" w:type="pct"/>
            <w:tcBorders>
              <w:top w:val="nil"/>
              <w:left w:val="nil"/>
              <w:bottom w:val="single" w:sz="4" w:space="0" w:color="auto"/>
              <w:right w:val="single" w:sz="4" w:space="0" w:color="auto"/>
            </w:tcBorders>
            <w:noWrap/>
            <w:vAlign w:val="center"/>
            <w:hideMark/>
          </w:tcPr>
          <w:p w:rsidR="00E65E24" w:rsidRPr="008F3FF6" w:rsidRDefault="00E65E24" w:rsidP="00E65E24">
            <w:pPr>
              <w:widowControl/>
              <w:autoSpaceDE/>
              <w:autoSpaceDN/>
              <w:rPr>
                <w:rFonts w:eastAsia="Times New Roman"/>
                <w:color w:val="000000"/>
                <w:lang w:val="en-IN" w:eastAsia="en-IN"/>
              </w:rPr>
            </w:pPr>
            <w:r w:rsidRPr="008F3FF6">
              <w:rPr>
                <w:rFonts w:eastAsia="Times New Roman"/>
                <w:color w:val="000000"/>
                <w:lang w:val="en-IN" w:eastAsia="en-IN"/>
              </w:rPr>
              <w:t>Copy of Title Deeds</w:t>
            </w:r>
            <w:r w:rsidR="00907033">
              <w:rPr>
                <w:rFonts w:eastAsia="Times New Roman"/>
                <w:color w:val="000000"/>
                <w:lang w:val="en-IN" w:eastAsia="en-IN"/>
              </w:rPr>
              <w:t>- issuance charges</w:t>
            </w:r>
          </w:p>
        </w:tc>
        <w:tc>
          <w:tcPr>
            <w:tcW w:w="2229" w:type="pct"/>
            <w:tcBorders>
              <w:top w:val="nil"/>
              <w:left w:val="nil"/>
              <w:bottom w:val="single" w:sz="4" w:space="0" w:color="auto"/>
              <w:right w:val="single" w:sz="4" w:space="0" w:color="auto"/>
            </w:tcBorders>
            <w:hideMark/>
          </w:tcPr>
          <w:p w:rsidR="00E65E24" w:rsidRDefault="00E65E24" w:rsidP="00E65E24">
            <w:r w:rsidRPr="00425A49">
              <w:rPr>
                <w:rFonts w:eastAsia="Times New Roman"/>
                <w:color w:val="000000"/>
                <w:lang w:val="en-IN" w:eastAsia="en-IN"/>
              </w:rPr>
              <w:t xml:space="preserve">Up to Rs 2000 </w:t>
            </w:r>
            <w:r w:rsidR="00907033">
              <w:rPr>
                <w:rFonts w:eastAsia="Times New Roman"/>
                <w:color w:val="000000"/>
                <w:lang w:val="en-IN" w:eastAsia="en-IN"/>
              </w:rPr>
              <w:t>per instance</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lastRenderedPageBreak/>
              <w:t>14</w:t>
            </w:r>
          </w:p>
        </w:tc>
        <w:tc>
          <w:tcPr>
            <w:tcW w:w="2447"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Recovery Charges (</w:t>
            </w:r>
            <w:r w:rsidR="00E65E24">
              <w:rPr>
                <w:rFonts w:eastAsia="Times New Roman"/>
                <w:color w:val="000000"/>
                <w:lang w:val="en-IN" w:eastAsia="en-IN"/>
              </w:rPr>
              <w:t>L</w:t>
            </w:r>
            <w:r w:rsidRPr="008F3FF6">
              <w:rPr>
                <w:rFonts w:eastAsia="Times New Roman"/>
                <w:color w:val="000000"/>
                <w:lang w:val="en-IN" w:eastAsia="en-IN"/>
              </w:rPr>
              <w:t>egal/</w:t>
            </w:r>
            <w:r w:rsidR="00E65E24">
              <w:rPr>
                <w:rFonts w:eastAsia="Times New Roman"/>
                <w:color w:val="000000"/>
                <w:lang w:val="en-IN" w:eastAsia="en-IN"/>
              </w:rPr>
              <w:t xml:space="preserve"> </w:t>
            </w:r>
            <w:r w:rsidRPr="008F3FF6">
              <w:rPr>
                <w:rFonts w:eastAsia="Times New Roman"/>
                <w:color w:val="000000"/>
                <w:lang w:val="en-IN" w:eastAsia="en-IN"/>
              </w:rPr>
              <w:t>Repossession/</w:t>
            </w:r>
            <w:r w:rsidR="00E65E24">
              <w:rPr>
                <w:rFonts w:eastAsia="Times New Roman"/>
                <w:color w:val="000000"/>
                <w:lang w:val="en-IN" w:eastAsia="en-IN"/>
              </w:rPr>
              <w:t xml:space="preserve"> </w:t>
            </w:r>
            <w:r w:rsidRPr="008F3FF6">
              <w:rPr>
                <w:rFonts w:eastAsia="Times New Roman"/>
                <w:color w:val="000000"/>
                <w:lang w:val="en-IN" w:eastAsia="en-IN"/>
              </w:rPr>
              <w:t>Incidental)</w:t>
            </w:r>
          </w:p>
        </w:tc>
        <w:tc>
          <w:tcPr>
            <w:tcW w:w="2229" w:type="pct"/>
            <w:tcBorders>
              <w:top w:val="nil"/>
              <w:left w:val="nil"/>
              <w:bottom w:val="single" w:sz="4" w:space="0" w:color="auto"/>
              <w:right w:val="single" w:sz="4" w:space="0" w:color="auto"/>
            </w:tcBorders>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As Per actuals</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15</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Full or Part Pre</w:t>
            </w:r>
            <w:r w:rsidR="002D4C06">
              <w:rPr>
                <w:rFonts w:eastAsia="Times New Roman"/>
                <w:color w:val="000000"/>
                <w:lang w:val="en-IN" w:eastAsia="en-IN"/>
              </w:rPr>
              <w:t>-</w:t>
            </w:r>
            <w:r w:rsidRPr="008F3FF6">
              <w:rPr>
                <w:rFonts w:eastAsia="Times New Roman"/>
                <w:color w:val="000000"/>
                <w:lang w:val="en-IN" w:eastAsia="en-IN"/>
              </w:rPr>
              <w:t>closure Charges</w:t>
            </w:r>
          </w:p>
        </w:tc>
        <w:tc>
          <w:tcPr>
            <w:tcW w:w="2229" w:type="pct"/>
            <w:tcBorders>
              <w:top w:val="nil"/>
              <w:left w:val="nil"/>
              <w:bottom w:val="single" w:sz="4" w:space="0" w:color="auto"/>
              <w:right w:val="single" w:sz="4" w:space="0" w:color="auto"/>
            </w:tcBorders>
            <w:vAlign w:val="center"/>
            <w:hideMark/>
          </w:tcPr>
          <w:p w:rsidR="00291635" w:rsidRDefault="00A14D3C" w:rsidP="00291635">
            <w:pPr>
              <w:pStyle w:val="ListParagraph"/>
              <w:widowControl/>
              <w:numPr>
                <w:ilvl w:val="0"/>
                <w:numId w:val="4"/>
              </w:numPr>
              <w:autoSpaceDE/>
              <w:autoSpaceDN/>
              <w:rPr>
                <w:rFonts w:eastAsia="Times New Roman"/>
                <w:color w:val="000000"/>
                <w:lang w:val="en-IN" w:eastAsia="en-IN"/>
              </w:rPr>
            </w:pPr>
            <w:r w:rsidRPr="00291635">
              <w:rPr>
                <w:rFonts w:eastAsia="Times New Roman"/>
                <w:color w:val="000000"/>
                <w:lang w:val="en-IN" w:eastAsia="en-IN"/>
              </w:rPr>
              <w:t xml:space="preserve">Up to </w:t>
            </w:r>
            <w:r w:rsidR="00164CAF" w:rsidRPr="00291635">
              <w:rPr>
                <w:rFonts w:eastAsia="Times New Roman"/>
                <w:color w:val="000000"/>
                <w:lang w:val="en-IN" w:eastAsia="en-IN"/>
              </w:rPr>
              <w:t>2% of the amount paid towards Pre</w:t>
            </w:r>
            <w:r w:rsidR="002D4C06" w:rsidRPr="00291635">
              <w:rPr>
                <w:rFonts w:eastAsia="Times New Roman"/>
                <w:color w:val="000000"/>
                <w:lang w:val="en-IN" w:eastAsia="en-IN"/>
              </w:rPr>
              <w:t>-</w:t>
            </w:r>
            <w:r w:rsidR="00164CAF" w:rsidRPr="00291635">
              <w:rPr>
                <w:rFonts w:eastAsia="Times New Roman"/>
                <w:color w:val="000000"/>
                <w:lang w:val="en-IN" w:eastAsia="en-IN"/>
              </w:rPr>
              <w:t>closure, if paid through Own Funds.</w:t>
            </w:r>
          </w:p>
          <w:p w:rsidR="00164CAF" w:rsidRPr="00291635" w:rsidRDefault="00A14D3C" w:rsidP="00291635">
            <w:pPr>
              <w:pStyle w:val="ListParagraph"/>
              <w:widowControl/>
              <w:numPr>
                <w:ilvl w:val="0"/>
                <w:numId w:val="4"/>
              </w:numPr>
              <w:autoSpaceDE/>
              <w:autoSpaceDN/>
              <w:rPr>
                <w:rFonts w:eastAsia="Times New Roman"/>
                <w:color w:val="000000"/>
                <w:lang w:val="en-IN" w:eastAsia="en-IN"/>
              </w:rPr>
            </w:pPr>
            <w:r w:rsidRPr="00291635">
              <w:rPr>
                <w:rFonts w:eastAsia="Times New Roman"/>
                <w:color w:val="000000"/>
                <w:lang w:val="en-IN" w:eastAsia="en-IN"/>
              </w:rPr>
              <w:t xml:space="preserve">Up to </w:t>
            </w:r>
            <w:r w:rsidR="002D4C06" w:rsidRPr="00291635">
              <w:rPr>
                <w:rFonts w:eastAsia="Times New Roman"/>
                <w:color w:val="000000"/>
                <w:lang w:val="en-IN" w:eastAsia="en-IN"/>
              </w:rPr>
              <w:t>5</w:t>
            </w:r>
            <w:r w:rsidR="00164CAF" w:rsidRPr="00291635">
              <w:rPr>
                <w:rFonts w:eastAsia="Times New Roman"/>
                <w:color w:val="000000"/>
                <w:lang w:val="en-IN" w:eastAsia="en-IN"/>
              </w:rPr>
              <w:t>% of the amount paid towards Pre</w:t>
            </w:r>
            <w:r w:rsidR="002D4C06" w:rsidRPr="00291635">
              <w:rPr>
                <w:rFonts w:eastAsia="Times New Roman"/>
                <w:color w:val="000000"/>
                <w:lang w:val="en-IN" w:eastAsia="en-IN"/>
              </w:rPr>
              <w:t>-</w:t>
            </w:r>
            <w:r w:rsidR="00164CAF" w:rsidRPr="00291635">
              <w:rPr>
                <w:rFonts w:eastAsia="Times New Roman"/>
                <w:color w:val="000000"/>
                <w:lang w:val="en-IN" w:eastAsia="en-IN"/>
              </w:rPr>
              <w:t>closure, if paid through balance transfer through any other financi</w:t>
            </w:r>
            <w:r w:rsidR="002D4C06" w:rsidRPr="00291635">
              <w:rPr>
                <w:rFonts w:eastAsia="Times New Roman"/>
                <w:color w:val="000000"/>
                <w:lang w:val="en-IN" w:eastAsia="en-IN"/>
              </w:rPr>
              <w:t>e</w:t>
            </w:r>
            <w:r w:rsidR="00164CAF" w:rsidRPr="00291635">
              <w:rPr>
                <w:rFonts w:eastAsia="Times New Roman"/>
                <w:color w:val="000000"/>
                <w:lang w:val="en-IN" w:eastAsia="en-IN"/>
              </w:rPr>
              <w:t>r/bank.</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16</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CERSAI</w:t>
            </w:r>
          </w:p>
        </w:tc>
        <w:tc>
          <w:tcPr>
            <w:tcW w:w="2229" w:type="pct"/>
            <w:tcBorders>
              <w:top w:val="nil"/>
              <w:left w:val="nil"/>
              <w:bottom w:val="single" w:sz="4" w:space="0" w:color="auto"/>
              <w:right w:val="single" w:sz="4" w:space="0" w:color="auto"/>
            </w:tcBorders>
            <w:vAlign w:val="center"/>
            <w:hideMark/>
          </w:tcPr>
          <w:p w:rsidR="00164CAF" w:rsidRPr="008F3FF6" w:rsidRDefault="00E65E24" w:rsidP="004C4C09">
            <w:pPr>
              <w:widowControl/>
              <w:autoSpaceDE/>
              <w:autoSpaceDN/>
              <w:rPr>
                <w:rFonts w:eastAsia="Times New Roman"/>
                <w:color w:val="000000"/>
                <w:lang w:val="en-IN" w:eastAsia="en-IN"/>
              </w:rPr>
            </w:pPr>
            <w:r>
              <w:rPr>
                <w:rFonts w:eastAsia="Times New Roman"/>
                <w:color w:val="000000"/>
                <w:lang w:val="en-IN" w:eastAsia="en-IN"/>
              </w:rPr>
              <w:t>As per actuals</w:t>
            </w: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17</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proofErr w:type="spellStart"/>
            <w:r w:rsidRPr="008F3FF6">
              <w:rPr>
                <w:rFonts w:eastAsia="Times New Roman"/>
                <w:color w:val="000000"/>
                <w:lang w:val="en-IN" w:eastAsia="en-IN"/>
              </w:rPr>
              <w:t>NeSL</w:t>
            </w:r>
            <w:proofErr w:type="spellEnd"/>
            <w:r w:rsidRPr="008F3FF6">
              <w:rPr>
                <w:rFonts w:eastAsia="Times New Roman"/>
                <w:color w:val="000000"/>
                <w:lang w:val="en-IN" w:eastAsia="en-IN"/>
              </w:rPr>
              <w:t xml:space="preserve"> Charges</w:t>
            </w:r>
            <w:r w:rsidR="0017134D">
              <w:rPr>
                <w:rFonts w:eastAsia="Times New Roman"/>
                <w:color w:val="000000"/>
                <w:lang w:val="en-IN" w:eastAsia="en-IN"/>
              </w:rPr>
              <w:t xml:space="preserve"> (Subject to changes notified by </w:t>
            </w:r>
            <w:proofErr w:type="spellStart"/>
            <w:r w:rsidR="0017134D">
              <w:rPr>
                <w:rFonts w:eastAsia="Times New Roman"/>
                <w:color w:val="000000"/>
                <w:lang w:val="en-IN" w:eastAsia="en-IN"/>
              </w:rPr>
              <w:t>NeSL</w:t>
            </w:r>
            <w:proofErr w:type="spellEnd"/>
            <w:r w:rsidR="0017134D">
              <w:rPr>
                <w:rFonts w:eastAsia="Times New Roman"/>
                <w:color w:val="000000"/>
                <w:lang w:val="en-IN" w:eastAsia="en-IN"/>
              </w:rPr>
              <w:t>)</w:t>
            </w:r>
          </w:p>
        </w:tc>
        <w:tc>
          <w:tcPr>
            <w:tcW w:w="2229" w:type="pct"/>
            <w:tcBorders>
              <w:top w:val="nil"/>
              <w:left w:val="nil"/>
              <w:bottom w:val="single" w:sz="4" w:space="0" w:color="auto"/>
              <w:right w:val="single" w:sz="4" w:space="0" w:color="auto"/>
            </w:tcBorders>
            <w:vAlign w:val="center"/>
            <w:hideMark/>
          </w:tcPr>
          <w:p w:rsidR="0017134D" w:rsidRPr="008F3FF6" w:rsidRDefault="0017134D" w:rsidP="0017134D">
            <w:pPr>
              <w:widowControl/>
              <w:autoSpaceDE/>
              <w:autoSpaceDN/>
              <w:rPr>
                <w:rFonts w:eastAsia="Times New Roman"/>
                <w:color w:val="000000"/>
                <w:lang w:val="en-IN" w:eastAsia="en-IN"/>
              </w:rPr>
            </w:pPr>
            <w:r>
              <w:rPr>
                <w:rFonts w:eastAsia="Times New Roman"/>
                <w:color w:val="000000"/>
                <w:lang w:val="en-IN" w:eastAsia="en-IN"/>
              </w:rPr>
              <w:t>As per Actuals</w:t>
            </w:r>
          </w:p>
          <w:p w:rsidR="00164CAF" w:rsidRPr="008F3FF6" w:rsidRDefault="00164CAF" w:rsidP="004C4C09">
            <w:pPr>
              <w:widowControl/>
              <w:autoSpaceDE/>
              <w:autoSpaceDN/>
              <w:rPr>
                <w:rFonts w:eastAsia="Times New Roman"/>
                <w:color w:val="000000"/>
                <w:lang w:val="en-IN" w:eastAsia="en-IN"/>
              </w:rPr>
            </w:pPr>
          </w:p>
        </w:tc>
      </w:tr>
      <w:tr w:rsidR="00164CAF" w:rsidRPr="008F3FF6" w:rsidTr="00A14D3C">
        <w:trPr>
          <w:trHeight w:val="113"/>
        </w:trPr>
        <w:tc>
          <w:tcPr>
            <w:tcW w:w="324" w:type="pct"/>
            <w:tcBorders>
              <w:top w:val="nil"/>
              <w:left w:val="single" w:sz="4" w:space="0" w:color="auto"/>
              <w:bottom w:val="single" w:sz="4" w:space="0" w:color="auto"/>
              <w:right w:val="single" w:sz="4" w:space="0" w:color="auto"/>
            </w:tcBorders>
            <w:noWrap/>
            <w:vAlign w:val="center"/>
            <w:hideMark/>
          </w:tcPr>
          <w:p w:rsidR="00164CAF" w:rsidRPr="008F3FF6" w:rsidRDefault="00164CAF" w:rsidP="004C4C09">
            <w:pPr>
              <w:widowControl/>
              <w:autoSpaceDE/>
              <w:autoSpaceDN/>
              <w:jc w:val="right"/>
              <w:rPr>
                <w:rFonts w:eastAsia="Times New Roman"/>
                <w:color w:val="000000"/>
                <w:lang w:val="en-IN" w:eastAsia="en-IN"/>
              </w:rPr>
            </w:pPr>
            <w:r w:rsidRPr="008F3FF6">
              <w:rPr>
                <w:rFonts w:eastAsia="Times New Roman"/>
                <w:color w:val="000000"/>
                <w:lang w:val="en-IN" w:eastAsia="en-IN"/>
              </w:rPr>
              <w:t>18</w:t>
            </w:r>
          </w:p>
        </w:tc>
        <w:tc>
          <w:tcPr>
            <w:tcW w:w="2447" w:type="pct"/>
            <w:tcBorders>
              <w:top w:val="nil"/>
              <w:left w:val="nil"/>
              <w:bottom w:val="single" w:sz="4" w:space="0" w:color="auto"/>
              <w:right w:val="single" w:sz="4" w:space="0" w:color="auto"/>
            </w:tcBorders>
            <w:noWrap/>
            <w:vAlign w:val="center"/>
            <w:hideMark/>
          </w:tcPr>
          <w:p w:rsidR="00164CAF" w:rsidRPr="008F3FF6" w:rsidRDefault="00164CAF" w:rsidP="004C4C09">
            <w:pPr>
              <w:widowControl/>
              <w:autoSpaceDE/>
              <w:autoSpaceDN/>
              <w:rPr>
                <w:rFonts w:eastAsia="Times New Roman"/>
                <w:color w:val="000000"/>
                <w:lang w:val="en-IN" w:eastAsia="en-IN"/>
              </w:rPr>
            </w:pPr>
            <w:r w:rsidRPr="008F3FF6">
              <w:rPr>
                <w:rFonts w:eastAsia="Times New Roman"/>
                <w:color w:val="000000"/>
                <w:lang w:val="en-IN" w:eastAsia="en-IN"/>
              </w:rPr>
              <w:t>Mortgage Charges / Registration Fee</w:t>
            </w:r>
            <w:r w:rsidR="00E65E24">
              <w:rPr>
                <w:rFonts w:eastAsia="Times New Roman"/>
                <w:color w:val="000000"/>
                <w:lang w:val="en-IN" w:eastAsia="en-IN"/>
              </w:rPr>
              <w:t>/ De-mortgage charges</w:t>
            </w:r>
          </w:p>
        </w:tc>
        <w:tc>
          <w:tcPr>
            <w:tcW w:w="2229" w:type="pct"/>
            <w:tcBorders>
              <w:top w:val="nil"/>
              <w:left w:val="nil"/>
              <w:bottom w:val="single" w:sz="4" w:space="0" w:color="auto"/>
              <w:right w:val="single" w:sz="4" w:space="0" w:color="auto"/>
            </w:tcBorders>
            <w:hideMark/>
          </w:tcPr>
          <w:p w:rsidR="00164CAF" w:rsidRPr="008F3FF6" w:rsidRDefault="00E65E24" w:rsidP="004C4C09">
            <w:pPr>
              <w:widowControl/>
              <w:autoSpaceDE/>
              <w:autoSpaceDN/>
              <w:rPr>
                <w:rFonts w:eastAsia="Times New Roman"/>
                <w:color w:val="000000"/>
                <w:lang w:val="en-IN" w:eastAsia="en-IN"/>
              </w:rPr>
            </w:pPr>
            <w:r>
              <w:rPr>
                <w:rFonts w:eastAsia="Times New Roman"/>
                <w:color w:val="000000"/>
                <w:lang w:val="en-IN" w:eastAsia="en-IN"/>
              </w:rPr>
              <w:t>Payable by the customer</w:t>
            </w:r>
          </w:p>
        </w:tc>
      </w:tr>
      <w:tr w:rsidR="00E65E24" w:rsidRPr="008F3FF6" w:rsidTr="00A14D3C">
        <w:trPr>
          <w:trHeight w:val="113"/>
        </w:trPr>
        <w:tc>
          <w:tcPr>
            <w:tcW w:w="324" w:type="pct"/>
            <w:tcBorders>
              <w:top w:val="single" w:sz="4" w:space="0" w:color="auto"/>
              <w:left w:val="single" w:sz="4" w:space="0" w:color="auto"/>
              <w:bottom w:val="single" w:sz="4" w:space="0" w:color="auto"/>
              <w:right w:val="single" w:sz="4" w:space="0" w:color="auto"/>
            </w:tcBorders>
            <w:noWrap/>
            <w:vAlign w:val="center"/>
          </w:tcPr>
          <w:p w:rsidR="00E65E24" w:rsidRPr="008F3FF6" w:rsidRDefault="00E65E24" w:rsidP="004C4C09">
            <w:pPr>
              <w:widowControl/>
              <w:autoSpaceDE/>
              <w:autoSpaceDN/>
              <w:jc w:val="right"/>
              <w:rPr>
                <w:rFonts w:eastAsia="Times New Roman"/>
                <w:color w:val="000000"/>
                <w:lang w:val="en-IN" w:eastAsia="en-IN"/>
              </w:rPr>
            </w:pPr>
            <w:r>
              <w:rPr>
                <w:rFonts w:eastAsia="Times New Roman"/>
                <w:color w:val="000000"/>
                <w:lang w:val="en-IN" w:eastAsia="en-IN"/>
              </w:rPr>
              <w:t>19</w:t>
            </w:r>
          </w:p>
        </w:tc>
        <w:tc>
          <w:tcPr>
            <w:tcW w:w="2447" w:type="pct"/>
            <w:tcBorders>
              <w:top w:val="single" w:sz="4" w:space="0" w:color="auto"/>
              <w:left w:val="nil"/>
              <w:bottom w:val="single" w:sz="4" w:space="0" w:color="auto"/>
              <w:right w:val="single" w:sz="4" w:space="0" w:color="auto"/>
            </w:tcBorders>
            <w:noWrap/>
            <w:vAlign w:val="center"/>
          </w:tcPr>
          <w:p w:rsidR="00E65E24" w:rsidRPr="008F3FF6" w:rsidRDefault="00907033" w:rsidP="004C4C09">
            <w:pPr>
              <w:widowControl/>
              <w:autoSpaceDE/>
              <w:autoSpaceDN/>
              <w:rPr>
                <w:rFonts w:eastAsia="Times New Roman"/>
                <w:color w:val="000000"/>
                <w:lang w:val="en-IN" w:eastAsia="en-IN"/>
              </w:rPr>
            </w:pPr>
            <w:r>
              <w:rPr>
                <w:rFonts w:eastAsia="Times New Roman"/>
                <w:color w:val="000000"/>
                <w:lang w:val="en-IN" w:eastAsia="en-IN"/>
              </w:rPr>
              <w:t>Collection Visit Charges</w:t>
            </w:r>
          </w:p>
        </w:tc>
        <w:tc>
          <w:tcPr>
            <w:tcW w:w="2229" w:type="pct"/>
            <w:tcBorders>
              <w:top w:val="single" w:sz="4" w:space="0" w:color="auto"/>
              <w:left w:val="nil"/>
              <w:bottom w:val="single" w:sz="4" w:space="0" w:color="auto"/>
              <w:right w:val="single" w:sz="4" w:space="0" w:color="auto"/>
            </w:tcBorders>
          </w:tcPr>
          <w:p w:rsidR="00E65E24" w:rsidRDefault="00A14D3C" w:rsidP="004C4C09">
            <w:pPr>
              <w:widowControl/>
              <w:autoSpaceDE/>
              <w:autoSpaceDN/>
              <w:rPr>
                <w:rFonts w:eastAsia="Times New Roman"/>
                <w:color w:val="000000"/>
                <w:lang w:val="en-IN" w:eastAsia="en-IN"/>
              </w:rPr>
            </w:pPr>
            <w:r>
              <w:rPr>
                <w:rFonts w:eastAsia="Times New Roman"/>
                <w:color w:val="000000"/>
                <w:lang w:val="en-IN" w:eastAsia="en-IN"/>
              </w:rPr>
              <w:t xml:space="preserve">Up to </w:t>
            </w:r>
            <w:r w:rsidR="00907033">
              <w:rPr>
                <w:rFonts w:eastAsia="Times New Roman"/>
                <w:color w:val="000000"/>
                <w:lang w:val="en-IN" w:eastAsia="en-IN"/>
              </w:rPr>
              <w:t>Rs 200 per visit</w:t>
            </w:r>
          </w:p>
        </w:tc>
      </w:tr>
      <w:tr w:rsidR="00E65E24" w:rsidRPr="008F3FF6" w:rsidTr="00A14D3C">
        <w:trPr>
          <w:trHeight w:val="113"/>
        </w:trPr>
        <w:tc>
          <w:tcPr>
            <w:tcW w:w="324" w:type="pct"/>
            <w:tcBorders>
              <w:top w:val="single" w:sz="4" w:space="0" w:color="auto"/>
              <w:left w:val="single" w:sz="4" w:space="0" w:color="auto"/>
              <w:bottom w:val="single" w:sz="4" w:space="0" w:color="auto"/>
              <w:right w:val="single" w:sz="4" w:space="0" w:color="auto"/>
            </w:tcBorders>
            <w:noWrap/>
            <w:vAlign w:val="center"/>
          </w:tcPr>
          <w:p w:rsidR="00E65E24" w:rsidRPr="008F3FF6" w:rsidRDefault="00E65E24" w:rsidP="004C4C09">
            <w:pPr>
              <w:widowControl/>
              <w:autoSpaceDE/>
              <w:autoSpaceDN/>
              <w:jc w:val="right"/>
              <w:rPr>
                <w:rFonts w:eastAsia="Times New Roman"/>
                <w:color w:val="000000"/>
                <w:lang w:val="en-IN" w:eastAsia="en-IN"/>
              </w:rPr>
            </w:pPr>
            <w:r>
              <w:rPr>
                <w:rFonts w:eastAsia="Times New Roman"/>
                <w:color w:val="000000"/>
                <w:lang w:val="en-IN" w:eastAsia="en-IN"/>
              </w:rPr>
              <w:t>20</w:t>
            </w:r>
          </w:p>
        </w:tc>
        <w:tc>
          <w:tcPr>
            <w:tcW w:w="2447" w:type="pct"/>
            <w:tcBorders>
              <w:top w:val="single" w:sz="4" w:space="0" w:color="auto"/>
              <w:left w:val="nil"/>
              <w:bottom w:val="single" w:sz="4" w:space="0" w:color="auto"/>
              <w:right w:val="single" w:sz="4" w:space="0" w:color="auto"/>
            </w:tcBorders>
            <w:noWrap/>
            <w:vAlign w:val="center"/>
          </w:tcPr>
          <w:p w:rsidR="00E65E24" w:rsidRPr="008F3FF6" w:rsidRDefault="00907033" w:rsidP="004C4C09">
            <w:pPr>
              <w:widowControl/>
              <w:autoSpaceDE/>
              <w:autoSpaceDN/>
              <w:rPr>
                <w:rFonts w:eastAsia="Times New Roman"/>
                <w:color w:val="000000"/>
                <w:lang w:val="en-IN" w:eastAsia="en-IN"/>
              </w:rPr>
            </w:pPr>
            <w:r>
              <w:rPr>
                <w:rFonts w:eastAsia="Times New Roman"/>
                <w:color w:val="000000"/>
                <w:lang w:val="en-IN" w:eastAsia="en-IN"/>
              </w:rPr>
              <w:t>No Dues Certificate</w:t>
            </w:r>
          </w:p>
        </w:tc>
        <w:tc>
          <w:tcPr>
            <w:tcW w:w="2229" w:type="pct"/>
            <w:tcBorders>
              <w:top w:val="single" w:sz="4" w:space="0" w:color="auto"/>
              <w:left w:val="nil"/>
              <w:bottom w:val="single" w:sz="4" w:space="0" w:color="auto"/>
              <w:right w:val="single" w:sz="4" w:space="0" w:color="auto"/>
            </w:tcBorders>
          </w:tcPr>
          <w:p w:rsidR="00E65E24" w:rsidRDefault="00907033" w:rsidP="004C4C09">
            <w:pPr>
              <w:widowControl/>
              <w:autoSpaceDE/>
              <w:autoSpaceDN/>
              <w:rPr>
                <w:rFonts w:eastAsia="Times New Roman"/>
                <w:color w:val="000000"/>
                <w:lang w:val="en-IN" w:eastAsia="en-IN"/>
              </w:rPr>
            </w:pPr>
            <w:r>
              <w:rPr>
                <w:rFonts w:eastAsia="Times New Roman"/>
                <w:color w:val="000000"/>
                <w:lang w:val="en-IN" w:eastAsia="en-IN"/>
              </w:rPr>
              <w:t>1</w:t>
            </w:r>
            <w:r w:rsidRPr="00907033">
              <w:rPr>
                <w:rFonts w:eastAsia="Times New Roman"/>
                <w:color w:val="000000"/>
                <w:vertAlign w:val="superscript"/>
                <w:lang w:val="en-IN" w:eastAsia="en-IN"/>
              </w:rPr>
              <w:t>st</w:t>
            </w:r>
            <w:r>
              <w:rPr>
                <w:rFonts w:eastAsia="Times New Roman"/>
                <w:color w:val="000000"/>
                <w:lang w:val="en-IN" w:eastAsia="en-IN"/>
              </w:rPr>
              <w:t xml:space="preserve"> time free for a loan, duplicate issuance- </w:t>
            </w:r>
            <w:r w:rsidR="00A14D3C">
              <w:rPr>
                <w:rFonts w:eastAsia="Times New Roman"/>
                <w:color w:val="000000"/>
                <w:lang w:val="en-IN" w:eastAsia="en-IN"/>
              </w:rPr>
              <w:t xml:space="preserve">up to </w:t>
            </w:r>
            <w:r>
              <w:rPr>
                <w:rFonts w:eastAsia="Times New Roman"/>
                <w:color w:val="000000"/>
                <w:lang w:val="en-IN" w:eastAsia="en-IN"/>
              </w:rPr>
              <w:t>Rs 500 per instance</w:t>
            </w:r>
          </w:p>
        </w:tc>
      </w:tr>
      <w:tr w:rsidR="00A14D3C" w:rsidRPr="008F3FF6" w:rsidTr="00A14D3C">
        <w:trPr>
          <w:trHeight w:val="113"/>
        </w:trPr>
        <w:tc>
          <w:tcPr>
            <w:tcW w:w="324" w:type="pct"/>
            <w:tcBorders>
              <w:top w:val="single" w:sz="4" w:space="0" w:color="auto"/>
              <w:left w:val="single" w:sz="4" w:space="0" w:color="auto"/>
              <w:bottom w:val="single" w:sz="4" w:space="0" w:color="auto"/>
              <w:right w:val="single" w:sz="4" w:space="0" w:color="auto"/>
            </w:tcBorders>
            <w:noWrap/>
            <w:vAlign w:val="center"/>
          </w:tcPr>
          <w:p w:rsidR="00A14D3C" w:rsidRDefault="00A14D3C" w:rsidP="004C4C09">
            <w:pPr>
              <w:widowControl/>
              <w:autoSpaceDE/>
              <w:autoSpaceDN/>
              <w:jc w:val="right"/>
              <w:rPr>
                <w:rFonts w:eastAsia="Times New Roman"/>
                <w:color w:val="000000"/>
                <w:lang w:val="en-IN" w:eastAsia="en-IN"/>
              </w:rPr>
            </w:pPr>
            <w:r>
              <w:rPr>
                <w:rFonts w:eastAsia="Times New Roman"/>
                <w:color w:val="000000"/>
                <w:lang w:val="en-IN" w:eastAsia="en-IN"/>
              </w:rPr>
              <w:t>21</w:t>
            </w:r>
          </w:p>
        </w:tc>
        <w:tc>
          <w:tcPr>
            <w:tcW w:w="2447" w:type="pct"/>
            <w:tcBorders>
              <w:top w:val="single" w:sz="4" w:space="0" w:color="auto"/>
              <w:left w:val="nil"/>
              <w:bottom w:val="single" w:sz="4" w:space="0" w:color="auto"/>
              <w:right w:val="single" w:sz="4" w:space="0" w:color="auto"/>
            </w:tcBorders>
            <w:noWrap/>
            <w:vAlign w:val="center"/>
          </w:tcPr>
          <w:p w:rsidR="00A14D3C" w:rsidRDefault="00A14D3C" w:rsidP="004C4C09">
            <w:pPr>
              <w:widowControl/>
              <w:autoSpaceDE/>
              <w:autoSpaceDN/>
              <w:rPr>
                <w:rFonts w:eastAsia="Times New Roman"/>
                <w:color w:val="000000"/>
                <w:lang w:val="en-IN" w:eastAsia="en-IN"/>
              </w:rPr>
            </w:pPr>
            <w:r>
              <w:rPr>
                <w:rFonts w:eastAsia="Times New Roman"/>
                <w:color w:val="000000"/>
                <w:lang w:val="en-IN" w:eastAsia="en-IN"/>
              </w:rPr>
              <w:t>Sanction Revalidation Charges</w:t>
            </w:r>
          </w:p>
          <w:p w:rsidR="00A14D3C" w:rsidRDefault="00A14D3C" w:rsidP="004C4C09">
            <w:pPr>
              <w:widowControl/>
              <w:autoSpaceDE/>
              <w:autoSpaceDN/>
              <w:rPr>
                <w:rFonts w:eastAsia="Times New Roman"/>
                <w:color w:val="000000"/>
                <w:lang w:val="en-IN" w:eastAsia="en-IN"/>
              </w:rPr>
            </w:pPr>
            <w:r>
              <w:rPr>
                <w:rFonts w:eastAsia="Times New Roman"/>
                <w:color w:val="000000"/>
                <w:lang w:val="en-IN" w:eastAsia="en-IN"/>
              </w:rPr>
              <w:t>In case the facility sanctioned is not availed (disbursed) within 60 days of date of sanction, a revalidation of the sanction will be required</w:t>
            </w:r>
          </w:p>
        </w:tc>
        <w:tc>
          <w:tcPr>
            <w:tcW w:w="2229" w:type="pct"/>
            <w:tcBorders>
              <w:top w:val="single" w:sz="4" w:space="0" w:color="auto"/>
              <w:left w:val="nil"/>
              <w:bottom w:val="single" w:sz="4" w:space="0" w:color="auto"/>
              <w:right w:val="single" w:sz="4" w:space="0" w:color="auto"/>
            </w:tcBorders>
          </w:tcPr>
          <w:p w:rsidR="00A14D3C" w:rsidRDefault="00A14D3C" w:rsidP="004C4C09">
            <w:pPr>
              <w:widowControl/>
              <w:autoSpaceDE/>
              <w:autoSpaceDN/>
              <w:rPr>
                <w:rFonts w:eastAsia="Times New Roman"/>
                <w:color w:val="000000"/>
                <w:lang w:val="en-IN" w:eastAsia="en-IN"/>
              </w:rPr>
            </w:pPr>
            <w:r>
              <w:rPr>
                <w:rFonts w:eastAsia="Times New Roman"/>
                <w:color w:val="000000"/>
                <w:lang w:val="en-IN" w:eastAsia="en-IN"/>
              </w:rPr>
              <w:t>Up to Rs 5000 per instance</w:t>
            </w:r>
          </w:p>
        </w:tc>
      </w:tr>
      <w:tr w:rsidR="004459F7" w:rsidRPr="008F3FF6" w:rsidTr="00A14D3C">
        <w:trPr>
          <w:trHeight w:val="113"/>
        </w:trPr>
        <w:tc>
          <w:tcPr>
            <w:tcW w:w="324" w:type="pct"/>
            <w:tcBorders>
              <w:top w:val="single" w:sz="4" w:space="0" w:color="auto"/>
              <w:left w:val="single" w:sz="4" w:space="0" w:color="auto"/>
              <w:bottom w:val="single" w:sz="4" w:space="0" w:color="auto"/>
              <w:right w:val="single" w:sz="4" w:space="0" w:color="auto"/>
            </w:tcBorders>
            <w:noWrap/>
            <w:vAlign w:val="center"/>
          </w:tcPr>
          <w:p w:rsidR="004459F7" w:rsidRDefault="004459F7" w:rsidP="004C4C09">
            <w:pPr>
              <w:widowControl/>
              <w:autoSpaceDE/>
              <w:autoSpaceDN/>
              <w:jc w:val="right"/>
              <w:rPr>
                <w:rFonts w:eastAsia="Times New Roman"/>
                <w:color w:val="000000"/>
                <w:lang w:val="en-IN" w:eastAsia="en-IN"/>
              </w:rPr>
            </w:pPr>
            <w:r>
              <w:rPr>
                <w:rFonts w:eastAsia="Times New Roman"/>
                <w:color w:val="000000"/>
                <w:lang w:val="en-IN" w:eastAsia="en-IN"/>
              </w:rPr>
              <w:t>22</w:t>
            </w:r>
          </w:p>
        </w:tc>
        <w:tc>
          <w:tcPr>
            <w:tcW w:w="2447" w:type="pct"/>
            <w:tcBorders>
              <w:top w:val="single" w:sz="4" w:space="0" w:color="auto"/>
              <w:left w:val="nil"/>
              <w:bottom w:val="single" w:sz="4" w:space="0" w:color="auto"/>
              <w:right w:val="single" w:sz="4" w:space="0" w:color="auto"/>
            </w:tcBorders>
            <w:noWrap/>
            <w:vAlign w:val="center"/>
          </w:tcPr>
          <w:p w:rsidR="004459F7" w:rsidRDefault="004459F7" w:rsidP="004C4C09">
            <w:pPr>
              <w:widowControl/>
              <w:autoSpaceDE/>
              <w:autoSpaceDN/>
              <w:rPr>
                <w:rFonts w:eastAsia="Times New Roman"/>
                <w:color w:val="000000"/>
                <w:lang w:val="en-IN" w:eastAsia="en-IN"/>
              </w:rPr>
            </w:pPr>
            <w:r>
              <w:rPr>
                <w:rFonts w:eastAsia="Times New Roman"/>
                <w:color w:val="000000"/>
                <w:lang w:val="en-IN" w:eastAsia="en-IN"/>
              </w:rPr>
              <w:t>Collection Charges, Legal Expenses, Recovery Charges for Overdue Accounts</w:t>
            </w:r>
          </w:p>
        </w:tc>
        <w:tc>
          <w:tcPr>
            <w:tcW w:w="2229" w:type="pct"/>
            <w:tcBorders>
              <w:top w:val="single" w:sz="4" w:space="0" w:color="auto"/>
              <w:left w:val="nil"/>
              <w:bottom w:val="single" w:sz="4" w:space="0" w:color="auto"/>
              <w:right w:val="single" w:sz="4" w:space="0" w:color="auto"/>
            </w:tcBorders>
          </w:tcPr>
          <w:p w:rsidR="004459F7" w:rsidRDefault="004459F7" w:rsidP="004C4C09">
            <w:pPr>
              <w:widowControl/>
              <w:autoSpaceDE/>
              <w:autoSpaceDN/>
              <w:rPr>
                <w:rFonts w:eastAsia="Times New Roman"/>
                <w:color w:val="000000"/>
                <w:lang w:val="en-IN" w:eastAsia="en-IN"/>
              </w:rPr>
            </w:pPr>
            <w:r>
              <w:rPr>
                <w:rFonts w:eastAsia="Times New Roman"/>
                <w:color w:val="000000"/>
                <w:lang w:val="en-IN" w:eastAsia="en-IN"/>
              </w:rPr>
              <w:t>On Actual Basis</w:t>
            </w:r>
          </w:p>
        </w:tc>
      </w:tr>
    </w:tbl>
    <w:p w:rsidR="002A54C6" w:rsidRDefault="002A54C6" w:rsidP="00852D10">
      <w:pPr>
        <w:pStyle w:val="BodyText"/>
        <w:numPr>
          <w:ilvl w:val="0"/>
          <w:numId w:val="2"/>
        </w:numPr>
        <w:spacing w:before="158" w:line="256" w:lineRule="auto"/>
        <w:ind w:right="733"/>
        <w:jc w:val="both"/>
      </w:pPr>
      <w:r>
        <w:rPr>
          <w:lang w:val="en-IN"/>
        </w:rPr>
        <w:t>Any deviations- To be approved by the authorities as mentioned in the delegation/approval matrix approved by the Managing Director</w:t>
      </w:r>
      <w:r w:rsidR="004459F7">
        <w:rPr>
          <w:lang w:val="en-IN"/>
        </w:rPr>
        <w:t>/ Whole Time Director</w:t>
      </w:r>
    </w:p>
    <w:p w:rsidR="002A54C6" w:rsidRDefault="002A54C6">
      <w:pPr>
        <w:pStyle w:val="BodyText"/>
        <w:spacing w:before="158" w:line="256" w:lineRule="auto"/>
        <w:ind w:left="448" w:right="733"/>
        <w:jc w:val="both"/>
      </w:pPr>
    </w:p>
    <w:p w:rsidR="00E65E24" w:rsidRDefault="00E65E24">
      <w:pPr>
        <w:pStyle w:val="BodyText"/>
        <w:spacing w:before="158" w:line="256" w:lineRule="auto"/>
        <w:ind w:left="448" w:right="733"/>
        <w:jc w:val="both"/>
      </w:pPr>
    </w:p>
    <w:p w:rsidR="008F0C52" w:rsidRPr="007F3CE2" w:rsidRDefault="00000000">
      <w:pPr>
        <w:pStyle w:val="Heading1"/>
        <w:spacing w:before="243"/>
        <w:rPr>
          <w:color w:val="984806" w:themeColor="accent6" w:themeShade="80"/>
        </w:rPr>
      </w:pPr>
      <w:r w:rsidRPr="007F3CE2">
        <w:rPr>
          <w:color w:val="984806" w:themeColor="accent6" w:themeShade="80"/>
        </w:rPr>
        <w:t>Communication</w:t>
      </w:r>
      <w:r w:rsidRPr="007F3CE2">
        <w:rPr>
          <w:color w:val="984806" w:themeColor="accent6" w:themeShade="80"/>
          <w:spacing w:val="-9"/>
        </w:rPr>
        <w:t xml:space="preserve"> </w:t>
      </w:r>
      <w:r w:rsidRPr="007F3CE2">
        <w:rPr>
          <w:color w:val="984806" w:themeColor="accent6" w:themeShade="80"/>
        </w:rPr>
        <w:t>of</w:t>
      </w:r>
      <w:r w:rsidRPr="0017134D">
        <w:rPr>
          <w:color w:val="984806" w:themeColor="accent6" w:themeShade="80"/>
        </w:rPr>
        <w:t xml:space="preserve"> </w:t>
      </w:r>
      <w:r w:rsidR="00164CAF" w:rsidRPr="0017134D">
        <w:rPr>
          <w:color w:val="984806" w:themeColor="accent6" w:themeShade="80"/>
        </w:rPr>
        <w:t>Fees &amp; Charges</w:t>
      </w:r>
    </w:p>
    <w:p w:rsidR="008F0C52" w:rsidRDefault="00164CAF" w:rsidP="0054530C">
      <w:pPr>
        <w:pStyle w:val="BodyText"/>
        <w:numPr>
          <w:ilvl w:val="0"/>
          <w:numId w:val="3"/>
        </w:numPr>
        <w:spacing w:before="31" w:line="256" w:lineRule="auto"/>
        <w:ind w:right="733"/>
        <w:jc w:val="both"/>
        <w:rPr>
          <w:color w:val="374151"/>
        </w:rPr>
      </w:pPr>
      <w:r>
        <w:rPr>
          <w:color w:val="374151"/>
        </w:rPr>
        <w:t>Fees &amp; Charges applicable to each financial product will be clearly communicated to customers before the loan agreement is finalized. Any changes to the schedule of fees &amp; charges during the loan tenure will be communicated in accordance with regulatory requirements.</w:t>
      </w:r>
    </w:p>
    <w:p w:rsidR="0054530C" w:rsidRDefault="0054530C">
      <w:pPr>
        <w:pStyle w:val="BodyText"/>
        <w:spacing w:before="31" w:line="256" w:lineRule="auto"/>
        <w:ind w:left="448" w:right="733"/>
        <w:jc w:val="both"/>
        <w:rPr>
          <w:color w:val="374151"/>
        </w:rPr>
      </w:pPr>
    </w:p>
    <w:p w:rsidR="0054530C" w:rsidRDefault="0054530C" w:rsidP="0054530C">
      <w:pPr>
        <w:pStyle w:val="BodyText"/>
        <w:numPr>
          <w:ilvl w:val="0"/>
          <w:numId w:val="3"/>
        </w:numPr>
        <w:spacing w:before="31" w:line="256" w:lineRule="auto"/>
        <w:ind w:right="733"/>
        <w:jc w:val="both"/>
        <w:rPr>
          <w:color w:val="374151"/>
        </w:rPr>
      </w:pPr>
      <w:r w:rsidRPr="0054530C">
        <w:rPr>
          <w:color w:val="374151"/>
        </w:rPr>
        <w:t xml:space="preserve">The quantum and reason for penal charges shall be clearly disclosed by </w:t>
      </w:r>
      <w:r w:rsidR="00291635">
        <w:rPr>
          <w:color w:val="374151"/>
        </w:rPr>
        <w:t xml:space="preserve">the </w:t>
      </w:r>
      <w:r w:rsidRPr="0054530C">
        <w:rPr>
          <w:color w:val="374151"/>
        </w:rPr>
        <w:t>NBFCs to the customers in the loan agreement and most important terms &amp; conditions/Key Fact Statement (KFS) as, in addition to being displayed on websites of NBFCs under Interest rates and Service Charges.</w:t>
      </w:r>
    </w:p>
    <w:p w:rsidR="008F4F27" w:rsidRDefault="008F4F27">
      <w:pPr>
        <w:pStyle w:val="BodyText"/>
        <w:spacing w:before="31" w:line="256" w:lineRule="auto"/>
        <w:ind w:left="448" w:right="733"/>
        <w:jc w:val="both"/>
      </w:pPr>
    </w:p>
    <w:p w:rsidR="00E65E24" w:rsidRDefault="0054530C" w:rsidP="0054530C">
      <w:pPr>
        <w:pStyle w:val="BodyText"/>
        <w:numPr>
          <w:ilvl w:val="0"/>
          <w:numId w:val="3"/>
        </w:numPr>
        <w:spacing w:before="31" w:line="256" w:lineRule="auto"/>
        <w:ind w:right="733"/>
        <w:jc w:val="both"/>
      </w:pPr>
      <w:r w:rsidRPr="0054530C">
        <w:t>Whenever reminders for non-compliance of material terms and conditions of loan are sent to borrowers, the penal charges shall be communicated. Further, any instance of levy of penal charges and the reason therefor shall also be communicated</w:t>
      </w:r>
      <w:r w:rsidR="00291635">
        <w:t>.</w:t>
      </w:r>
    </w:p>
    <w:p w:rsidR="00291635" w:rsidRDefault="00291635" w:rsidP="00291635">
      <w:pPr>
        <w:pStyle w:val="ListParagraph"/>
      </w:pPr>
    </w:p>
    <w:p w:rsidR="00291635" w:rsidRDefault="00291635" w:rsidP="0054530C">
      <w:pPr>
        <w:pStyle w:val="BodyText"/>
        <w:numPr>
          <w:ilvl w:val="0"/>
          <w:numId w:val="3"/>
        </w:numPr>
        <w:spacing w:before="31" w:line="256" w:lineRule="auto"/>
        <w:ind w:right="733"/>
        <w:jc w:val="both"/>
      </w:pPr>
      <w:r>
        <w:t xml:space="preserve">The </w:t>
      </w:r>
      <w:r w:rsidRPr="00291635">
        <w:t xml:space="preserve">NBFCs shall give notice to the borrower in the vernacular language or a language as understood by the borrower of any change in the terms and conditions including disbursement schedule, interest rates, service charges, prepayment charges etc. </w:t>
      </w:r>
      <w:r>
        <w:t xml:space="preserve">The </w:t>
      </w:r>
      <w:r w:rsidRPr="00291635">
        <w:t xml:space="preserve">NBFCs shall also ensure that changes in interest rates and charges are affected only prospectively. A suitable condition in this regard </w:t>
      </w:r>
      <w:r>
        <w:t>will</w:t>
      </w:r>
      <w:r w:rsidRPr="00291635">
        <w:t xml:space="preserve"> be incorporated in the loan agreement.</w:t>
      </w:r>
    </w:p>
    <w:p w:rsidR="004459F7" w:rsidRDefault="004459F7">
      <w:pPr>
        <w:pStyle w:val="Heading1"/>
        <w:spacing w:before="244"/>
        <w:rPr>
          <w:color w:val="984806" w:themeColor="accent6" w:themeShade="80"/>
        </w:rPr>
      </w:pPr>
      <w:bookmarkStart w:id="1" w:name="_bookmark3"/>
      <w:bookmarkEnd w:id="1"/>
    </w:p>
    <w:p w:rsidR="004459F7" w:rsidRDefault="004459F7">
      <w:pPr>
        <w:pStyle w:val="Heading1"/>
        <w:spacing w:before="244"/>
        <w:rPr>
          <w:color w:val="984806" w:themeColor="accent6" w:themeShade="80"/>
        </w:rPr>
      </w:pPr>
    </w:p>
    <w:p w:rsidR="008F0C52" w:rsidRPr="007F3CE2" w:rsidRDefault="00000000">
      <w:pPr>
        <w:pStyle w:val="Heading1"/>
        <w:spacing w:before="244"/>
        <w:rPr>
          <w:color w:val="984806" w:themeColor="accent6" w:themeShade="80"/>
        </w:rPr>
      </w:pPr>
      <w:r w:rsidRPr="007F3CE2">
        <w:rPr>
          <w:color w:val="984806" w:themeColor="accent6" w:themeShade="80"/>
        </w:rPr>
        <w:t>Review</w:t>
      </w:r>
      <w:r w:rsidRPr="007F3CE2">
        <w:rPr>
          <w:color w:val="984806" w:themeColor="accent6" w:themeShade="80"/>
          <w:spacing w:val="-4"/>
        </w:rPr>
        <w:t xml:space="preserve"> </w:t>
      </w:r>
      <w:r w:rsidRPr="007F3CE2">
        <w:rPr>
          <w:color w:val="984806" w:themeColor="accent6" w:themeShade="80"/>
        </w:rPr>
        <w:t>&amp;</w:t>
      </w:r>
      <w:r w:rsidRPr="007F3CE2">
        <w:rPr>
          <w:color w:val="984806" w:themeColor="accent6" w:themeShade="80"/>
          <w:spacing w:val="-3"/>
        </w:rPr>
        <w:t xml:space="preserve"> </w:t>
      </w:r>
      <w:r w:rsidRPr="007F3CE2">
        <w:rPr>
          <w:color w:val="984806" w:themeColor="accent6" w:themeShade="80"/>
          <w:spacing w:val="-2"/>
        </w:rPr>
        <w:t>Revision</w:t>
      </w:r>
    </w:p>
    <w:p w:rsidR="008F0C52" w:rsidRDefault="007F3CE2">
      <w:pPr>
        <w:pStyle w:val="BodyText"/>
        <w:spacing w:before="31" w:line="261" w:lineRule="auto"/>
        <w:ind w:left="448" w:right="731"/>
        <w:jc w:val="both"/>
      </w:pPr>
      <w:r>
        <w:rPr>
          <w:color w:val="374151"/>
        </w:rPr>
        <w:t xml:space="preserve">CFPL will periodically review and, if necessary, revise its </w:t>
      </w:r>
      <w:r w:rsidR="00164CAF">
        <w:rPr>
          <w:color w:val="374151"/>
        </w:rPr>
        <w:t>schedule of charges</w:t>
      </w:r>
      <w:r>
        <w:rPr>
          <w:color w:val="374151"/>
        </w:rPr>
        <w:t xml:space="preserve"> to align with regulatory changes, market conditions, and internal considerations.</w:t>
      </w:r>
      <w:r w:rsidR="00164CAF">
        <w:rPr>
          <w:color w:val="374151"/>
        </w:rPr>
        <w:t xml:space="preserve"> The revisions will be presented to the board of directors and implemented as approved.</w:t>
      </w:r>
    </w:p>
    <w:p w:rsidR="008F0C52" w:rsidRDefault="008F0C52">
      <w:pPr>
        <w:pStyle w:val="BodyText"/>
        <w:spacing w:before="65"/>
        <w:rPr>
          <w:sz w:val="20"/>
        </w:rPr>
      </w:pPr>
    </w:p>
    <w:p w:rsidR="008F0C52" w:rsidRDefault="008F0C52">
      <w:pPr>
        <w:pStyle w:val="BodyText"/>
        <w:spacing w:before="75"/>
        <w:rPr>
          <w:sz w:val="32"/>
        </w:rPr>
      </w:pPr>
    </w:p>
    <w:p w:rsidR="008F0C52" w:rsidRPr="007F3CE2" w:rsidRDefault="00000000">
      <w:pPr>
        <w:pStyle w:val="Heading1"/>
        <w:jc w:val="both"/>
        <w:rPr>
          <w:color w:val="984806" w:themeColor="accent6" w:themeShade="80"/>
        </w:rPr>
      </w:pPr>
      <w:bookmarkStart w:id="2" w:name="_bookmark4"/>
      <w:bookmarkEnd w:id="2"/>
      <w:r w:rsidRPr="007F3CE2">
        <w:rPr>
          <w:color w:val="984806" w:themeColor="accent6" w:themeShade="80"/>
        </w:rPr>
        <w:t>Grievance</w:t>
      </w:r>
      <w:r w:rsidRPr="007F3CE2">
        <w:rPr>
          <w:color w:val="984806" w:themeColor="accent6" w:themeShade="80"/>
          <w:spacing w:val="-13"/>
        </w:rPr>
        <w:t xml:space="preserve"> </w:t>
      </w:r>
      <w:r w:rsidRPr="007F3CE2">
        <w:rPr>
          <w:color w:val="984806" w:themeColor="accent6" w:themeShade="80"/>
          <w:spacing w:val="-2"/>
        </w:rPr>
        <w:t>Redressal</w:t>
      </w:r>
    </w:p>
    <w:p w:rsidR="008F0C52" w:rsidRDefault="00000000">
      <w:pPr>
        <w:pStyle w:val="BodyText"/>
        <w:spacing w:before="36" w:line="256" w:lineRule="auto"/>
        <w:ind w:left="448" w:right="743"/>
        <w:jc w:val="both"/>
      </w:pPr>
      <w:r>
        <w:rPr>
          <w:color w:val="374151"/>
        </w:rPr>
        <w:t xml:space="preserve">Customers are encouraged to bring any concerns or grievances related to </w:t>
      </w:r>
      <w:r w:rsidR="00164CAF">
        <w:rPr>
          <w:color w:val="374151"/>
        </w:rPr>
        <w:t>Fees &amp; Charges</w:t>
      </w:r>
      <w:r>
        <w:rPr>
          <w:color w:val="374151"/>
        </w:rPr>
        <w:t xml:space="preserve"> to the attention of </w:t>
      </w:r>
      <w:r w:rsidR="007F3CE2">
        <w:rPr>
          <w:color w:val="374151"/>
        </w:rPr>
        <w:t>CFPL</w:t>
      </w:r>
      <w:r>
        <w:rPr>
          <w:color w:val="374151"/>
        </w:rPr>
        <w:t xml:space="preserve"> through our established grievance redressal mechanism.</w:t>
      </w:r>
    </w:p>
    <w:p w:rsidR="008F0C52" w:rsidRDefault="00000000">
      <w:pPr>
        <w:pStyle w:val="BodyText"/>
        <w:spacing w:before="165" w:line="259" w:lineRule="auto"/>
        <w:ind w:left="448" w:right="729"/>
        <w:jc w:val="both"/>
      </w:pPr>
      <w:r>
        <w:rPr>
          <w:color w:val="374151"/>
        </w:rPr>
        <w:t>This</w:t>
      </w:r>
      <w:r>
        <w:rPr>
          <w:color w:val="374151"/>
          <w:spacing w:val="-4"/>
        </w:rPr>
        <w:t xml:space="preserve"> </w:t>
      </w:r>
      <w:r>
        <w:rPr>
          <w:color w:val="374151"/>
        </w:rPr>
        <w:t>Interest</w:t>
      </w:r>
      <w:r>
        <w:rPr>
          <w:color w:val="374151"/>
          <w:spacing w:val="-6"/>
        </w:rPr>
        <w:t xml:space="preserve"> </w:t>
      </w:r>
      <w:r>
        <w:rPr>
          <w:color w:val="374151"/>
        </w:rPr>
        <w:t>Rate</w:t>
      </w:r>
      <w:r>
        <w:rPr>
          <w:color w:val="374151"/>
          <w:spacing w:val="-4"/>
        </w:rPr>
        <w:t xml:space="preserve"> </w:t>
      </w:r>
      <w:r>
        <w:rPr>
          <w:color w:val="374151"/>
        </w:rPr>
        <w:t>Policy</w:t>
      </w:r>
      <w:r>
        <w:rPr>
          <w:color w:val="374151"/>
          <w:spacing w:val="-8"/>
        </w:rPr>
        <w:t xml:space="preserve"> </w:t>
      </w:r>
      <w:r>
        <w:rPr>
          <w:color w:val="374151"/>
        </w:rPr>
        <w:t>is</w:t>
      </w:r>
      <w:r>
        <w:rPr>
          <w:color w:val="374151"/>
          <w:spacing w:val="-4"/>
        </w:rPr>
        <w:t xml:space="preserve"> </w:t>
      </w:r>
      <w:r>
        <w:rPr>
          <w:color w:val="374151"/>
        </w:rPr>
        <w:t>designed</w:t>
      </w:r>
      <w:r>
        <w:rPr>
          <w:color w:val="374151"/>
          <w:spacing w:val="-5"/>
        </w:rPr>
        <w:t xml:space="preserve"> </w:t>
      </w:r>
      <w:r>
        <w:rPr>
          <w:color w:val="374151"/>
        </w:rPr>
        <w:t>to</w:t>
      </w:r>
      <w:r>
        <w:rPr>
          <w:color w:val="374151"/>
          <w:spacing w:val="-5"/>
        </w:rPr>
        <w:t xml:space="preserve"> </w:t>
      </w:r>
      <w:r>
        <w:rPr>
          <w:color w:val="374151"/>
        </w:rPr>
        <w:t>ensure</w:t>
      </w:r>
      <w:r>
        <w:rPr>
          <w:color w:val="374151"/>
          <w:spacing w:val="-4"/>
        </w:rPr>
        <w:t xml:space="preserve"> </w:t>
      </w:r>
      <w:r>
        <w:rPr>
          <w:color w:val="374151"/>
        </w:rPr>
        <w:t>transparency,</w:t>
      </w:r>
      <w:r>
        <w:rPr>
          <w:color w:val="374151"/>
          <w:spacing w:val="-2"/>
        </w:rPr>
        <w:t xml:space="preserve"> </w:t>
      </w:r>
      <w:r>
        <w:rPr>
          <w:color w:val="374151"/>
        </w:rPr>
        <w:t>fairness,</w:t>
      </w:r>
      <w:r>
        <w:rPr>
          <w:color w:val="374151"/>
          <w:spacing w:val="-2"/>
        </w:rPr>
        <w:t xml:space="preserve"> </w:t>
      </w:r>
      <w:r>
        <w:rPr>
          <w:color w:val="374151"/>
        </w:rPr>
        <w:t>and</w:t>
      </w:r>
      <w:r>
        <w:rPr>
          <w:color w:val="374151"/>
          <w:spacing w:val="-5"/>
        </w:rPr>
        <w:t xml:space="preserve"> </w:t>
      </w:r>
      <w:r>
        <w:rPr>
          <w:color w:val="374151"/>
        </w:rPr>
        <w:t>compliance</w:t>
      </w:r>
      <w:r>
        <w:rPr>
          <w:color w:val="374151"/>
          <w:spacing w:val="-4"/>
        </w:rPr>
        <w:t xml:space="preserve"> </w:t>
      </w:r>
      <w:r>
        <w:rPr>
          <w:color w:val="374151"/>
        </w:rPr>
        <w:t>with</w:t>
      </w:r>
      <w:r>
        <w:rPr>
          <w:color w:val="374151"/>
          <w:spacing w:val="-5"/>
        </w:rPr>
        <w:t xml:space="preserve"> </w:t>
      </w:r>
      <w:r>
        <w:rPr>
          <w:color w:val="374151"/>
        </w:rPr>
        <w:t xml:space="preserve">regulatory standards. </w:t>
      </w:r>
      <w:r w:rsidR="007F3CE2">
        <w:rPr>
          <w:color w:val="374151"/>
        </w:rPr>
        <w:t>CFPL</w:t>
      </w:r>
      <w:r>
        <w:rPr>
          <w:color w:val="374151"/>
        </w:rPr>
        <w:t xml:space="preserve"> remains committed to providing responsible financial solutions to our </w:t>
      </w:r>
      <w:r>
        <w:rPr>
          <w:color w:val="374151"/>
          <w:spacing w:val="-2"/>
        </w:rPr>
        <w:t>customers</w:t>
      </w:r>
    </w:p>
    <w:sectPr w:rsidR="008F0C52">
      <w:pgSz w:w="11910" w:h="16840"/>
      <w:pgMar w:top="960" w:right="708" w:bottom="1220" w:left="992" w:header="752" w:footer="1026"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2540" w:rsidRDefault="00C72540">
      <w:r>
        <w:separator/>
      </w:r>
    </w:p>
  </w:endnote>
  <w:endnote w:type="continuationSeparator" w:id="0">
    <w:p w:rsidR="00C72540" w:rsidRDefault="00C72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6372939"/>
      <w:docPartObj>
        <w:docPartGallery w:val="Page Numbers (Bottom of Page)"/>
        <w:docPartUnique/>
      </w:docPartObj>
    </w:sdtPr>
    <w:sdtContent>
      <w:sdt>
        <w:sdtPr>
          <w:id w:val="1728636285"/>
          <w:docPartObj>
            <w:docPartGallery w:val="Page Numbers (Top of Page)"/>
            <w:docPartUnique/>
          </w:docPartObj>
        </w:sdtPr>
        <w:sdtContent>
          <w:p w:rsidR="0017134D" w:rsidRDefault="0017134D" w:rsidP="0017134D">
            <w:r w:rsidRPr="0017134D">
              <w:rPr>
                <w:rFonts w:ascii="Times New Roman" w:eastAsia="Times New Roman" w:hAnsi="Times New Roman" w:cs="Times New Roman"/>
                <w:b/>
                <w:bCs/>
                <w:sz w:val="28"/>
                <w:szCs w:val="28"/>
              </w:rPr>
              <w:t>Schedule of Fees &amp; Charges</w:t>
            </w:r>
            <w:r>
              <w:rPr>
                <w:rFonts w:ascii="Times New Roman" w:eastAsia="Times New Roman" w:hAnsi="Times New Roman" w:cs="Times New Roman"/>
                <w:b/>
                <w:bCs/>
                <w:sz w:val="28"/>
                <w:szCs w:val="28"/>
              </w:rPr>
              <w:t xml:space="preserve">                                                                               </w:t>
            </w: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8F0C52" w:rsidRDefault="008F0C5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2540" w:rsidRDefault="00C72540">
      <w:r>
        <w:separator/>
      </w:r>
    </w:p>
  </w:footnote>
  <w:footnote w:type="continuationSeparator" w:id="0">
    <w:p w:rsidR="00C72540" w:rsidRDefault="00C725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F0C52" w:rsidRDefault="008F0C52">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203B7"/>
    <w:multiLevelType w:val="hybridMultilevel"/>
    <w:tmpl w:val="FD66BB46"/>
    <w:lvl w:ilvl="0" w:tplc="06F8AA22">
      <w:numFmt w:val="bullet"/>
      <w:lvlText w:val=""/>
      <w:lvlJc w:val="left"/>
      <w:pPr>
        <w:ind w:left="1169" w:hanging="361"/>
      </w:pPr>
      <w:rPr>
        <w:rFonts w:ascii="Symbol" w:eastAsia="Symbol" w:hAnsi="Symbol" w:cs="Symbol" w:hint="default"/>
        <w:b w:val="0"/>
        <w:bCs w:val="0"/>
        <w:i w:val="0"/>
        <w:iCs w:val="0"/>
        <w:color w:val="374151"/>
        <w:spacing w:val="0"/>
        <w:w w:val="100"/>
        <w:sz w:val="22"/>
        <w:szCs w:val="22"/>
        <w:lang w:val="en-US" w:eastAsia="en-US" w:bidi="ar-SA"/>
      </w:rPr>
    </w:lvl>
    <w:lvl w:ilvl="1" w:tplc="8A50BBC0">
      <w:numFmt w:val="bullet"/>
      <w:lvlText w:val="•"/>
      <w:lvlJc w:val="left"/>
      <w:pPr>
        <w:ind w:left="2064" w:hanging="361"/>
      </w:pPr>
      <w:rPr>
        <w:rFonts w:hint="default"/>
        <w:lang w:val="en-US" w:eastAsia="en-US" w:bidi="ar-SA"/>
      </w:rPr>
    </w:lvl>
    <w:lvl w:ilvl="2" w:tplc="360CB3C6">
      <w:numFmt w:val="bullet"/>
      <w:lvlText w:val="•"/>
      <w:lvlJc w:val="left"/>
      <w:pPr>
        <w:ind w:left="2968" w:hanging="361"/>
      </w:pPr>
      <w:rPr>
        <w:rFonts w:hint="default"/>
        <w:lang w:val="en-US" w:eastAsia="en-US" w:bidi="ar-SA"/>
      </w:rPr>
    </w:lvl>
    <w:lvl w:ilvl="3" w:tplc="33B621B6">
      <w:numFmt w:val="bullet"/>
      <w:lvlText w:val="•"/>
      <w:lvlJc w:val="left"/>
      <w:pPr>
        <w:ind w:left="3873" w:hanging="361"/>
      </w:pPr>
      <w:rPr>
        <w:rFonts w:hint="default"/>
        <w:lang w:val="en-US" w:eastAsia="en-US" w:bidi="ar-SA"/>
      </w:rPr>
    </w:lvl>
    <w:lvl w:ilvl="4" w:tplc="96F4A556">
      <w:numFmt w:val="bullet"/>
      <w:lvlText w:val="•"/>
      <w:lvlJc w:val="left"/>
      <w:pPr>
        <w:ind w:left="4777" w:hanging="361"/>
      </w:pPr>
      <w:rPr>
        <w:rFonts w:hint="default"/>
        <w:lang w:val="en-US" w:eastAsia="en-US" w:bidi="ar-SA"/>
      </w:rPr>
    </w:lvl>
    <w:lvl w:ilvl="5" w:tplc="6E34333E">
      <w:numFmt w:val="bullet"/>
      <w:lvlText w:val="•"/>
      <w:lvlJc w:val="left"/>
      <w:pPr>
        <w:ind w:left="5682" w:hanging="361"/>
      </w:pPr>
      <w:rPr>
        <w:rFonts w:hint="default"/>
        <w:lang w:val="en-US" w:eastAsia="en-US" w:bidi="ar-SA"/>
      </w:rPr>
    </w:lvl>
    <w:lvl w:ilvl="6" w:tplc="215AD8B2">
      <w:numFmt w:val="bullet"/>
      <w:lvlText w:val="•"/>
      <w:lvlJc w:val="left"/>
      <w:pPr>
        <w:ind w:left="6586" w:hanging="361"/>
      </w:pPr>
      <w:rPr>
        <w:rFonts w:hint="default"/>
        <w:lang w:val="en-US" w:eastAsia="en-US" w:bidi="ar-SA"/>
      </w:rPr>
    </w:lvl>
    <w:lvl w:ilvl="7" w:tplc="CD1427A4">
      <w:numFmt w:val="bullet"/>
      <w:lvlText w:val="•"/>
      <w:lvlJc w:val="left"/>
      <w:pPr>
        <w:ind w:left="7490" w:hanging="361"/>
      </w:pPr>
      <w:rPr>
        <w:rFonts w:hint="default"/>
        <w:lang w:val="en-US" w:eastAsia="en-US" w:bidi="ar-SA"/>
      </w:rPr>
    </w:lvl>
    <w:lvl w:ilvl="8" w:tplc="11309BEC">
      <w:numFmt w:val="bullet"/>
      <w:lvlText w:val="•"/>
      <w:lvlJc w:val="left"/>
      <w:pPr>
        <w:ind w:left="8395" w:hanging="361"/>
      </w:pPr>
      <w:rPr>
        <w:rFonts w:hint="default"/>
        <w:lang w:val="en-US" w:eastAsia="en-US" w:bidi="ar-SA"/>
      </w:rPr>
    </w:lvl>
  </w:abstractNum>
  <w:abstractNum w:abstractNumId="1" w15:restartNumberingAfterBreak="0">
    <w:nsid w:val="598466E6"/>
    <w:multiLevelType w:val="hybridMultilevel"/>
    <w:tmpl w:val="8348F19A"/>
    <w:lvl w:ilvl="0" w:tplc="40090005">
      <w:start w:val="1"/>
      <w:numFmt w:val="bullet"/>
      <w:lvlText w:val=""/>
      <w:lvlJc w:val="left"/>
      <w:pPr>
        <w:ind w:left="1168" w:hanging="360"/>
      </w:pPr>
      <w:rPr>
        <w:rFonts w:ascii="Wingdings" w:hAnsi="Wingdings" w:hint="default"/>
      </w:rPr>
    </w:lvl>
    <w:lvl w:ilvl="1" w:tplc="40090003" w:tentative="1">
      <w:start w:val="1"/>
      <w:numFmt w:val="bullet"/>
      <w:lvlText w:val="o"/>
      <w:lvlJc w:val="left"/>
      <w:pPr>
        <w:ind w:left="1888" w:hanging="360"/>
      </w:pPr>
      <w:rPr>
        <w:rFonts w:ascii="Courier New" w:hAnsi="Courier New" w:cs="Courier New" w:hint="default"/>
      </w:rPr>
    </w:lvl>
    <w:lvl w:ilvl="2" w:tplc="40090005" w:tentative="1">
      <w:start w:val="1"/>
      <w:numFmt w:val="bullet"/>
      <w:lvlText w:val=""/>
      <w:lvlJc w:val="left"/>
      <w:pPr>
        <w:ind w:left="2608" w:hanging="360"/>
      </w:pPr>
      <w:rPr>
        <w:rFonts w:ascii="Wingdings" w:hAnsi="Wingdings" w:hint="default"/>
      </w:rPr>
    </w:lvl>
    <w:lvl w:ilvl="3" w:tplc="40090001" w:tentative="1">
      <w:start w:val="1"/>
      <w:numFmt w:val="bullet"/>
      <w:lvlText w:val=""/>
      <w:lvlJc w:val="left"/>
      <w:pPr>
        <w:ind w:left="3328" w:hanging="360"/>
      </w:pPr>
      <w:rPr>
        <w:rFonts w:ascii="Symbol" w:hAnsi="Symbol" w:hint="default"/>
      </w:rPr>
    </w:lvl>
    <w:lvl w:ilvl="4" w:tplc="40090003" w:tentative="1">
      <w:start w:val="1"/>
      <w:numFmt w:val="bullet"/>
      <w:lvlText w:val="o"/>
      <w:lvlJc w:val="left"/>
      <w:pPr>
        <w:ind w:left="4048" w:hanging="360"/>
      </w:pPr>
      <w:rPr>
        <w:rFonts w:ascii="Courier New" w:hAnsi="Courier New" w:cs="Courier New" w:hint="default"/>
      </w:rPr>
    </w:lvl>
    <w:lvl w:ilvl="5" w:tplc="40090005" w:tentative="1">
      <w:start w:val="1"/>
      <w:numFmt w:val="bullet"/>
      <w:lvlText w:val=""/>
      <w:lvlJc w:val="left"/>
      <w:pPr>
        <w:ind w:left="4768" w:hanging="360"/>
      </w:pPr>
      <w:rPr>
        <w:rFonts w:ascii="Wingdings" w:hAnsi="Wingdings" w:hint="default"/>
      </w:rPr>
    </w:lvl>
    <w:lvl w:ilvl="6" w:tplc="40090001" w:tentative="1">
      <w:start w:val="1"/>
      <w:numFmt w:val="bullet"/>
      <w:lvlText w:val=""/>
      <w:lvlJc w:val="left"/>
      <w:pPr>
        <w:ind w:left="5488" w:hanging="360"/>
      </w:pPr>
      <w:rPr>
        <w:rFonts w:ascii="Symbol" w:hAnsi="Symbol" w:hint="default"/>
      </w:rPr>
    </w:lvl>
    <w:lvl w:ilvl="7" w:tplc="40090003" w:tentative="1">
      <w:start w:val="1"/>
      <w:numFmt w:val="bullet"/>
      <w:lvlText w:val="o"/>
      <w:lvlJc w:val="left"/>
      <w:pPr>
        <w:ind w:left="6208" w:hanging="360"/>
      </w:pPr>
      <w:rPr>
        <w:rFonts w:ascii="Courier New" w:hAnsi="Courier New" w:cs="Courier New" w:hint="default"/>
      </w:rPr>
    </w:lvl>
    <w:lvl w:ilvl="8" w:tplc="40090005" w:tentative="1">
      <w:start w:val="1"/>
      <w:numFmt w:val="bullet"/>
      <w:lvlText w:val=""/>
      <w:lvlJc w:val="left"/>
      <w:pPr>
        <w:ind w:left="6928" w:hanging="360"/>
      </w:pPr>
      <w:rPr>
        <w:rFonts w:ascii="Wingdings" w:hAnsi="Wingdings" w:hint="default"/>
      </w:rPr>
    </w:lvl>
  </w:abstractNum>
  <w:abstractNum w:abstractNumId="2" w15:restartNumberingAfterBreak="0">
    <w:nsid w:val="59A96503"/>
    <w:multiLevelType w:val="hybridMultilevel"/>
    <w:tmpl w:val="C6CE53F8"/>
    <w:lvl w:ilvl="0" w:tplc="C24A43EA">
      <w:start w:val="1"/>
      <w:numFmt w:val="lowerLetter"/>
      <w:lvlText w:val="%1."/>
      <w:lvlJc w:val="left"/>
      <w:pPr>
        <w:ind w:left="808" w:hanging="360"/>
      </w:pPr>
      <w:rPr>
        <w:rFonts w:hint="default"/>
      </w:rPr>
    </w:lvl>
    <w:lvl w:ilvl="1" w:tplc="40090019" w:tentative="1">
      <w:start w:val="1"/>
      <w:numFmt w:val="lowerLetter"/>
      <w:lvlText w:val="%2."/>
      <w:lvlJc w:val="left"/>
      <w:pPr>
        <w:ind w:left="1528" w:hanging="360"/>
      </w:pPr>
    </w:lvl>
    <w:lvl w:ilvl="2" w:tplc="4009001B" w:tentative="1">
      <w:start w:val="1"/>
      <w:numFmt w:val="lowerRoman"/>
      <w:lvlText w:val="%3."/>
      <w:lvlJc w:val="right"/>
      <w:pPr>
        <w:ind w:left="2248" w:hanging="180"/>
      </w:pPr>
    </w:lvl>
    <w:lvl w:ilvl="3" w:tplc="4009000F" w:tentative="1">
      <w:start w:val="1"/>
      <w:numFmt w:val="decimal"/>
      <w:lvlText w:val="%4."/>
      <w:lvlJc w:val="left"/>
      <w:pPr>
        <w:ind w:left="2968" w:hanging="360"/>
      </w:pPr>
    </w:lvl>
    <w:lvl w:ilvl="4" w:tplc="40090019" w:tentative="1">
      <w:start w:val="1"/>
      <w:numFmt w:val="lowerLetter"/>
      <w:lvlText w:val="%5."/>
      <w:lvlJc w:val="left"/>
      <w:pPr>
        <w:ind w:left="3688" w:hanging="360"/>
      </w:pPr>
    </w:lvl>
    <w:lvl w:ilvl="5" w:tplc="4009001B" w:tentative="1">
      <w:start w:val="1"/>
      <w:numFmt w:val="lowerRoman"/>
      <w:lvlText w:val="%6."/>
      <w:lvlJc w:val="right"/>
      <w:pPr>
        <w:ind w:left="4408" w:hanging="180"/>
      </w:pPr>
    </w:lvl>
    <w:lvl w:ilvl="6" w:tplc="4009000F" w:tentative="1">
      <w:start w:val="1"/>
      <w:numFmt w:val="decimal"/>
      <w:lvlText w:val="%7."/>
      <w:lvlJc w:val="left"/>
      <w:pPr>
        <w:ind w:left="5128" w:hanging="360"/>
      </w:pPr>
    </w:lvl>
    <w:lvl w:ilvl="7" w:tplc="40090019" w:tentative="1">
      <w:start w:val="1"/>
      <w:numFmt w:val="lowerLetter"/>
      <w:lvlText w:val="%8."/>
      <w:lvlJc w:val="left"/>
      <w:pPr>
        <w:ind w:left="5848" w:hanging="360"/>
      </w:pPr>
    </w:lvl>
    <w:lvl w:ilvl="8" w:tplc="4009001B" w:tentative="1">
      <w:start w:val="1"/>
      <w:numFmt w:val="lowerRoman"/>
      <w:lvlText w:val="%9."/>
      <w:lvlJc w:val="right"/>
      <w:pPr>
        <w:ind w:left="6568" w:hanging="180"/>
      </w:pPr>
    </w:lvl>
  </w:abstractNum>
  <w:abstractNum w:abstractNumId="3" w15:restartNumberingAfterBreak="0">
    <w:nsid w:val="65C4685C"/>
    <w:multiLevelType w:val="hybridMultilevel"/>
    <w:tmpl w:val="A88232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87084425">
    <w:abstractNumId w:val="0"/>
  </w:num>
  <w:num w:numId="2" w16cid:durableId="1986155904">
    <w:abstractNumId w:val="1"/>
  </w:num>
  <w:num w:numId="3" w16cid:durableId="1708293607">
    <w:abstractNumId w:val="2"/>
  </w:num>
  <w:num w:numId="4" w16cid:durableId="11338675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F0C52"/>
    <w:rsid w:val="000012C6"/>
    <w:rsid w:val="00164CAF"/>
    <w:rsid w:val="0017134D"/>
    <w:rsid w:val="00270279"/>
    <w:rsid w:val="00291635"/>
    <w:rsid w:val="002A54C6"/>
    <w:rsid w:val="002B697E"/>
    <w:rsid w:val="002D4C06"/>
    <w:rsid w:val="00311025"/>
    <w:rsid w:val="004459F7"/>
    <w:rsid w:val="0054530C"/>
    <w:rsid w:val="005F20FD"/>
    <w:rsid w:val="006B6A01"/>
    <w:rsid w:val="00744572"/>
    <w:rsid w:val="007900A1"/>
    <w:rsid w:val="007A523D"/>
    <w:rsid w:val="007F3CE2"/>
    <w:rsid w:val="00852D10"/>
    <w:rsid w:val="008F0C52"/>
    <w:rsid w:val="008F4F27"/>
    <w:rsid w:val="00907033"/>
    <w:rsid w:val="00A0413F"/>
    <w:rsid w:val="00A14D3C"/>
    <w:rsid w:val="00A156B9"/>
    <w:rsid w:val="00A6475A"/>
    <w:rsid w:val="00B359BE"/>
    <w:rsid w:val="00B65A31"/>
    <w:rsid w:val="00C277DC"/>
    <w:rsid w:val="00C72540"/>
    <w:rsid w:val="00D269F7"/>
    <w:rsid w:val="00E65E24"/>
    <w:rsid w:val="00F0048B"/>
    <w:rsid w:val="00F960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76534"/>
  <w15:docId w15:val="{F781DA0B-479B-4E14-8A99-25AF27AE2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48"/>
      <w:outlineLvl w:val="0"/>
    </w:pPr>
    <w:rPr>
      <w:b/>
      <w:bCs/>
      <w:sz w:val="32"/>
      <w:szCs w:val="32"/>
    </w:rPr>
  </w:style>
  <w:style w:type="paragraph" w:styleId="Heading2">
    <w:name w:val="heading 2"/>
    <w:basedOn w:val="Normal"/>
    <w:uiPriority w:val="9"/>
    <w:unhideWhenUsed/>
    <w:qFormat/>
    <w:pPr>
      <w:ind w:left="448"/>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448"/>
    </w:pPr>
  </w:style>
  <w:style w:type="paragraph" w:styleId="BodyText">
    <w:name w:val="Body Text"/>
    <w:basedOn w:val="Normal"/>
    <w:uiPriority w:val="1"/>
    <w:qFormat/>
  </w:style>
  <w:style w:type="paragraph" w:styleId="ListParagraph">
    <w:name w:val="List Paragraph"/>
    <w:basedOn w:val="Normal"/>
    <w:uiPriority w:val="1"/>
    <w:qFormat/>
    <w:pPr>
      <w:spacing w:before="4"/>
      <w:ind w:left="1168" w:right="721" w:hanging="361"/>
      <w:jc w:val="both"/>
    </w:pPr>
  </w:style>
  <w:style w:type="paragraph" w:customStyle="1" w:styleId="TableParagraph">
    <w:name w:val="Table Paragraph"/>
    <w:basedOn w:val="Normal"/>
    <w:uiPriority w:val="1"/>
    <w:qFormat/>
    <w:pPr>
      <w:spacing w:before="1"/>
      <w:ind w:left="105"/>
    </w:pPr>
  </w:style>
  <w:style w:type="paragraph" w:styleId="Header">
    <w:name w:val="header"/>
    <w:basedOn w:val="Normal"/>
    <w:link w:val="HeaderChar"/>
    <w:uiPriority w:val="99"/>
    <w:unhideWhenUsed/>
    <w:rsid w:val="007F3CE2"/>
    <w:pPr>
      <w:tabs>
        <w:tab w:val="center" w:pos="4513"/>
        <w:tab w:val="right" w:pos="9026"/>
      </w:tabs>
    </w:pPr>
  </w:style>
  <w:style w:type="character" w:customStyle="1" w:styleId="HeaderChar">
    <w:name w:val="Header Char"/>
    <w:basedOn w:val="DefaultParagraphFont"/>
    <w:link w:val="Header"/>
    <w:uiPriority w:val="99"/>
    <w:rsid w:val="007F3CE2"/>
    <w:rPr>
      <w:rFonts w:ascii="Calibri" w:eastAsia="Calibri" w:hAnsi="Calibri" w:cs="Calibri"/>
    </w:rPr>
  </w:style>
  <w:style w:type="paragraph" w:styleId="Footer">
    <w:name w:val="footer"/>
    <w:basedOn w:val="Normal"/>
    <w:link w:val="FooterChar"/>
    <w:uiPriority w:val="99"/>
    <w:unhideWhenUsed/>
    <w:rsid w:val="007F3CE2"/>
    <w:pPr>
      <w:tabs>
        <w:tab w:val="center" w:pos="4513"/>
        <w:tab w:val="right" w:pos="9026"/>
      </w:tabs>
    </w:pPr>
  </w:style>
  <w:style w:type="character" w:customStyle="1" w:styleId="FooterChar">
    <w:name w:val="Footer Char"/>
    <w:basedOn w:val="DefaultParagraphFont"/>
    <w:link w:val="Footer"/>
    <w:uiPriority w:val="99"/>
    <w:rsid w:val="007F3CE2"/>
    <w:rPr>
      <w:rFonts w:ascii="Calibri" w:eastAsia="Calibri" w:hAnsi="Calibri" w:cs="Calibri"/>
    </w:rPr>
  </w:style>
  <w:style w:type="table" w:styleId="TableGrid">
    <w:name w:val="Table Grid"/>
    <w:basedOn w:val="TableNormal"/>
    <w:uiPriority w:val="39"/>
    <w:rsid w:val="002A54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C277DC"/>
    <w:pPr>
      <w:ind w:left="1265" w:hanging="3270"/>
    </w:pPr>
    <w:rPr>
      <w:rFonts w:ascii="Times New Roman" w:eastAsia="Times New Roman" w:hAnsi="Times New Roman" w:cs="Times New Roman"/>
      <w:b/>
      <w:bCs/>
      <w:sz w:val="40"/>
      <w:szCs w:val="40"/>
    </w:rPr>
  </w:style>
  <w:style w:type="character" w:customStyle="1" w:styleId="TitleChar">
    <w:name w:val="Title Char"/>
    <w:basedOn w:val="DefaultParagraphFont"/>
    <w:link w:val="Title"/>
    <w:uiPriority w:val="10"/>
    <w:rsid w:val="00C277DC"/>
    <w:rPr>
      <w:rFonts w:ascii="Times New Roman" w:eastAsia="Times New Roman" w:hAnsi="Times New Roman" w:cs="Times New Roman"/>
      <w:b/>
      <w:bCs/>
      <w:sz w:val="40"/>
      <w:szCs w:val="40"/>
    </w:rPr>
  </w:style>
  <w:style w:type="character" w:styleId="Hyperlink">
    <w:name w:val="Hyperlink"/>
    <w:basedOn w:val="DefaultParagraphFont"/>
    <w:uiPriority w:val="99"/>
    <w:unhideWhenUsed/>
    <w:rsid w:val="00A14D3C"/>
    <w:rPr>
      <w:color w:val="0000FF" w:themeColor="hyperlink"/>
      <w:u w:val="single"/>
    </w:rPr>
  </w:style>
  <w:style w:type="character" w:styleId="UnresolvedMention">
    <w:name w:val="Unresolved Mention"/>
    <w:basedOn w:val="DefaultParagraphFont"/>
    <w:uiPriority w:val="99"/>
    <w:semiHidden/>
    <w:unhideWhenUsed/>
    <w:rsid w:val="00A14D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5</Pages>
  <Words>1027</Words>
  <Characters>5859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 Korti</dc:creator>
  <cp:lastModifiedBy>Murli Manohar</cp:lastModifiedBy>
  <cp:revision>10</cp:revision>
  <dcterms:created xsi:type="dcterms:W3CDTF">2025-10-02T09:50:00Z</dcterms:created>
  <dcterms:modified xsi:type="dcterms:W3CDTF">2026-02-15T08:02:00Z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2025-05-16T00:00:00Z</vt:filetime>
  </property>
  <property fmtid="{D5CDD505-2E9C-101B-9397-08002B2CF9AE}" pid="3" name="Creator">
    <vt:lpwstr>Microsoft® Word 2021</vt:lpwstr>
  </property>
  <property fmtid="{D5CDD505-2E9C-101B-9397-08002B2CF9AE}" pid="4" name="LastSaved">
    <vt:filetime>2025-10-02T00:00:00Z</vt:filetime>
  </property>
  <property fmtid="{D5CDD505-2E9C-101B-9397-08002B2CF9AE}" pid="5" name="Producer">
    <vt:lpwstr>Microsoft® Word 2021</vt:lpwstr>
  </property>
</Properties>
</file>