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A5AA1" w:rsidRPr="000A5AA1" w:rsidRDefault="000A5AA1" w:rsidP="000A5AA1">
      <w:pPr>
        <w:spacing w:after="0" w:line="240" w:lineRule="auto"/>
        <w:rPr>
          <w:rFonts w:ascii="Arial" w:eastAsia="Times New Roman" w:hAnsi="Arial" w:cs="Arial"/>
          <w:color w:val="0000FF"/>
          <w:kern w:val="0"/>
          <w:shd w:val="clear" w:color="auto" w:fill="FFFFFF"/>
          <w:lang w:val="es-CO" w:eastAsia="es-CO"/>
          <w14:ligatures w14:val="none"/>
        </w:rPr>
      </w:pPr>
      <w:r w:rsidRPr="004D6E49">
        <w:rPr>
          <w:rFonts w:ascii="Arial" w:eastAsia="Times New Roman" w:hAnsi="Arial" w:cs="Arial"/>
          <w:kern w:val="0"/>
          <w:lang w:val="es-CO" w:eastAsia="es-CO"/>
          <w14:ligatures w14:val="none"/>
        </w:rPr>
        <w:fldChar w:fldCharType="begin"/>
      </w:r>
      <w:r w:rsidRPr="000A5AA1">
        <w:rPr>
          <w:rFonts w:ascii="Arial" w:eastAsia="Times New Roman" w:hAnsi="Arial" w:cs="Arial"/>
          <w:kern w:val="0"/>
          <w:lang w:val="es-CO" w:eastAsia="es-CO"/>
          <w14:ligatures w14:val="none"/>
        </w:rPr>
        <w:instrText>HYPERLINK "https://www.corteconstitucional.gov.co/relatoria/2017/C-212-17.htm"</w:instrText>
      </w:r>
      <w:r w:rsidRPr="004D6E49">
        <w:rPr>
          <w:rFonts w:ascii="Arial" w:eastAsia="Times New Roman" w:hAnsi="Arial" w:cs="Arial"/>
          <w:kern w:val="0"/>
          <w:lang w:val="es-CO" w:eastAsia="es-CO"/>
          <w14:ligatures w14:val="none"/>
        </w:rPr>
      </w:r>
      <w:r w:rsidRPr="004D6E49">
        <w:rPr>
          <w:rFonts w:ascii="Arial" w:eastAsia="Times New Roman" w:hAnsi="Arial" w:cs="Arial"/>
          <w:kern w:val="0"/>
          <w:lang w:val="es-CO" w:eastAsia="es-CO"/>
          <w14:ligatures w14:val="none"/>
        </w:rPr>
        <w:fldChar w:fldCharType="separate"/>
      </w:r>
    </w:p>
    <w:p w:rsidR="004D6E49" w:rsidRPr="004D6E49" w:rsidRDefault="000A5AA1" w:rsidP="004D6E49">
      <w:pPr>
        <w:pStyle w:val="NormalWeb"/>
        <w:jc w:val="both"/>
        <w:rPr>
          <w:rFonts w:ascii="Arial" w:hAnsi="Arial" w:cs="Arial"/>
          <w:sz w:val="22"/>
          <w:szCs w:val="22"/>
        </w:rPr>
      </w:pPr>
      <w:r w:rsidRPr="004D6E49">
        <w:rPr>
          <w:rFonts w:ascii="Arial" w:hAnsi="Arial" w:cs="Arial"/>
          <w:sz w:val="22"/>
          <w:szCs w:val="22"/>
        </w:rPr>
        <w:fldChar w:fldCharType="end"/>
      </w:r>
      <w:r w:rsidR="004D6E49">
        <w:rPr>
          <w:rFonts w:ascii="Arial" w:hAnsi="Arial" w:cs="Arial"/>
          <w:sz w:val="22"/>
          <w:szCs w:val="22"/>
        </w:rPr>
        <w:t>Analicemos el</w:t>
      </w:r>
      <w:r w:rsidR="004D6E49" w:rsidRPr="004D6E49">
        <w:rPr>
          <w:rFonts w:ascii="Arial" w:hAnsi="Arial" w:cs="Arial"/>
          <w:sz w:val="22"/>
          <w:szCs w:val="22"/>
        </w:rPr>
        <w:t xml:space="preserve"> caso en el que un policía persigue a un ladrón que ingresa a un inmueble, y el propietario no permite el ingreso de la autoridad, </w:t>
      </w:r>
      <w:r w:rsidR="004D6E49">
        <w:rPr>
          <w:rFonts w:ascii="Arial" w:hAnsi="Arial" w:cs="Arial"/>
          <w:sz w:val="22"/>
          <w:szCs w:val="22"/>
        </w:rPr>
        <w:t>debemos abordarlo</w:t>
      </w:r>
      <w:r w:rsidR="004D6E49" w:rsidRPr="004D6E49">
        <w:rPr>
          <w:rFonts w:ascii="Arial" w:hAnsi="Arial" w:cs="Arial"/>
          <w:sz w:val="22"/>
          <w:szCs w:val="22"/>
        </w:rPr>
        <w:t xml:space="preserve"> a la luz de la </w:t>
      </w:r>
      <w:r w:rsidR="004D6E49" w:rsidRPr="004D6E49">
        <w:rPr>
          <w:rStyle w:val="Textoennegrita"/>
          <w:rFonts w:ascii="Arial" w:hAnsi="Arial" w:cs="Arial"/>
          <w:sz w:val="22"/>
          <w:szCs w:val="22"/>
        </w:rPr>
        <w:t>Constitución Política de Colombia</w:t>
      </w:r>
      <w:r w:rsidR="004D6E49" w:rsidRPr="004D6E49">
        <w:rPr>
          <w:rFonts w:ascii="Arial" w:hAnsi="Arial" w:cs="Arial"/>
          <w:sz w:val="22"/>
          <w:szCs w:val="22"/>
        </w:rPr>
        <w:t xml:space="preserve"> y la jurisprudencia de la </w:t>
      </w:r>
      <w:r w:rsidR="004D6E49" w:rsidRPr="004D6E49">
        <w:rPr>
          <w:rStyle w:val="Textoennegrita"/>
          <w:rFonts w:ascii="Arial" w:hAnsi="Arial" w:cs="Arial"/>
          <w:sz w:val="22"/>
          <w:szCs w:val="22"/>
        </w:rPr>
        <w:t>Corte Constitucional</w:t>
      </w:r>
      <w:r w:rsidR="004D6E49" w:rsidRPr="004D6E49">
        <w:rPr>
          <w:rFonts w:ascii="Arial" w:hAnsi="Arial" w:cs="Arial"/>
          <w:sz w:val="22"/>
          <w:szCs w:val="22"/>
        </w:rPr>
        <w:t xml:space="preserve">. En este caso, el derecho a la </w:t>
      </w:r>
      <w:r w:rsidR="004D6E49" w:rsidRPr="004D6E49">
        <w:rPr>
          <w:rStyle w:val="Textoennegrita"/>
          <w:rFonts w:ascii="Arial" w:hAnsi="Arial" w:cs="Arial"/>
          <w:sz w:val="22"/>
          <w:szCs w:val="22"/>
        </w:rPr>
        <w:t>inviolabilidad del domicilio</w:t>
      </w:r>
      <w:r w:rsidR="004D6E49" w:rsidRPr="004D6E49">
        <w:rPr>
          <w:rFonts w:ascii="Arial" w:hAnsi="Arial" w:cs="Arial"/>
          <w:sz w:val="22"/>
          <w:szCs w:val="22"/>
        </w:rPr>
        <w:t xml:space="preserve"> consagrado en el </w:t>
      </w:r>
      <w:r w:rsidR="004D6E49" w:rsidRPr="004D6E49">
        <w:rPr>
          <w:rStyle w:val="Textoennegrita"/>
          <w:rFonts w:ascii="Arial" w:hAnsi="Arial" w:cs="Arial"/>
          <w:sz w:val="22"/>
          <w:szCs w:val="22"/>
        </w:rPr>
        <w:t>artículo 28</w:t>
      </w:r>
      <w:r w:rsidR="004D6E49" w:rsidRPr="004D6E49">
        <w:rPr>
          <w:rFonts w:ascii="Arial" w:hAnsi="Arial" w:cs="Arial"/>
          <w:sz w:val="22"/>
          <w:szCs w:val="22"/>
        </w:rPr>
        <w:t xml:space="preserve"> de la Constitución se confronta con el deber de la autoridad de garantizar el orden público y proteger los derechos fundamentales de los ciudadanos.</w:t>
      </w:r>
    </w:p>
    <w:p w:rsidR="004D6E49" w:rsidRPr="004D6E49" w:rsidRDefault="004D6E49" w:rsidP="004D6E49">
      <w:pPr>
        <w:pStyle w:val="Ttulo3"/>
        <w:jc w:val="both"/>
        <w:rPr>
          <w:rFonts w:ascii="Arial" w:hAnsi="Arial" w:cs="Arial"/>
          <w:sz w:val="22"/>
          <w:szCs w:val="22"/>
        </w:rPr>
      </w:pPr>
      <w:r w:rsidRPr="004D6E49">
        <w:rPr>
          <w:rFonts w:ascii="Arial" w:hAnsi="Arial" w:cs="Arial"/>
          <w:sz w:val="22"/>
          <w:szCs w:val="22"/>
        </w:rPr>
        <w:t xml:space="preserve">1. </w:t>
      </w:r>
      <w:r w:rsidRPr="004D6E49">
        <w:rPr>
          <w:rStyle w:val="Textoennegrita"/>
          <w:rFonts w:ascii="Arial" w:hAnsi="Arial" w:cs="Arial"/>
          <w:b/>
          <w:bCs/>
          <w:sz w:val="22"/>
          <w:szCs w:val="22"/>
        </w:rPr>
        <w:t>Flagrancia y su relación con la inviolabilidad del domicilio</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La </w:t>
      </w:r>
      <w:r w:rsidRPr="004D6E49">
        <w:rPr>
          <w:rStyle w:val="Textoennegrita"/>
          <w:rFonts w:ascii="Arial" w:hAnsi="Arial" w:cs="Arial"/>
          <w:sz w:val="22"/>
          <w:szCs w:val="22"/>
        </w:rPr>
        <w:t>flagrancia</w:t>
      </w:r>
      <w:r w:rsidRPr="004D6E49">
        <w:rPr>
          <w:rFonts w:ascii="Arial" w:hAnsi="Arial" w:cs="Arial"/>
          <w:sz w:val="22"/>
          <w:szCs w:val="22"/>
        </w:rPr>
        <w:t xml:space="preserve"> es una excepción que permite a las autoridades actuar sin una orden judicial escrita en ciertas circunstancias. El artículo 28 de la Constitución garantiza el derecho a la inviolabilidad del domicilio, estipulando que solo puede ser allanado mediante orden judicial escrita, salvo en casos de flagrancia.</w:t>
      </w:r>
    </w:p>
    <w:p w:rsidR="004D6E49" w:rsidRPr="004D6E49" w:rsidRDefault="004D6E49" w:rsidP="004D6E49">
      <w:pPr>
        <w:pStyle w:val="Ttulo4"/>
        <w:jc w:val="both"/>
        <w:rPr>
          <w:rFonts w:ascii="Arial" w:hAnsi="Arial" w:cs="Arial"/>
        </w:rPr>
      </w:pPr>
      <w:r w:rsidRPr="004D6E49">
        <w:rPr>
          <w:rFonts w:ascii="Arial" w:hAnsi="Arial" w:cs="Arial"/>
        </w:rPr>
        <w:t xml:space="preserve">a) </w:t>
      </w:r>
      <w:r w:rsidRPr="004D6E49">
        <w:rPr>
          <w:rStyle w:val="Textoennegrita"/>
          <w:rFonts w:ascii="Arial" w:hAnsi="Arial" w:cs="Arial"/>
          <w:b w:val="0"/>
          <w:bCs w:val="0"/>
        </w:rPr>
        <w:t>Sentencia C-212 de 2017</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La </w:t>
      </w:r>
      <w:r w:rsidRPr="004D6E49">
        <w:rPr>
          <w:rStyle w:val="Textoennegrita"/>
          <w:rFonts w:ascii="Arial" w:hAnsi="Arial" w:cs="Arial"/>
          <w:sz w:val="22"/>
          <w:szCs w:val="22"/>
        </w:rPr>
        <w:t>Sentencia C-212 de 2017</w:t>
      </w:r>
      <w:r w:rsidRPr="004D6E49">
        <w:rPr>
          <w:rFonts w:ascii="Arial" w:hAnsi="Arial" w:cs="Arial"/>
          <w:sz w:val="22"/>
          <w:szCs w:val="22"/>
        </w:rPr>
        <w:t xml:space="preserve"> aclara que la </w:t>
      </w:r>
      <w:r w:rsidRPr="004D6E49">
        <w:rPr>
          <w:rStyle w:val="Textoennegrita"/>
          <w:rFonts w:ascii="Arial" w:hAnsi="Arial" w:cs="Arial"/>
          <w:sz w:val="22"/>
          <w:szCs w:val="22"/>
        </w:rPr>
        <w:t>inviolabilidad del domicilio</w:t>
      </w:r>
      <w:r w:rsidRPr="004D6E49">
        <w:rPr>
          <w:rFonts w:ascii="Arial" w:hAnsi="Arial" w:cs="Arial"/>
          <w:sz w:val="22"/>
          <w:szCs w:val="22"/>
        </w:rPr>
        <w:t xml:space="preserve"> es un derecho fundamental, pero no es absoluto. En este fallo, la Corte Constitucional ratifica </w:t>
      </w:r>
      <w:proofErr w:type="gramStart"/>
      <w:r w:rsidRPr="004D6E49">
        <w:rPr>
          <w:rFonts w:ascii="Arial" w:hAnsi="Arial" w:cs="Arial"/>
          <w:sz w:val="22"/>
          <w:szCs w:val="22"/>
        </w:rPr>
        <w:t>que</w:t>
      </w:r>
      <w:proofErr w:type="gramEnd"/>
      <w:r w:rsidRPr="004D6E49">
        <w:rPr>
          <w:rFonts w:ascii="Arial" w:hAnsi="Arial" w:cs="Arial"/>
          <w:sz w:val="22"/>
          <w:szCs w:val="22"/>
        </w:rPr>
        <w:t xml:space="preserve"> en situaciones de </w:t>
      </w:r>
      <w:r w:rsidRPr="004D6E49">
        <w:rPr>
          <w:rStyle w:val="Textoennegrita"/>
          <w:rFonts w:ascii="Arial" w:hAnsi="Arial" w:cs="Arial"/>
          <w:sz w:val="22"/>
          <w:szCs w:val="22"/>
        </w:rPr>
        <w:t>flagrancia</w:t>
      </w:r>
      <w:r w:rsidRPr="004D6E49">
        <w:rPr>
          <w:rFonts w:ascii="Arial" w:hAnsi="Arial" w:cs="Arial"/>
          <w:sz w:val="22"/>
          <w:szCs w:val="22"/>
        </w:rPr>
        <w:t>, la autoridad puede ingresar a un inmueble sin orden judicial, siempre que esté persiguiendo a un delincuente que ha sido sorprendido en la comisión de un delito. La flagrancia, en este sentido, justifica la intervención inmediata de la fuerza pública sin necesidad de una autorización judicial previa o del propietario del inmueble. Esto garantiza una respuesta oportuna para evitar que el delito continúe o que se afecten derechos de terceros.</w:t>
      </w:r>
    </w:p>
    <w:p w:rsidR="004D6E49" w:rsidRPr="004D6E49" w:rsidRDefault="004D6E49" w:rsidP="004D6E49">
      <w:pPr>
        <w:pStyle w:val="Ttulo4"/>
        <w:jc w:val="both"/>
        <w:rPr>
          <w:rFonts w:ascii="Arial" w:hAnsi="Arial" w:cs="Arial"/>
        </w:rPr>
      </w:pPr>
      <w:r w:rsidRPr="004D6E49">
        <w:rPr>
          <w:rFonts w:ascii="Arial" w:hAnsi="Arial" w:cs="Arial"/>
        </w:rPr>
        <w:t xml:space="preserve">b) </w:t>
      </w:r>
      <w:r w:rsidRPr="004D6E49">
        <w:rPr>
          <w:rStyle w:val="Textoennegrita"/>
          <w:rFonts w:ascii="Arial" w:hAnsi="Arial" w:cs="Arial"/>
          <w:b w:val="0"/>
          <w:bCs w:val="0"/>
        </w:rPr>
        <w:t>Sentencia C-716 de 2006</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En la </w:t>
      </w:r>
      <w:r w:rsidRPr="004D6E49">
        <w:rPr>
          <w:rStyle w:val="Textoennegrita"/>
          <w:rFonts w:ascii="Arial" w:hAnsi="Arial" w:cs="Arial"/>
          <w:sz w:val="22"/>
          <w:szCs w:val="22"/>
        </w:rPr>
        <w:t>Sentencia C-716 de 2006</w:t>
      </w:r>
      <w:r w:rsidRPr="004D6E49">
        <w:rPr>
          <w:rFonts w:ascii="Arial" w:hAnsi="Arial" w:cs="Arial"/>
          <w:sz w:val="22"/>
          <w:szCs w:val="22"/>
        </w:rPr>
        <w:t xml:space="preserve">, la Corte Constitucional precisó que la actuación de la policía en casos de flagrancia no requiere orden judicial, siempre que sea proporcional y justificada. La Corte enfatizó que la actuación policial debe ser </w:t>
      </w:r>
      <w:r w:rsidRPr="004D6E49">
        <w:rPr>
          <w:rStyle w:val="Textoennegrita"/>
          <w:rFonts w:ascii="Arial" w:hAnsi="Arial" w:cs="Arial"/>
          <w:sz w:val="22"/>
          <w:szCs w:val="22"/>
        </w:rPr>
        <w:t>proporcional</w:t>
      </w:r>
      <w:r w:rsidRPr="004D6E49">
        <w:rPr>
          <w:rFonts w:ascii="Arial" w:hAnsi="Arial" w:cs="Arial"/>
          <w:sz w:val="22"/>
          <w:szCs w:val="22"/>
        </w:rPr>
        <w:t xml:space="preserve"> a la necesidad de detener al delincuente y debe respetar los derechos fundamentales en la mayor medida posible. Este fallo refuerza la idea de que la flagrancia es una </w:t>
      </w:r>
      <w:r w:rsidRPr="004D6E49">
        <w:rPr>
          <w:rStyle w:val="Textoennegrita"/>
          <w:rFonts w:ascii="Arial" w:hAnsi="Arial" w:cs="Arial"/>
          <w:sz w:val="22"/>
          <w:szCs w:val="22"/>
        </w:rPr>
        <w:t>excepción legítima</w:t>
      </w:r>
      <w:r w:rsidRPr="004D6E49">
        <w:rPr>
          <w:rFonts w:ascii="Arial" w:hAnsi="Arial" w:cs="Arial"/>
          <w:sz w:val="22"/>
          <w:szCs w:val="22"/>
        </w:rPr>
        <w:t xml:space="preserve"> al principio de inviolabilidad del domicilio.</w:t>
      </w:r>
    </w:p>
    <w:p w:rsidR="004D6E49" w:rsidRPr="004D6E49" w:rsidRDefault="004D6E49" w:rsidP="004D6E49">
      <w:pPr>
        <w:pStyle w:val="Ttulo4"/>
        <w:jc w:val="both"/>
        <w:rPr>
          <w:rFonts w:ascii="Arial" w:hAnsi="Arial" w:cs="Arial"/>
        </w:rPr>
      </w:pPr>
      <w:r w:rsidRPr="004D6E49">
        <w:rPr>
          <w:rFonts w:ascii="Arial" w:hAnsi="Arial" w:cs="Arial"/>
        </w:rPr>
        <w:t xml:space="preserve">c) </w:t>
      </w:r>
      <w:r w:rsidRPr="004D6E49">
        <w:rPr>
          <w:rStyle w:val="Textoennegrita"/>
          <w:rFonts w:ascii="Arial" w:hAnsi="Arial" w:cs="Arial"/>
          <w:b w:val="0"/>
          <w:bCs w:val="0"/>
        </w:rPr>
        <w:t>Sentencia C-303 de 2019</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La </w:t>
      </w:r>
      <w:r w:rsidRPr="004D6E49">
        <w:rPr>
          <w:rStyle w:val="Textoennegrita"/>
          <w:rFonts w:ascii="Arial" w:hAnsi="Arial" w:cs="Arial"/>
          <w:sz w:val="22"/>
          <w:szCs w:val="22"/>
        </w:rPr>
        <w:t>Sentencia C-303 de 2019</w:t>
      </w:r>
      <w:r w:rsidRPr="004D6E49">
        <w:rPr>
          <w:rFonts w:ascii="Arial" w:hAnsi="Arial" w:cs="Arial"/>
          <w:sz w:val="22"/>
          <w:szCs w:val="22"/>
        </w:rPr>
        <w:t xml:space="preserve"> establece que, aunque el principio general es la inviolabilidad del domicilio, este puede ceder ante situaciones de </w:t>
      </w:r>
      <w:r w:rsidRPr="004D6E49">
        <w:rPr>
          <w:rStyle w:val="Textoennegrita"/>
          <w:rFonts w:ascii="Arial" w:hAnsi="Arial" w:cs="Arial"/>
          <w:sz w:val="22"/>
          <w:szCs w:val="22"/>
        </w:rPr>
        <w:t>urgencia</w:t>
      </w:r>
      <w:r w:rsidRPr="004D6E49">
        <w:rPr>
          <w:rFonts w:ascii="Arial" w:hAnsi="Arial" w:cs="Arial"/>
          <w:sz w:val="22"/>
          <w:szCs w:val="22"/>
        </w:rPr>
        <w:t xml:space="preserve"> y </w:t>
      </w:r>
      <w:r w:rsidRPr="004D6E49">
        <w:rPr>
          <w:rStyle w:val="Textoennegrita"/>
          <w:rFonts w:ascii="Arial" w:hAnsi="Arial" w:cs="Arial"/>
          <w:sz w:val="22"/>
          <w:szCs w:val="22"/>
        </w:rPr>
        <w:t>necesidad</w:t>
      </w:r>
      <w:r w:rsidRPr="004D6E49">
        <w:rPr>
          <w:rFonts w:ascii="Arial" w:hAnsi="Arial" w:cs="Arial"/>
          <w:sz w:val="22"/>
          <w:szCs w:val="22"/>
        </w:rPr>
        <w:t xml:space="preserve"> como la flagrancia. En este caso, la Corte indica que la intervención policial en casos de flagrancia no solo está permitida, sino que es obligatoria para preservar el orden público y proteger los derechos de los ciudadanos.</w:t>
      </w:r>
    </w:p>
    <w:p w:rsidR="004D6E49" w:rsidRPr="004D6E49" w:rsidRDefault="004D6E49" w:rsidP="004D6E49">
      <w:pPr>
        <w:pStyle w:val="Ttulo3"/>
        <w:jc w:val="both"/>
        <w:rPr>
          <w:rFonts w:ascii="Arial" w:hAnsi="Arial" w:cs="Arial"/>
          <w:sz w:val="22"/>
          <w:szCs w:val="22"/>
        </w:rPr>
      </w:pPr>
      <w:r w:rsidRPr="004D6E49">
        <w:rPr>
          <w:rFonts w:ascii="Arial" w:hAnsi="Arial" w:cs="Arial"/>
          <w:sz w:val="22"/>
          <w:szCs w:val="22"/>
        </w:rPr>
        <w:t xml:space="preserve">2. </w:t>
      </w:r>
      <w:r w:rsidRPr="004D6E49">
        <w:rPr>
          <w:rStyle w:val="Textoennegrita"/>
          <w:rFonts w:ascii="Arial" w:hAnsi="Arial" w:cs="Arial"/>
          <w:b/>
          <w:bCs/>
          <w:sz w:val="22"/>
          <w:szCs w:val="22"/>
        </w:rPr>
        <w:t>El balance entre la inviolabilidad del domicilio y la flagrancia</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Si bien la inviolabilidad del domicilio es un derecho protegido constitucionalmente, la </w:t>
      </w:r>
      <w:r w:rsidRPr="004D6E49">
        <w:rPr>
          <w:rStyle w:val="Textoennegrita"/>
          <w:rFonts w:ascii="Arial" w:hAnsi="Arial" w:cs="Arial"/>
          <w:sz w:val="22"/>
          <w:szCs w:val="22"/>
        </w:rPr>
        <w:t>Corte Constitucional</w:t>
      </w:r>
      <w:r w:rsidRPr="004D6E49">
        <w:rPr>
          <w:rFonts w:ascii="Arial" w:hAnsi="Arial" w:cs="Arial"/>
          <w:sz w:val="22"/>
          <w:szCs w:val="22"/>
        </w:rPr>
        <w:t xml:space="preserve"> ha sido clara en señalar que este derecho puede ser limitado en circunstancias excepcionales como la flagrancia. La </w:t>
      </w:r>
      <w:r w:rsidRPr="004D6E49">
        <w:rPr>
          <w:rStyle w:val="Textoennegrita"/>
          <w:rFonts w:ascii="Arial" w:hAnsi="Arial" w:cs="Arial"/>
          <w:sz w:val="22"/>
          <w:szCs w:val="22"/>
        </w:rPr>
        <w:t>Sentencia C-308 de 2019</w:t>
      </w:r>
      <w:r w:rsidRPr="004D6E49">
        <w:rPr>
          <w:rFonts w:ascii="Arial" w:hAnsi="Arial" w:cs="Arial"/>
          <w:sz w:val="22"/>
          <w:szCs w:val="22"/>
        </w:rPr>
        <w:t xml:space="preserve"> reitera que </w:t>
      </w:r>
      <w:r w:rsidRPr="004D6E49">
        <w:rPr>
          <w:rFonts w:ascii="Arial" w:hAnsi="Arial" w:cs="Arial"/>
          <w:sz w:val="22"/>
          <w:szCs w:val="22"/>
        </w:rPr>
        <w:lastRenderedPageBreak/>
        <w:t>el allanamiento sin orden judicial es permitido en situaciones de flagrancia, pero establece ciertos límites para que no se vulnere la dignidad o derechos fundamentales de los involucrados. Es decir, aunque el propietario del inmueble no conceda el permiso para el ingreso de las autoridades, esto no impide que la policía, en virtud de la flagrancia, actúe para capturar al delincuente que se encuentra en el interior.</w:t>
      </w:r>
    </w:p>
    <w:p w:rsidR="004D6E49" w:rsidRPr="004D6E49" w:rsidRDefault="004D6E49" w:rsidP="004D6E49">
      <w:pPr>
        <w:pStyle w:val="Ttulo3"/>
        <w:jc w:val="both"/>
        <w:rPr>
          <w:rFonts w:ascii="Arial" w:hAnsi="Arial" w:cs="Arial"/>
          <w:sz w:val="22"/>
          <w:szCs w:val="22"/>
        </w:rPr>
      </w:pPr>
      <w:r w:rsidRPr="004D6E49">
        <w:rPr>
          <w:rFonts w:ascii="Arial" w:hAnsi="Arial" w:cs="Arial"/>
          <w:sz w:val="22"/>
          <w:szCs w:val="22"/>
        </w:rPr>
        <w:t xml:space="preserve">3. </w:t>
      </w:r>
      <w:r w:rsidRPr="004D6E49">
        <w:rPr>
          <w:rStyle w:val="Textoennegrita"/>
          <w:rFonts w:ascii="Arial" w:hAnsi="Arial" w:cs="Arial"/>
          <w:b/>
          <w:bCs/>
          <w:sz w:val="22"/>
          <w:szCs w:val="22"/>
        </w:rPr>
        <w:t>Conclusiones</w:t>
      </w:r>
    </w:p>
    <w:p w:rsidR="004D6E49" w:rsidRPr="004D6E49" w:rsidRDefault="004D6E49" w:rsidP="004D6E49">
      <w:pPr>
        <w:pStyle w:val="NormalWeb"/>
        <w:jc w:val="both"/>
        <w:rPr>
          <w:rFonts w:ascii="Arial" w:hAnsi="Arial" w:cs="Arial"/>
          <w:sz w:val="22"/>
          <w:szCs w:val="22"/>
        </w:rPr>
      </w:pPr>
      <w:r w:rsidRPr="004D6E49">
        <w:rPr>
          <w:rFonts w:ascii="Arial" w:hAnsi="Arial" w:cs="Arial"/>
          <w:sz w:val="22"/>
          <w:szCs w:val="22"/>
        </w:rPr>
        <w:t xml:space="preserve">En resumen, de acuerdo con las </w:t>
      </w:r>
      <w:r w:rsidRPr="004D6E49">
        <w:rPr>
          <w:rStyle w:val="Textoennegrita"/>
          <w:rFonts w:ascii="Arial" w:hAnsi="Arial" w:cs="Arial"/>
          <w:sz w:val="22"/>
          <w:szCs w:val="22"/>
        </w:rPr>
        <w:t>sentencias de la Corte Constitucional</w:t>
      </w:r>
      <w:r w:rsidRPr="004D6E49">
        <w:rPr>
          <w:rFonts w:ascii="Arial" w:hAnsi="Arial" w:cs="Arial"/>
          <w:sz w:val="22"/>
          <w:szCs w:val="22"/>
        </w:rPr>
        <w:t xml:space="preserve"> mencionadas y la </w:t>
      </w:r>
      <w:r w:rsidRPr="004D6E49">
        <w:rPr>
          <w:rStyle w:val="Textoennegrita"/>
          <w:rFonts w:ascii="Arial" w:hAnsi="Arial" w:cs="Arial"/>
          <w:sz w:val="22"/>
          <w:szCs w:val="22"/>
        </w:rPr>
        <w:t>Constitución Política de Colombia</w:t>
      </w:r>
      <w:r w:rsidRPr="004D6E49">
        <w:rPr>
          <w:rFonts w:ascii="Arial" w:hAnsi="Arial" w:cs="Arial"/>
          <w:sz w:val="22"/>
          <w:szCs w:val="22"/>
        </w:rPr>
        <w:t xml:space="preserve">, la policía tiene el derecho y el deber de ingresar a un inmueble sin orden escrita y sin el permiso del propietario en caso de flagrancia, siempre que sea para detener a una persona que ha sido sorprendida cometiendo un delito. Esta actuación debe ser proporcional y respetar, en la mayor medida posible, los derechos fundamentales de las personas involucradas, pero la </w:t>
      </w:r>
      <w:r w:rsidRPr="004D6E49">
        <w:rPr>
          <w:rStyle w:val="Textoennegrita"/>
          <w:rFonts w:ascii="Arial" w:hAnsi="Arial" w:cs="Arial"/>
          <w:sz w:val="22"/>
          <w:szCs w:val="22"/>
        </w:rPr>
        <w:t>flagrancia</w:t>
      </w:r>
      <w:r w:rsidRPr="004D6E49">
        <w:rPr>
          <w:rFonts w:ascii="Arial" w:hAnsi="Arial" w:cs="Arial"/>
          <w:sz w:val="22"/>
          <w:szCs w:val="22"/>
        </w:rPr>
        <w:t xml:space="preserve"> justifica la intervención inmediata de la autoridad sin necesidad de una orden judicial previa.</w:t>
      </w:r>
    </w:p>
    <w:p w:rsidR="00193930" w:rsidRPr="004D6E49" w:rsidRDefault="00193930" w:rsidP="000A5AA1">
      <w:pPr>
        <w:rPr>
          <w:rFonts w:ascii="Arial" w:hAnsi="Arial" w:cs="Arial"/>
        </w:rPr>
      </w:pPr>
    </w:p>
    <w:sectPr w:rsidR="00193930" w:rsidRPr="004D6E49" w:rsidSect="00894AF3">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954B9" w:rsidRDefault="005954B9" w:rsidP="00130D2A">
      <w:pPr>
        <w:spacing w:after="0" w:line="240" w:lineRule="auto"/>
      </w:pPr>
      <w:r>
        <w:separator/>
      </w:r>
    </w:p>
  </w:endnote>
  <w:endnote w:type="continuationSeparator" w:id="0">
    <w:p w:rsidR="005954B9" w:rsidRDefault="005954B9" w:rsidP="00130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954B9" w:rsidRDefault="005954B9" w:rsidP="00130D2A">
      <w:pPr>
        <w:spacing w:after="0" w:line="240" w:lineRule="auto"/>
      </w:pPr>
      <w:r>
        <w:separator/>
      </w:r>
    </w:p>
  </w:footnote>
  <w:footnote w:type="continuationSeparator" w:id="0">
    <w:p w:rsidR="005954B9" w:rsidRDefault="005954B9" w:rsidP="00130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30D2A" w:rsidRPr="00130D2A" w:rsidRDefault="00130D2A">
    <w:pPr>
      <w:pStyle w:val="Encabezado"/>
      <w:rPr>
        <w:lang w:val="es-CO"/>
      </w:rPr>
    </w:pPr>
    <w:r>
      <w:rPr>
        <w:lang w:val="es-CO"/>
      </w:rPr>
      <w:t>PROFE ALVARO PELAEZ 3127893911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AA1"/>
    <w:rsid w:val="000A5AA1"/>
    <w:rsid w:val="00130D2A"/>
    <w:rsid w:val="00193930"/>
    <w:rsid w:val="004D6E49"/>
    <w:rsid w:val="005954B9"/>
    <w:rsid w:val="0087655D"/>
    <w:rsid w:val="00894AF3"/>
    <w:rsid w:val="00B8132B"/>
    <w:rsid w:val="00CF6D43"/>
    <w:rsid w:val="00EF485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35DC0"/>
  <w15:chartTrackingRefBased/>
  <w15:docId w15:val="{01293FA8-F886-487F-B335-7D5BBB2C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0A5AA1"/>
    <w:pPr>
      <w:spacing w:before="100" w:beforeAutospacing="1" w:after="100" w:afterAutospacing="1" w:line="240" w:lineRule="auto"/>
      <w:outlineLvl w:val="2"/>
    </w:pPr>
    <w:rPr>
      <w:rFonts w:ascii="Times New Roman" w:eastAsia="Times New Roman" w:hAnsi="Times New Roman" w:cs="Times New Roman"/>
      <w:b/>
      <w:bCs/>
      <w:kern w:val="0"/>
      <w:sz w:val="27"/>
      <w:szCs w:val="27"/>
      <w:lang w:val="es-CO" w:eastAsia="es-CO"/>
      <w14:ligatures w14:val="none"/>
    </w:rPr>
  </w:style>
  <w:style w:type="paragraph" w:styleId="Ttulo4">
    <w:name w:val="heading 4"/>
    <w:basedOn w:val="Normal"/>
    <w:next w:val="Normal"/>
    <w:link w:val="Ttulo4Car"/>
    <w:uiPriority w:val="9"/>
    <w:semiHidden/>
    <w:unhideWhenUsed/>
    <w:qFormat/>
    <w:rsid w:val="004D6E4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0A5AA1"/>
    <w:rPr>
      <w:rFonts w:ascii="Times New Roman" w:eastAsia="Times New Roman" w:hAnsi="Times New Roman" w:cs="Times New Roman"/>
      <w:b/>
      <w:bCs/>
      <w:kern w:val="0"/>
      <w:sz w:val="27"/>
      <w:szCs w:val="27"/>
      <w:lang w:val="es-CO" w:eastAsia="es-CO"/>
      <w14:ligatures w14:val="none"/>
    </w:rPr>
  </w:style>
  <w:style w:type="character" w:styleId="Hipervnculo">
    <w:name w:val="Hyperlink"/>
    <w:basedOn w:val="Fuentedeprrafopredeter"/>
    <w:uiPriority w:val="99"/>
    <w:semiHidden/>
    <w:unhideWhenUsed/>
    <w:rsid w:val="000A5AA1"/>
    <w:rPr>
      <w:color w:val="0000FF"/>
      <w:u w:val="single"/>
    </w:rPr>
  </w:style>
  <w:style w:type="character" w:styleId="Textoennegrita">
    <w:name w:val="Strong"/>
    <w:basedOn w:val="Fuentedeprrafopredeter"/>
    <w:uiPriority w:val="22"/>
    <w:qFormat/>
    <w:rsid w:val="000A5AA1"/>
    <w:rPr>
      <w:b/>
      <w:bCs/>
    </w:rPr>
  </w:style>
  <w:style w:type="character" w:customStyle="1" w:styleId="Ttulo4Car">
    <w:name w:val="Título 4 Car"/>
    <w:basedOn w:val="Fuentedeprrafopredeter"/>
    <w:link w:val="Ttulo4"/>
    <w:uiPriority w:val="9"/>
    <w:semiHidden/>
    <w:rsid w:val="004D6E49"/>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rsid w:val="004D6E49"/>
    <w:pPr>
      <w:spacing w:before="100" w:beforeAutospacing="1" w:after="100" w:afterAutospacing="1" w:line="240" w:lineRule="auto"/>
    </w:pPr>
    <w:rPr>
      <w:rFonts w:ascii="Times New Roman" w:eastAsia="Times New Roman" w:hAnsi="Times New Roman" w:cs="Times New Roman"/>
      <w:kern w:val="0"/>
      <w:sz w:val="24"/>
      <w:szCs w:val="24"/>
      <w:lang w:val="es-CO" w:eastAsia="es-CO"/>
      <w14:ligatures w14:val="none"/>
    </w:rPr>
  </w:style>
  <w:style w:type="paragraph" w:styleId="Encabezado">
    <w:name w:val="header"/>
    <w:basedOn w:val="Normal"/>
    <w:link w:val="EncabezadoCar"/>
    <w:uiPriority w:val="99"/>
    <w:unhideWhenUsed/>
    <w:rsid w:val="00130D2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0D2A"/>
  </w:style>
  <w:style w:type="paragraph" w:styleId="Piedepgina">
    <w:name w:val="footer"/>
    <w:basedOn w:val="Normal"/>
    <w:link w:val="PiedepginaCar"/>
    <w:uiPriority w:val="99"/>
    <w:unhideWhenUsed/>
    <w:rsid w:val="00130D2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0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86127">
      <w:bodyDiv w:val="1"/>
      <w:marLeft w:val="0"/>
      <w:marRight w:val="0"/>
      <w:marTop w:val="0"/>
      <w:marBottom w:val="0"/>
      <w:divBdr>
        <w:top w:val="none" w:sz="0" w:space="0" w:color="auto"/>
        <w:left w:val="none" w:sz="0" w:space="0" w:color="auto"/>
        <w:bottom w:val="none" w:sz="0" w:space="0" w:color="auto"/>
        <w:right w:val="none" w:sz="0" w:space="0" w:color="auto"/>
      </w:divBdr>
    </w:div>
    <w:div w:id="891770090">
      <w:bodyDiv w:val="1"/>
      <w:marLeft w:val="0"/>
      <w:marRight w:val="0"/>
      <w:marTop w:val="0"/>
      <w:marBottom w:val="0"/>
      <w:divBdr>
        <w:top w:val="none" w:sz="0" w:space="0" w:color="auto"/>
        <w:left w:val="none" w:sz="0" w:space="0" w:color="auto"/>
        <w:bottom w:val="none" w:sz="0" w:space="0" w:color="auto"/>
        <w:right w:val="none" w:sz="0" w:space="0" w:color="auto"/>
      </w:divBdr>
    </w:div>
    <w:div w:id="148789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604</Words>
  <Characters>3325</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ALVARO PELAEZ TOLOZA</dc:creator>
  <cp:keywords/>
  <dc:description/>
  <cp:lastModifiedBy>ALVARO PELAEZ TOLOZA</cp:lastModifiedBy>
  <cp:revision>4</cp:revision>
  <dcterms:created xsi:type="dcterms:W3CDTF">2024-09-09T01:29:00Z</dcterms:created>
  <dcterms:modified xsi:type="dcterms:W3CDTF">2025-06-14T22:55:00Z</dcterms:modified>
</cp:coreProperties>
</file>