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C56382" w14:textId="752AA64C" w:rsidR="000F108B" w:rsidRDefault="00DA7DC1" w:rsidP="00235853">
      <w:r>
        <w:rPr>
          <w:noProof/>
        </w:rPr>
        <w:drawing>
          <wp:anchor distT="0" distB="0" distL="114300" distR="114300" simplePos="0" relativeHeight="251645947" behindDoc="0" locked="0" layoutInCell="1" allowOverlap="1" wp14:anchorId="470D78FC" wp14:editId="3664C191">
            <wp:simplePos x="0" y="0"/>
            <wp:positionH relativeFrom="column">
              <wp:posOffset>-1325245</wp:posOffset>
            </wp:positionH>
            <wp:positionV relativeFrom="paragraph">
              <wp:posOffset>-1151255</wp:posOffset>
            </wp:positionV>
            <wp:extent cx="8283575" cy="11628120"/>
            <wp:effectExtent l="0" t="0" r="0" b="5080"/>
            <wp:wrapNone/>
            <wp:docPr id="191774957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7749575" name="Picture 1917749575"/>
                    <pic:cNvPicPr/>
                  </pic:nvPicPr>
                  <pic:blipFill>
                    <a:blip r:embed="rId7">
                      <a:extLst>
                        <a:ext uri="{28A0092B-C50C-407E-A947-70E740481C1C}">
                          <a14:useLocalDpi xmlns:a14="http://schemas.microsoft.com/office/drawing/2010/main" val="0"/>
                        </a:ext>
                      </a:extLst>
                    </a:blip>
                    <a:stretch>
                      <a:fillRect/>
                    </a:stretch>
                  </pic:blipFill>
                  <pic:spPr>
                    <a:xfrm>
                      <a:off x="0" y="0"/>
                      <a:ext cx="8283575" cy="11628120"/>
                    </a:xfrm>
                    <a:prstGeom prst="rect">
                      <a:avLst/>
                    </a:prstGeom>
                  </pic:spPr>
                </pic:pic>
              </a:graphicData>
            </a:graphic>
            <wp14:sizeRelH relativeFrom="margin">
              <wp14:pctWidth>0</wp14:pctWidth>
            </wp14:sizeRelH>
            <wp14:sizeRelV relativeFrom="margin">
              <wp14:pctHeight>0</wp14:pctHeight>
            </wp14:sizeRelV>
          </wp:anchor>
        </w:drawing>
      </w:r>
      <w:r w:rsidR="00E23ACE">
        <w:rPr>
          <w:noProof/>
        </w:rPr>
        <mc:AlternateContent>
          <mc:Choice Requires="wpg">
            <w:drawing>
              <wp:anchor distT="0" distB="0" distL="114300" distR="114300" simplePos="0" relativeHeight="251677696" behindDoc="0" locked="0" layoutInCell="1" allowOverlap="1" wp14:anchorId="62F50521" wp14:editId="397D0164">
                <wp:simplePos x="0" y="0"/>
                <wp:positionH relativeFrom="column">
                  <wp:posOffset>-742950</wp:posOffset>
                </wp:positionH>
                <wp:positionV relativeFrom="paragraph">
                  <wp:posOffset>-914400</wp:posOffset>
                </wp:positionV>
                <wp:extent cx="7692391" cy="10741025"/>
                <wp:effectExtent l="0" t="0" r="0" b="15875"/>
                <wp:wrapNone/>
                <wp:docPr id="78740683" name="Group 31"/>
                <wp:cNvGraphicFramePr/>
                <a:graphic xmlns:a="http://schemas.openxmlformats.org/drawingml/2006/main">
                  <a:graphicData uri="http://schemas.microsoft.com/office/word/2010/wordprocessingGroup">
                    <wpg:wgp>
                      <wpg:cNvGrpSpPr/>
                      <wpg:grpSpPr>
                        <a:xfrm>
                          <a:off x="0" y="0"/>
                          <a:ext cx="7692391" cy="10741025"/>
                          <a:chOff x="-73137" y="-181864"/>
                          <a:chExt cx="7692630" cy="10741152"/>
                        </a:xfrm>
                      </wpg:grpSpPr>
                      <wps:wsp>
                        <wps:cNvPr id="698615390" name="Rectangle 26"/>
                        <wps:cNvSpPr/>
                        <wps:spPr>
                          <a:xfrm>
                            <a:off x="-73137" y="-181864"/>
                            <a:ext cx="7619492" cy="10741152"/>
                          </a:xfrm>
                          <a:prstGeom prst="rect">
                            <a:avLst/>
                          </a:prstGeom>
                          <a:solidFill>
                            <a:schemeClr val="tx1">
                              <a:alpha val="19000"/>
                            </a:schemeClr>
                          </a:solidFill>
                          <a:ln>
                            <a:solidFill>
                              <a:schemeClr val="accent1">
                                <a:shade val="15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9A91EC1" w14:textId="7F3A6460" w:rsidR="00F73151" w:rsidRDefault="00F73151" w:rsidP="00F7315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52621601" name="Text Box 27"/>
                        <wps:cNvSpPr txBox="1"/>
                        <wps:spPr>
                          <a:xfrm>
                            <a:off x="-73136" y="1634235"/>
                            <a:ext cx="7692629" cy="1048512"/>
                          </a:xfrm>
                          <a:prstGeom prst="rect">
                            <a:avLst/>
                          </a:prstGeom>
                          <a:noFill/>
                          <a:ln w="6350">
                            <a:noFill/>
                          </a:ln>
                        </wps:spPr>
                        <wps:txbx>
                          <w:txbxContent>
                            <w:p w14:paraId="71A14B30" w14:textId="327114B2" w:rsidR="0051626A" w:rsidRPr="0051626A" w:rsidRDefault="0051626A" w:rsidP="0051626A">
                              <w:pPr>
                                <w:pStyle w:val="Title"/>
                              </w:pPr>
                              <w:r>
                                <w:t>Australian Competition and Consumer Commission (ACCC)</w:t>
                              </w:r>
                              <w:r w:rsidR="00CA6730">
                                <w:t xml:space="preserve"> v Google LLC [2021] FCA 1172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62844352" name="Straight Connector 27"/>
                        <wps:cNvCnPr/>
                        <wps:spPr>
                          <a:xfrm>
                            <a:off x="317019" y="1597660"/>
                            <a:ext cx="6913077" cy="0"/>
                          </a:xfrm>
                          <a:prstGeom prst="line">
                            <a:avLst/>
                          </a:prstGeom>
                          <a:ln w="25400">
                            <a:solidFill>
                              <a:schemeClr val="bg1"/>
                            </a:solidFill>
                          </a:ln>
                        </wps:spPr>
                        <wps:style>
                          <a:lnRef idx="1">
                            <a:schemeClr val="accent1"/>
                          </a:lnRef>
                          <a:fillRef idx="0">
                            <a:schemeClr val="accent1"/>
                          </a:fillRef>
                          <a:effectRef idx="0">
                            <a:schemeClr val="accent1"/>
                          </a:effectRef>
                          <a:fontRef idx="minor">
                            <a:schemeClr val="tx1"/>
                          </a:fontRef>
                        </wps:style>
                        <wps:bodyPr/>
                      </wps:wsp>
                      <wps:wsp>
                        <wps:cNvPr id="1776197336" name="Straight Connector 27"/>
                        <wps:cNvCnPr/>
                        <wps:spPr>
                          <a:xfrm>
                            <a:off x="317019" y="2682748"/>
                            <a:ext cx="6913078" cy="0"/>
                          </a:xfrm>
                          <a:prstGeom prst="line">
                            <a:avLst/>
                          </a:prstGeom>
                          <a:ln w="25400">
                            <a:solidFill>
                              <a:schemeClr val="bg1"/>
                            </a:solidFill>
                          </a:ln>
                        </wps:spPr>
                        <wps:style>
                          <a:lnRef idx="1">
                            <a:schemeClr val="accent1"/>
                          </a:lnRef>
                          <a:fillRef idx="0">
                            <a:schemeClr val="accent1"/>
                          </a:fillRef>
                          <a:effectRef idx="0">
                            <a:schemeClr val="accent1"/>
                          </a:effectRef>
                          <a:fontRef idx="minor">
                            <a:schemeClr val="tx1"/>
                          </a:fontRef>
                        </wps:style>
                        <wps:bodyPr/>
                      </wps:wsp>
                      <wps:wsp>
                        <wps:cNvPr id="1674965720" name="Text Box 27"/>
                        <wps:cNvSpPr txBox="1"/>
                        <wps:spPr>
                          <a:xfrm>
                            <a:off x="0" y="2950464"/>
                            <a:ext cx="7546340" cy="512064"/>
                          </a:xfrm>
                          <a:prstGeom prst="rect">
                            <a:avLst/>
                          </a:prstGeom>
                          <a:noFill/>
                          <a:ln w="6350">
                            <a:noFill/>
                          </a:ln>
                        </wps:spPr>
                        <wps:txbx>
                          <w:txbxContent>
                            <w:p w14:paraId="7B295F16" w14:textId="23A0265B" w:rsidR="00262BED" w:rsidRPr="00262BED" w:rsidRDefault="00CA6730" w:rsidP="00235853">
                              <w:pPr>
                                <w:pStyle w:val="Subtitle"/>
                              </w:pPr>
                              <w:r>
                                <w:t>A Case Summary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62F50521" id="Group 31" o:spid="_x0000_s1026" style="position:absolute;margin-left:-58.5pt;margin-top:-1in;width:605.7pt;height:845.75pt;z-index:251677696;mso-width-relative:margin" coordorigin="-731,-1818" coordsize="76926,10741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">
                <v:rect id="Rectangle 26" o:spid="_x0000_s1027" style="position:absolute;left:-731;top:-1818;width:76194;height:10741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" fillcolor="black [3213]" strokecolor="#030e13 [484]" strokeweight="1pt">
                  <v:fill opacity="12336f"/>
                  <v:textbox>
                    <w:txbxContent>
                      <w:p w14:paraId="39A91EC1" w14:textId="7F3A6460" w:rsidR="00F73151" w:rsidRDefault="00F73151" w:rsidP="00F73151">
                        <w:pPr>
                          <w:jc w:val="center"/>
                        </w:pPr>
                      </w:p>
                    </w:txbxContent>
                  </v:textbox>
                </v:rect>
                <v:shapetype id="_x0000_t202" coordsize="21600,21600" o:spt="202" path="m,l,21600r21600,l21600,xe">
                  <v:stroke joinstyle="miter"/>
                  <v:path gradientshapeok="t" o:connecttype="rect"/>
                </v:shapetype>
                <v:shape id="_x0000_s1028" type="#_x0000_t202" style="position:absolute;left:-731;top:16342;width:76925;height:1048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" filled="f" stroked="f" strokeweight=".5pt">
                  <v:textbox>
                    <w:txbxContent>
                      <w:p w14:paraId="71A14B30" w14:textId="327114B2" w:rsidR="0051626A" w:rsidRPr="0051626A" w:rsidRDefault="0051626A" w:rsidP="0051626A">
                        <w:pPr>
                          <w:pStyle w:val="Title"/>
                        </w:pPr>
                        <w:r>
                          <w:t>Australian Competition and Consumer Commission (ACCC)</w:t>
                        </w:r>
                        <w:r w:rsidR="00CA6730">
                          <w:t xml:space="preserve"> v Google LLC [2021] FCA 1172</w:t>
                        </w:r>
                      </w:p>
                    </w:txbxContent>
                  </v:textbox>
                </v:shape>
                <v:line id="Straight Connector 27" o:spid="_x0000_s1029" style="position:absolute;visibility:visible;mso-wrap-style:square" from="3170,15976" to="72300,15976"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" strokecolor="white [3212]" strokeweight="2pt">
                  <v:stroke joinstyle="miter"/>
                </v:line>
                <v:line id="Straight Connector 27" o:spid="_x0000_s1030" style="position:absolute;visibility:visible;mso-wrap-style:square" from="3170,26827" to="72300,26827"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" strokecolor="white [3212]" strokeweight="2pt">
                  <v:stroke joinstyle="miter"/>
                </v:line>
                <v:shape id="_x0000_s1031" type="#_x0000_t202" style="position:absolute;top:29504;width:75463;height:512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" filled="f" stroked="f" strokeweight=".5pt">
                  <v:textbox>
                    <w:txbxContent>
                      <w:p w14:paraId="7B295F16" w14:textId="23A0265B" w:rsidR="00262BED" w:rsidRPr="00262BED" w:rsidRDefault="00CA6730" w:rsidP="00235853">
                        <w:pPr>
                          <w:pStyle w:val="Subtitle"/>
                        </w:pPr>
                        <w:r>
                          <w:t>A Case Summary</w:t>
                        </w:r>
                      </w:p>
                    </w:txbxContent>
                  </v:textbox>
                </v:shape>
              </v:group>
            </w:pict>
          </mc:Fallback>
        </mc:AlternateContent>
      </w:r>
      <w:r w:rsidR="00E23ACE">
        <w:rPr>
          <w:noProof/>
        </w:rPr>
        <mc:AlternateContent>
          <mc:Choice Requires="wps">
            <w:drawing>
              <wp:anchor distT="0" distB="0" distL="114300" distR="114300" simplePos="0" relativeHeight="251685888" behindDoc="0" locked="0" layoutInCell="1" allowOverlap="1" wp14:anchorId="2612F2EA" wp14:editId="7C8F7065">
                <wp:simplePos x="0" y="0"/>
                <wp:positionH relativeFrom="column">
                  <wp:posOffset>4639075</wp:posOffset>
                </wp:positionH>
                <wp:positionV relativeFrom="paragraph">
                  <wp:posOffset>8597265</wp:posOffset>
                </wp:positionV>
                <wp:extent cx="2048256" cy="382397"/>
                <wp:effectExtent l="0" t="0" r="0" b="0"/>
                <wp:wrapNone/>
                <wp:docPr id="2036535871" name="Text Box 21"/>
                <wp:cNvGraphicFramePr/>
                <a:graphic xmlns:a="http://schemas.openxmlformats.org/drawingml/2006/main">
                  <a:graphicData uri="http://schemas.microsoft.com/office/word/2010/wordprocessingShape">
                    <wps:wsp>
                      <wps:cNvSpPr txBox="1"/>
                      <wps:spPr>
                        <a:xfrm>
                          <a:off x="0" y="0"/>
                          <a:ext cx="2048256" cy="382397"/>
                        </a:xfrm>
                        <a:prstGeom prst="rect">
                          <a:avLst/>
                        </a:prstGeom>
                        <a:noFill/>
                        <a:ln w="6350">
                          <a:noFill/>
                        </a:ln>
                      </wps:spPr>
                      <wps:txbx>
                        <w:txbxContent>
                          <w:p w14:paraId="27451D67" w14:textId="6A1B16E2" w:rsidR="00262BED" w:rsidRPr="00262BED" w:rsidRDefault="00262BED" w:rsidP="00235853">
                            <w:pPr>
                              <w:pStyle w:val="Subtitle"/>
                            </w:pPr>
                            <w:r w:rsidRPr="00262BED">
                              <w:t xml:space="preserve">Law Student Review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12F2EA" id="Text Box 21" o:spid="_x0000_s1032" type="#_x0000_t202" style="position:absolute;margin-left:365.3pt;margin-top:676.95pt;width:161.3pt;height:30.1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" filled="f" stroked="f" strokeweight=".5pt">
                <v:textbox>
                  <w:txbxContent>
                    <w:p w14:paraId="27451D67" w14:textId="6A1B16E2" w:rsidR="00262BED" w:rsidRPr="00262BED" w:rsidRDefault="00262BED" w:rsidP="00235853">
                      <w:pPr>
                        <w:pStyle w:val="Subtitle"/>
                      </w:pPr>
                      <w:r w:rsidRPr="00262BED">
                        <w:t xml:space="preserve">Law Student Review </w:t>
                      </w:r>
                    </w:p>
                  </w:txbxContent>
                </v:textbox>
              </v:shape>
            </w:pict>
          </mc:Fallback>
        </mc:AlternateContent>
      </w:r>
      <w:r w:rsidR="00E23ACE">
        <w:rPr>
          <w:noProof/>
        </w:rPr>
        <mc:AlternateContent>
          <mc:Choice Requires="wps">
            <w:drawing>
              <wp:anchor distT="0" distB="0" distL="114300" distR="114300" simplePos="0" relativeHeight="251684864" behindDoc="0" locked="0" layoutInCell="1" allowOverlap="1" wp14:anchorId="7A1C0EEE" wp14:editId="567993B6">
                <wp:simplePos x="0" y="0"/>
                <wp:positionH relativeFrom="column">
                  <wp:posOffset>-598552</wp:posOffset>
                </wp:positionH>
                <wp:positionV relativeFrom="paragraph">
                  <wp:posOffset>8594852</wp:posOffset>
                </wp:positionV>
                <wp:extent cx="2047875" cy="389890"/>
                <wp:effectExtent l="0" t="0" r="0" b="0"/>
                <wp:wrapNone/>
                <wp:docPr id="1600177898" name="Text Box 21"/>
                <wp:cNvGraphicFramePr/>
                <a:graphic xmlns:a="http://schemas.openxmlformats.org/drawingml/2006/main">
                  <a:graphicData uri="http://schemas.microsoft.com/office/word/2010/wordprocessingShape">
                    <wps:wsp>
                      <wps:cNvSpPr txBox="1"/>
                      <wps:spPr>
                        <a:xfrm>
                          <a:off x="0" y="0"/>
                          <a:ext cx="2047875" cy="389890"/>
                        </a:xfrm>
                        <a:prstGeom prst="rect">
                          <a:avLst/>
                        </a:prstGeom>
                        <a:noFill/>
                        <a:ln w="6350">
                          <a:noFill/>
                        </a:ln>
                      </wps:spPr>
                      <wps:txbx>
                        <w:txbxContent>
                          <w:p w14:paraId="3B17B765" w14:textId="3F52F97E" w:rsidR="000F108B" w:rsidRDefault="000F108B" w:rsidP="00AF5C53">
                            <w:pPr>
                              <w:pStyle w:val="Subtitle"/>
                            </w:pPr>
                            <w:r w:rsidRPr="00262BED">
                              <w:t xml:space="preserve">By </w:t>
                            </w:r>
                            <w:proofErr w:type="spellStart"/>
                            <w:r w:rsidR="0077393C">
                              <w:t>Eleni</w:t>
                            </w:r>
                            <w:proofErr w:type="spellEnd"/>
                            <w:r w:rsidR="0077393C">
                              <w:t xml:space="preserve"> </w:t>
                            </w:r>
                            <w:proofErr w:type="spellStart"/>
                            <w:r w:rsidR="0077393C">
                              <w:t>Tratsellas</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1C0EEE" id="_x0000_s1033" type="#_x0000_t202" style="position:absolute;margin-left:-47.15pt;margin-top:676.75pt;width:161.25pt;height:30.7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" filled="f" stroked="f" strokeweight=".5pt">
                <v:textbox>
                  <w:txbxContent>
                    <w:p w14:paraId="3B17B765" w14:textId="3F52F97E" w:rsidR="000F108B" w:rsidRDefault="000F108B" w:rsidP="00AF5C53">
                      <w:pPr>
                        <w:pStyle w:val="Subtitle"/>
                      </w:pPr>
                      <w:r w:rsidRPr="00262BED">
                        <w:t xml:space="preserve">By </w:t>
                      </w:r>
                      <w:proofErr w:type="spellStart"/>
                      <w:r w:rsidR="0077393C">
                        <w:t>Eleni</w:t>
                      </w:r>
                      <w:proofErr w:type="spellEnd"/>
                      <w:r w:rsidR="0077393C">
                        <w:t xml:space="preserve"> </w:t>
                      </w:r>
                      <w:proofErr w:type="spellStart"/>
                      <w:r w:rsidR="0077393C">
                        <w:t>Tratsellas</w:t>
                      </w:r>
                      <w:proofErr w:type="spellEnd"/>
                    </w:p>
                  </w:txbxContent>
                </v:textbox>
              </v:shape>
            </w:pict>
          </mc:Fallback>
        </mc:AlternateContent>
      </w:r>
      <w:r w:rsidR="007A4BF8">
        <w:rPr>
          <w:noProof/>
        </w:rPr>
        <mc:AlternateContent>
          <mc:Choice Requires="wps">
            <w:drawing>
              <wp:anchor distT="0" distB="0" distL="114300" distR="114300" simplePos="0" relativeHeight="251667456" behindDoc="0" locked="0" layoutInCell="1" allowOverlap="1" wp14:anchorId="7760C708" wp14:editId="15B218CC">
                <wp:simplePos x="0" y="0"/>
                <wp:positionH relativeFrom="column">
                  <wp:posOffset>-746760</wp:posOffset>
                </wp:positionH>
                <wp:positionV relativeFrom="paragraph">
                  <wp:posOffset>-914400</wp:posOffset>
                </wp:positionV>
                <wp:extent cx="7107428" cy="0"/>
                <wp:effectExtent l="0" t="12700" r="17780" b="12700"/>
                <wp:wrapNone/>
                <wp:docPr id="38297992" name="Straight Connector 27"/>
                <wp:cNvGraphicFramePr/>
                <a:graphic xmlns:a="http://schemas.openxmlformats.org/drawingml/2006/main">
                  <a:graphicData uri="http://schemas.microsoft.com/office/word/2010/wordprocessingShape">
                    <wps:wsp>
                      <wps:cNvCnPr/>
                      <wps:spPr>
                        <a:xfrm>
                          <a:off x="0" y="0"/>
                          <a:ext cx="7107428" cy="0"/>
                        </a:xfrm>
                        <a:prstGeom prst="line">
                          <a:avLst/>
                        </a:prstGeom>
                        <a:ln w="25400">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C26F7FF" id="Straight Connector 27" o:spid="_x0000_s1026" style="position:absolute;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8.8pt,-1in" to="500.85pt,-1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" strokecolor="white [3212]" strokeweight="2pt">
                <v:stroke joinstyle="miter"/>
              </v:line>
            </w:pict>
          </mc:Fallback>
        </mc:AlternateContent>
      </w:r>
      <w:r w:rsidR="000F108B">
        <w:br w:type="page"/>
      </w:r>
    </w:p>
    <w:p w14:paraId="6695B61E" w14:textId="4698F638" w:rsidR="00FD42E0" w:rsidRDefault="001F059D" w:rsidP="00D74462">
      <w:pPr>
        <w:pStyle w:val="Heading1"/>
      </w:pPr>
      <w:r w:rsidRPr="00E23ACE">
        <w:lastRenderedPageBreak/>
        <w:t xml:space="preserve">I </w:t>
      </w:r>
      <w:r w:rsidR="00DB065B">
        <w:t>INTRODUCTION</w:t>
      </w:r>
    </w:p>
    <w:p w14:paraId="74C5EB74" w14:textId="77777777" w:rsidR="00C94833" w:rsidRPr="00DB065B" w:rsidRDefault="00C94833" w:rsidP="00C94833">
      <w:pPr>
        <w:spacing w:after="0"/>
      </w:pPr>
      <w:r w:rsidRPr="00DB065B">
        <w:t xml:space="preserve">The </w:t>
      </w:r>
      <w:r w:rsidRPr="00DB065B">
        <w:rPr>
          <w:i/>
          <w:iCs/>
        </w:rPr>
        <w:t xml:space="preserve">Australian Competition and Consumer Commission (ACCC) v Google LLC </w:t>
      </w:r>
      <w:r w:rsidRPr="00DB065B">
        <w:t>[2021] FCA 1172 is an interlocutory decision of the Federal Court concerning the scope of discovery in proceedings alleging misleading or deceptive conduct under the Australian Consumer Law (ACL). The judgement addresses whether extensive discovery of internal corporate documents is necessary to determine liability and clarifies the limits of discovery in commercial litigation.</w:t>
      </w:r>
    </w:p>
    <w:p w14:paraId="67E6BD38" w14:textId="77777777" w:rsidR="00C94833" w:rsidRPr="00DB065B" w:rsidRDefault="00C94833" w:rsidP="00C94833">
      <w:pPr>
        <w:spacing w:after="0"/>
      </w:pPr>
    </w:p>
    <w:p w14:paraId="28FB3918" w14:textId="39F6E45A" w:rsidR="00DB065B" w:rsidRPr="00DB065B" w:rsidRDefault="00DB065B" w:rsidP="00DB065B">
      <w:pPr>
        <w:jc w:val="center"/>
        <w:outlineLvl w:val="0"/>
        <w:rPr>
          <w:b/>
          <w:bCs/>
          <w:color w:val="000000" w:themeColor="text1"/>
          <w:sz w:val="28"/>
          <w:szCs w:val="28"/>
        </w:rPr>
      </w:pPr>
      <w:r w:rsidRPr="00DB065B">
        <w:rPr>
          <w:b/>
          <w:bCs/>
          <w:color w:val="000000" w:themeColor="text1"/>
          <w:sz w:val="28"/>
          <w:szCs w:val="28"/>
        </w:rPr>
        <w:t>I</w:t>
      </w:r>
      <w:r>
        <w:rPr>
          <w:b/>
          <w:bCs/>
          <w:color w:val="000000" w:themeColor="text1"/>
          <w:sz w:val="28"/>
          <w:szCs w:val="28"/>
        </w:rPr>
        <w:t>I FACTS</w:t>
      </w:r>
    </w:p>
    <w:p w14:paraId="0E4792FC" w14:textId="77777777" w:rsidR="00C94833" w:rsidRPr="00DB065B" w:rsidRDefault="00C94833" w:rsidP="00C94833">
      <w:pPr>
        <w:spacing w:after="0"/>
      </w:pPr>
      <w:r w:rsidRPr="00DB065B">
        <w:t xml:space="preserve">The Australian Competition and Consumer Commission (ACCC) commenced proceedings alleging that Google LLC engaged in deceptive or misleading conduct and made false or misleading representations in contravention of </w:t>
      </w:r>
      <w:proofErr w:type="spellStart"/>
      <w:r w:rsidRPr="00DB065B">
        <w:t>ss</w:t>
      </w:r>
      <w:proofErr w:type="spellEnd"/>
      <w:r w:rsidRPr="00DB065B">
        <w:t xml:space="preserve"> 18, 34, and 29(1) of the ACL.</w:t>
      </w:r>
      <w:r w:rsidRPr="00DB065B">
        <w:rPr>
          <w:vertAlign w:val="superscript"/>
        </w:rPr>
        <w:footnoteReference w:id="1"/>
      </w:r>
      <w:r w:rsidRPr="00DB065B">
        <w:t xml:space="preserve"> The allegations concerned Google’s conduct in obtaining users’ consent to expand the scope of data collection and combination of personally identifiable information.</w:t>
      </w:r>
      <w:r w:rsidRPr="00DB065B">
        <w:rPr>
          <w:vertAlign w:val="superscript"/>
        </w:rPr>
        <w:footnoteReference w:id="2"/>
      </w:r>
    </w:p>
    <w:p w14:paraId="6ADE872A" w14:textId="77777777" w:rsidR="00C94833" w:rsidRPr="00DB065B" w:rsidRDefault="00C94833" w:rsidP="00C94833">
      <w:pPr>
        <w:spacing w:after="0"/>
      </w:pPr>
    </w:p>
    <w:p w14:paraId="75F44A3E" w14:textId="77777777" w:rsidR="00C94833" w:rsidRPr="00DB065B" w:rsidRDefault="00C94833" w:rsidP="00C94833">
      <w:pPr>
        <w:spacing w:after="0"/>
      </w:pPr>
      <w:r w:rsidRPr="00DB065B">
        <w:t>The alleged conduct centred on a notification shown to Google account users between 28 June 2016 and at least the 10</w:t>
      </w:r>
      <w:r w:rsidRPr="00DB065B">
        <w:rPr>
          <w:vertAlign w:val="superscript"/>
        </w:rPr>
        <w:t xml:space="preserve"> </w:t>
      </w:r>
      <w:r w:rsidRPr="00DB065B">
        <w:t>December 2018.</w:t>
      </w:r>
      <w:r w:rsidRPr="00DB065B">
        <w:rPr>
          <w:vertAlign w:val="superscript"/>
        </w:rPr>
        <w:footnoteReference w:id="3"/>
      </w:r>
      <w:r w:rsidRPr="00DB065B">
        <w:t xml:space="preserve"> The notification informed Google users of changes, including the combination of data across services for purposes such as targeted advertising.</w:t>
      </w:r>
      <w:r w:rsidRPr="00DB065B">
        <w:rPr>
          <w:vertAlign w:val="superscript"/>
        </w:rPr>
        <w:footnoteReference w:id="4"/>
      </w:r>
      <w:r w:rsidRPr="00DB065B">
        <w:t xml:space="preserve"> The ACCC alleged that the notifications conveyed a misleading impression as to the nature and extent of Google’s data collection.</w:t>
      </w:r>
      <w:r w:rsidRPr="00DB065B">
        <w:rPr>
          <w:vertAlign w:val="superscript"/>
        </w:rPr>
        <w:footnoteReference w:id="5"/>
      </w:r>
    </w:p>
    <w:p w14:paraId="37D1339F" w14:textId="77777777" w:rsidR="00C94833" w:rsidRPr="00DB065B" w:rsidRDefault="00C94833" w:rsidP="00C94833">
      <w:pPr>
        <w:spacing w:after="0"/>
      </w:pPr>
    </w:p>
    <w:p w14:paraId="6FB6216B" w14:textId="77777777" w:rsidR="00C94833" w:rsidRPr="00DB065B" w:rsidRDefault="00C94833" w:rsidP="00C94833">
      <w:pPr>
        <w:spacing w:after="0"/>
      </w:pPr>
      <w:r w:rsidRPr="00DB065B">
        <w:t>During the pre-trial preparation, the ACCC sought discovery of documents relating to the internal development of Google’s notification.</w:t>
      </w:r>
      <w:r w:rsidRPr="00DB065B">
        <w:rPr>
          <w:vertAlign w:val="superscript"/>
        </w:rPr>
        <w:footnoteReference w:id="6"/>
      </w:r>
      <w:r w:rsidRPr="00DB065B">
        <w:t xml:space="preserve"> The request was for the “Narnia 2.0” project and sought to identify members of various decision-making bodies and describe their involvement in the project.</w:t>
      </w:r>
      <w:r w:rsidRPr="00DB065B">
        <w:rPr>
          <w:vertAlign w:val="superscript"/>
        </w:rPr>
        <w:footnoteReference w:id="7"/>
      </w:r>
      <w:r w:rsidRPr="00DB065B">
        <w:t xml:space="preserve"> These four bodies being the Executive Circle, GAIA Council, Narnia 2.0 Steering Committee, and PAL or PA Leads.</w:t>
      </w:r>
      <w:r w:rsidRPr="00DB065B">
        <w:rPr>
          <w:vertAlign w:val="superscript"/>
        </w:rPr>
        <w:footnoteReference w:id="8"/>
      </w:r>
      <w:r w:rsidRPr="00DB065B">
        <w:t xml:space="preserve"> </w:t>
      </w:r>
    </w:p>
    <w:p w14:paraId="392CEABA" w14:textId="77777777" w:rsidR="00C94833" w:rsidRPr="00DB065B" w:rsidRDefault="00C94833" w:rsidP="00C94833">
      <w:pPr>
        <w:spacing w:after="0"/>
      </w:pPr>
    </w:p>
    <w:p w14:paraId="0B35A7C8" w14:textId="77777777" w:rsidR="00C94833" w:rsidRPr="00DB065B" w:rsidRDefault="00C94833" w:rsidP="00C94833">
      <w:pPr>
        <w:spacing w:after="0"/>
      </w:pPr>
      <w:r w:rsidRPr="00DB065B">
        <w:lastRenderedPageBreak/>
        <w:t>Google resisted the application, arguing that the documents were of limited relevance and that the compliance would cause a substantial burden.</w:t>
      </w:r>
      <w:r w:rsidRPr="00DB065B">
        <w:rPr>
          <w:vertAlign w:val="superscript"/>
        </w:rPr>
        <w:footnoteReference w:id="9"/>
      </w:r>
    </w:p>
    <w:p w14:paraId="24725EB4" w14:textId="77777777" w:rsidR="00C94833" w:rsidRPr="00DB065B" w:rsidRDefault="00C94833" w:rsidP="00C94833">
      <w:pPr>
        <w:spacing w:after="0"/>
      </w:pPr>
    </w:p>
    <w:p w14:paraId="27F43CB1" w14:textId="58FB231E" w:rsidR="00DB065B" w:rsidRPr="00DB065B" w:rsidRDefault="00DB065B" w:rsidP="00DB065B">
      <w:pPr>
        <w:jc w:val="center"/>
        <w:outlineLvl w:val="0"/>
        <w:rPr>
          <w:b/>
          <w:bCs/>
          <w:color w:val="000000" w:themeColor="text1"/>
          <w:sz w:val="28"/>
          <w:szCs w:val="28"/>
        </w:rPr>
      </w:pPr>
      <w:r w:rsidRPr="00DB065B">
        <w:rPr>
          <w:b/>
          <w:bCs/>
          <w:color w:val="000000" w:themeColor="text1"/>
          <w:sz w:val="28"/>
          <w:szCs w:val="28"/>
        </w:rPr>
        <w:t>I</w:t>
      </w:r>
      <w:r>
        <w:rPr>
          <w:b/>
          <w:bCs/>
          <w:color w:val="000000" w:themeColor="text1"/>
          <w:sz w:val="28"/>
          <w:szCs w:val="28"/>
        </w:rPr>
        <w:t>II LEGAL ISSUES</w:t>
      </w:r>
    </w:p>
    <w:p w14:paraId="0C14D788" w14:textId="77777777" w:rsidR="00C94833" w:rsidRPr="00DB065B" w:rsidRDefault="00C94833" w:rsidP="00C94833">
      <w:pPr>
        <w:spacing w:after="0"/>
      </w:pPr>
      <w:r w:rsidRPr="00DB065B">
        <w:t>The Court was required to determine whether the documents sought by the ACCC were sufficiently relevant to justify an order for discovery proceedings alleging misleading or deceptive conduct under s 18 of the Australian Consumer Law.</w:t>
      </w:r>
      <w:r w:rsidRPr="00DB065B">
        <w:rPr>
          <w:vertAlign w:val="superscript"/>
        </w:rPr>
        <w:footnoteReference w:id="10"/>
      </w:r>
      <w:r w:rsidRPr="00DB065B">
        <w:t xml:space="preserve"> This required consideration of whether the documents were capable of materially assisting in determining whether Google’s notification conveyed a misleading impression to reasonable consumers.</w:t>
      </w:r>
      <w:r w:rsidRPr="00DB065B">
        <w:rPr>
          <w:vertAlign w:val="superscript"/>
        </w:rPr>
        <w:footnoteReference w:id="11"/>
      </w:r>
      <w:r w:rsidRPr="00DB065B">
        <w:t xml:space="preserve"> </w:t>
      </w:r>
    </w:p>
    <w:p w14:paraId="169D23BF" w14:textId="77777777" w:rsidR="00C94833" w:rsidRPr="00DB065B" w:rsidRDefault="00C94833" w:rsidP="00C94833">
      <w:pPr>
        <w:spacing w:after="0"/>
      </w:pPr>
    </w:p>
    <w:p w14:paraId="257117BA" w14:textId="77777777" w:rsidR="00C94833" w:rsidRPr="00DB065B" w:rsidRDefault="00C94833" w:rsidP="00C94833">
      <w:pPr>
        <w:spacing w:after="0"/>
      </w:pPr>
      <w:r w:rsidRPr="00DB065B">
        <w:t xml:space="preserve">A further issue was whether the proposed discovery was consistent with the overarching purpose of civil practice and procedure, namely the just resolution of disputes as quickly, inexpensively and efficiently as possible, in accordance with r 20.11 of the </w:t>
      </w:r>
      <w:r w:rsidRPr="00DB065B">
        <w:rPr>
          <w:i/>
          <w:iCs/>
        </w:rPr>
        <w:t>Federal Court Rules 2011</w:t>
      </w:r>
      <w:r w:rsidRPr="00DB065B">
        <w:t xml:space="preserve"> (Cth).</w:t>
      </w:r>
      <w:r w:rsidRPr="00DB065B">
        <w:rPr>
          <w:vertAlign w:val="superscript"/>
        </w:rPr>
        <w:footnoteReference w:id="12"/>
      </w:r>
      <w:r w:rsidRPr="00DB065B">
        <w:t xml:space="preserve"> </w:t>
      </w:r>
    </w:p>
    <w:p w14:paraId="7EA7FD07" w14:textId="77777777" w:rsidR="00C94833" w:rsidRPr="00DB065B" w:rsidRDefault="00C94833" w:rsidP="00C94833">
      <w:pPr>
        <w:spacing w:after="0"/>
      </w:pPr>
    </w:p>
    <w:p w14:paraId="0DA2FA2B" w14:textId="77777777" w:rsidR="00C94833" w:rsidRDefault="00C94833" w:rsidP="00C94833">
      <w:pPr>
        <w:spacing w:after="0"/>
      </w:pPr>
      <w:r w:rsidRPr="00DB065B">
        <w:t>The Court also was required to assess whether the scope of the discovery sought to be proportionate, having regard to the burden of production, the volume of material involved and the likely probative value of the documents in resolving the issues in dispute.</w:t>
      </w:r>
      <w:r w:rsidRPr="00DB065B">
        <w:rPr>
          <w:vertAlign w:val="superscript"/>
        </w:rPr>
        <w:footnoteReference w:id="13"/>
      </w:r>
    </w:p>
    <w:p w14:paraId="23786E9A" w14:textId="77777777" w:rsidR="00DB065B" w:rsidRPr="00DB065B" w:rsidRDefault="00DB065B" w:rsidP="00C94833">
      <w:pPr>
        <w:spacing w:after="0"/>
      </w:pPr>
    </w:p>
    <w:p w14:paraId="40640A6E" w14:textId="658FEB85" w:rsidR="00C94833" w:rsidRPr="00DB065B" w:rsidRDefault="00DB065B" w:rsidP="00DB065B">
      <w:pPr>
        <w:jc w:val="center"/>
        <w:outlineLvl w:val="0"/>
        <w:rPr>
          <w:b/>
          <w:bCs/>
          <w:color w:val="000000" w:themeColor="text1"/>
          <w:sz w:val="28"/>
          <w:szCs w:val="28"/>
        </w:rPr>
      </w:pPr>
      <w:r w:rsidRPr="00DB065B">
        <w:rPr>
          <w:b/>
          <w:bCs/>
          <w:color w:val="000000" w:themeColor="text1"/>
          <w:sz w:val="28"/>
          <w:szCs w:val="28"/>
        </w:rPr>
        <w:t>I</w:t>
      </w:r>
      <w:r>
        <w:rPr>
          <w:b/>
          <w:bCs/>
          <w:color w:val="000000" w:themeColor="text1"/>
          <w:sz w:val="28"/>
          <w:szCs w:val="28"/>
        </w:rPr>
        <w:t>V ARGUMENTS</w:t>
      </w:r>
    </w:p>
    <w:p w14:paraId="59B06B67" w14:textId="4388916D" w:rsidR="00C94833" w:rsidRPr="008024E0" w:rsidRDefault="008024E0" w:rsidP="005B0081">
      <w:pPr>
        <w:keepNext/>
        <w:keepLines/>
        <w:spacing w:before="160" w:after="80"/>
        <w:jc w:val="center"/>
        <w:outlineLvl w:val="2"/>
        <w:rPr>
          <w:rFonts w:eastAsiaTheme="majorEastAsia"/>
        </w:rPr>
      </w:pPr>
      <w:r>
        <w:rPr>
          <w:rFonts w:eastAsiaTheme="majorEastAsia"/>
        </w:rPr>
        <w:t>A</w:t>
      </w:r>
      <w:r w:rsidR="0077393C" w:rsidRPr="008024E0">
        <w:rPr>
          <w:rFonts w:eastAsiaTheme="majorEastAsia"/>
        </w:rPr>
        <w:t xml:space="preserve"> </w:t>
      </w:r>
      <w:r w:rsidR="00C94833" w:rsidRPr="008024E0">
        <w:rPr>
          <w:rFonts w:eastAsiaTheme="majorEastAsia"/>
          <w:i/>
          <w:iCs/>
        </w:rPr>
        <w:t>ACCC</w:t>
      </w:r>
    </w:p>
    <w:p w14:paraId="266B8103" w14:textId="4F00EE50" w:rsidR="00C94833" w:rsidRDefault="00C94833" w:rsidP="00C94833">
      <w:pPr>
        <w:spacing w:after="0"/>
      </w:pPr>
      <w:r w:rsidRPr="00DB065B">
        <w:t>The ACCC submitted that the documents sought were relevant to determining whether Google’s conduct was misleading and deceptive.</w:t>
      </w:r>
      <w:r w:rsidRPr="00DB065B">
        <w:rPr>
          <w:vertAlign w:val="superscript"/>
        </w:rPr>
        <w:footnoteReference w:id="14"/>
      </w:r>
      <w:r w:rsidRPr="00DB065B">
        <w:t xml:space="preserve"> It argued that although intention is not an essential element of a contravention of s 18 of the Australian Consumer Law, it may assist the Court in characterising the conduct as misleading.</w:t>
      </w:r>
      <w:r w:rsidRPr="00DB065B">
        <w:rPr>
          <w:vertAlign w:val="superscript"/>
        </w:rPr>
        <w:footnoteReference w:id="15"/>
      </w:r>
      <w:r w:rsidRPr="00DB065B">
        <w:t xml:space="preserve"> The ACCC argued that internal documents relating to the development of the notification would provide important insight into the representations Google intended to convey and whether any misleading impression was foreseeable.</w:t>
      </w:r>
      <w:r w:rsidRPr="00DB065B">
        <w:rPr>
          <w:vertAlign w:val="superscript"/>
        </w:rPr>
        <w:footnoteReference w:id="16"/>
      </w:r>
      <w:r w:rsidRPr="00DB065B">
        <w:t xml:space="preserve"> Particularly, it submitted that </w:t>
      </w:r>
      <w:r w:rsidRPr="00DB065B">
        <w:lastRenderedPageBreak/>
        <w:t>documents identifying the members of relevant decision-making bodies and describing their involvement would assist in understanding how the notification was approved.</w:t>
      </w:r>
      <w:r w:rsidRPr="00DB065B">
        <w:rPr>
          <w:vertAlign w:val="superscript"/>
        </w:rPr>
        <w:footnoteReference w:id="17"/>
      </w:r>
      <w:r w:rsidRPr="00DB065B">
        <w:t xml:space="preserve"> The ACCC argued that such materials would contextualise the impugned conduct and assist in assessing whether the representations made were likely to mislead consumers.</w:t>
      </w:r>
      <w:r w:rsidRPr="00DB065B">
        <w:rPr>
          <w:vertAlign w:val="superscript"/>
        </w:rPr>
        <w:footnoteReference w:id="18"/>
      </w:r>
    </w:p>
    <w:p w14:paraId="6B9DF4C5" w14:textId="77777777" w:rsidR="005B0081" w:rsidRPr="00DB065B" w:rsidRDefault="005B0081" w:rsidP="00C94833">
      <w:pPr>
        <w:spacing w:after="0"/>
      </w:pPr>
    </w:p>
    <w:p w14:paraId="0541218A" w14:textId="31DC0164" w:rsidR="00C94833" w:rsidRPr="008024E0" w:rsidRDefault="008024E0" w:rsidP="005B0081">
      <w:pPr>
        <w:keepNext/>
        <w:keepLines/>
        <w:spacing w:before="160" w:after="80"/>
        <w:jc w:val="center"/>
        <w:outlineLvl w:val="2"/>
        <w:rPr>
          <w:rFonts w:eastAsiaTheme="majorEastAsia"/>
        </w:rPr>
      </w:pPr>
      <w:r w:rsidRPr="008024E0">
        <w:rPr>
          <w:rFonts w:eastAsiaTheme="majorEastAsia"/>
        </w:rPr>
        <w:t xml:space="preserve">B </w:t>
      </w:r>
      <w:r w:rsidRPr="008024E0">
        <w:rPr>
          <w:rFonts w:eastAsiaTheme="majorEastAsia"/>
          <w:i/>
          <w:iCs/>
        </w:rPr>
        <w:t>Google</w:t>
      </w:r>
    </w:p>
    <w:p w14:paraId="1EFBE68B" w14:textId="143C501E" w:rsidR="00C94833" w:rsidRDefault="00C94833" w:rsidP="00C94833">
      <w:pPr>
        <w:spacing w:after="0"/>
      </w:pPr>
      <w:r w:rsidRPr="00DB065B">
        <w:t>Google submitted that the determination of liability should focus on the content of the notification, rather than the internal processes underlying its development.</w:t>
      </w:r>
      <w:r w:rsidRPr="00DB065B">
        <w:rPr>
          <w:vertAlign w:val="superscript"/>
        </w:rPr>
        <w:footnoteReference w:id="19"/>
      </w:r>
      <w:r w:rsidRPr="00DB065B">
        <w:t xml:space="preserve"> It argued that the relevance of the requested documents were limited and would not materially assist the Court in determining whether the conduct was misleading.</w:t>
      </w:r>
      <w:r w:rsidRPr="00DB065B">
        <w:rPr>
          <w:vertAlign w:val="superscript"/>
        </w:rPr>
        <w:footnoteReference w:id="20"/>
      </w:r>
      <w:r w:rsidRPr="00DB065B">
        <w:t xml:space="preserve"> While accepting that the earlier steps may be relevant, Google contended that the particular documents sought added little to the existing evidentiary record.</w:t>
      </w:r>
      <w:r w:rsidRPr="00DB065B">
        <w:rPr>
          <w:vertAlign w:val="superscript"/>
        </w:rPr>
        <w:footnoteReference w:id="21"/>
      </w:r>
      <w:r w:rsidRPr="00DB065B">
        <w:t xml:space="preserve"> Google also emphasised the significant burden associated with the discovery request, stating that it would require the identification, review and collection of documents across numerous relevant personnel.</w:t>
      </w:r>
      <w:r w:rsidRPr="00DB065B">
        <w:rPr>
          <w:vertAlign w:val="superscript"/>
        </w:rPr>
        <w:footnoteReference w:id="22"/>
      </w:r>
      <w:r w:rsidRPr="00DB065B">
        <w:t xml:space="preserve"> It estimated that the process would take several months and risk the scheduled hearing being delayed.</w:t>
      </w:r>
      <w:r w:rsidRPr="00DB065B">
        <w:rPr>
          <w:vertAlign w:val="superscript"/>
        </w:rPr>
        <w:footnoteReference w:id="23"/>
      </w:r>
      <w:r w:rsidRPr="00DB065B">
        <w:t xml:space="preserve"> Furthermore, Google submitted that the ACCC’s request was belated and could have been pursued earlier through available statutory information-gathering mechanisms.</w:t>
      </w:r>
      <w:r w:rsidRPr="00DB065B">
        <w:rPr>
          <w:vertAlign w:val="superscript"/>
        </w:rPr>
        <w:footnoteReference w:id="24"/>
      </w:r>
    </w:p>
    <w:p w14:paraId="1AC650CE" w14:textId="77777777" w:rsidR="0077393C" w:rsidRPr="00DB065B" w:rsidRDefault="0077393C" w:rsidP="00C94833">
      <w:pPr>
        <w:spacing w:after="0"/>
      </w:pPr>
    </w:p>
    <w:p w14:paraId="1B63C686" w14:textId="0F167857" w:rsidR="007546B3" w:rsidRPr="007546B3" w:rsidRDefault="007546B3" w:rsidP="007546B3">
      <w:pPr>
        <w:jc w:val="center"/>
        <w:outlineLvl w:val="0"/>
        <w:rPr>
          <w:b/>
          <w:bCs/>
          <w:color w:val="000000" w:themeColor="text1"/>
          <w:sz w:val="28"/>
          <w:szCs w:val="28"/>
        </w:rPr>
      </w:pPr>
      <w:r>
        <w:rPr>
          <w:b/>
          <w:bCs/>
          <w:color w:val="000000" w:themeColor="text1"/>
          <w:sz w:val="28"/>
          <w:szCs w:val="28"/>
        </w:rPr>
        <w:t>V DECISION</w:t>
      </w:r>
    </w:p>
    <w:p w14:paraId="568148D1" w14:textId="77777777" w:rsidR="00C94833" w:rsidRPr="00DB065B" w:rsidRDefault="00C94833" w:rsidP="00C94833">
      <w:pPr>
        <w:spacing w:after="0"/>
      </w:pPr>
      <w:r w:rsidRPr="00DB065B">
        <w:t>Justice Yates dismissed the ACCC’s application for discovery in relation to Category 41 and refused to order interrogatories.</w:t>
      </w:r>
      <w:r w:rsidRPr="00DB065B">
        <w:rPr>
          <w:vertAlign w:val="superscript"/>
        </w:rPr>
        <w:footnoteReference w:id="25"/>
      </w:r>
      <w:r w:rsidRPr="00DB065B">
        <w:t xml:space="preserve"> His Honour held that the proposed discovery would not facilitate the just resolution of the proceeding as required by r 20.11 of the </w:t>
      </w:r>
      <w:r w:rsidRPr="00DB065B">
        <w:rPr>
          <w:i/>
          <w:iCs/>
        </w:rPr>
        <w:t>Federal Court Rules 2011</w:t>
      </w:r>
      <w:r w:rsidRPr="00DB065B">
        <w:t xml:space="preserve"> (Cth).</w:t>
      </w:r>
      <w:r w:rsidRPr="00DB065B">
        <w:rPr>
          <w:vertAlign w:val="superscript"/>
        </w:rPr>
        <w:footnoteReference w:id="26"/>
      </w:r>
      <w:r w:rsidRPr="00DB065B">
        <w:t xml:space="preserve"> The Court reasoned that the documents sought had low probative value because they were internal corporate materials remote from the central issue of how a reasonable consumer would understand Google’s notification, and that intention or internal decision-making was not determinative of </w:t>
      </w:r>
      <w:r w:rsidRPr="00DB065B">
        <w:lastRenderedPageBreak/>
        <w:t>liability under s 18 of the Australian Consumer Law.</w:t>
      </w:r>
      <w:r w:rsidRPr="00DB065B">
        <w:rPr>
          <w:vertAlign w:val="superscript"/>
        </w:rPr>
        <w:footnoteReference w:id="27"/>
      </w:r>
      <w:r w:rsidRPr="00DB065B">
        <w:t xml:space="preserve"> The Court concluded that the likely utility of the documents did not justify the burden of production.</w:t>
      </w:r>
      <w:r w:rsidRPr="00DB065B">
        <w:rPr>
          <w:vertAlign w:val="superscript"/>
        </w:rPr>
        <w:footnoteReference w:id="28"/>
      </w:r>
      <w:r w:rsidRPr="00DB065B">
        <w:t xml:space="preserve"> The ACCC was ordered to pay Google’s costs of the discovery application.</w:t>
      </w:r>
      <w:r w:rsidRPr="00DB065B">
        <w:rPr>
          <w:vertAlign w:val="superscript"/>
        </w:rPr>
        <w:footnoteReference w:id="29"/>
      </w:r>
    </w:p>
    <w:p w14:paraId="38D36F30" w14:textId="77777777" w:rsidR="00C94833" w:rsidRPr="00DB065B" w:rsidRDefault="00C94833" w:rsidP="00C94833">
      <w:pPr>
        <w:spacing w:after="0"/>
      </w:pPr>
    </w:p>
    <w:p w14:paraId="225D688B" w14:textId="447AF4B2" w:rsidR="00C94833" w:rsidRPr="007546B3" w:rsidRDefault="007546B3" w:rsidP="007546B3">
      <w:pPr>
        <w:jc w:val="center"/>
        <w:outlineLvl w:val="0"/>
        <w:rPr>
          <w:b/>
          <w:bCs/>
          <w:color w:val="000000" w:themeColor="text1"/>
          <w:sz w:val="28"/>
          <w:szCs w:val="28"/>
        </w:rPr>
      </w:pPr>
      <w:r>
        <w:rPr>
          <w:b/>
          <w:bCs/>
          <w:color w:val="000000" w:themeColor="text1"/>
          <w:sz w:val="28"/>
          <w:szCs w:val="28"/>
        </w:rPr>
        <w:t>VI</w:t>
      </w:r>
      <w:r w:rsidRPr="007546B3">
        <w:rPr>
          <w:b/>
          <w:bCs/>
          <w:color w:val="000000" w:themeColor="text1"/>
          <w:sz w:val="28"/>
          <w:szCs w:val="28"/>
        </w:rPr>
        <w:t xml:space="preserve"> </w:t>
      </w:r>
      <w:r>
        <w:rPr>
          <w:b/>
          <w:bCs/>
          <w:color w:val="000000" w:themeColor="text1"/>
          <w:sz w:val="28"/>
          <w:szCs w:val="28"/>
        </w:rPr>
        <w:t>IMPLICATIONS</w:t>
      </w:r>
    </w:p>
    <w:p w14:paraId="7D65A8A3" w14:textId="77777777" w:rsidR="00C94833" w:rsidRPr="00DB065B" w:rsidRDefault="00C94833" w:rsidP="00C94833">
      <w:pPr>
        <w:spacing w:after="0"/>
      </w:pPr>
      <w:r w:rsidRPr="00DB065B">
        <w:t>The decision confirms that discovery in Federal Court proceedings is constrained by principles of relevance and proportionality.</w:t>
      </w:r>
      <w:r w:rsidRPr="00DB065B">
        <w:rPr>
          <w:vertAlign w:val="superscript"/>
        </w:rPr>
        <w:footnoteReference w:id="30"/>
      </w:r>
      <w:r w:rsidRPr="00DB065B">
        <w:t xml:space="preserve"> Courts will not allow expansive discovery requests where the burden of compliance outweighs the likely probative value of the documents sought.</w:t>
      </w:r>
      <w:r w:rsidRPr="00DB065B">
        <w:rPr>
          <w:vertAlign w:val="superscript"/>
        </w:rPr>
        <w:footnoteReference w:id="31"/>
      </w:r>
      <w:r w:rsidRPr="00DB065B">
        <w:t xml:space="preserve"> The judgment reinforces that misleading and deceptive conduct under the Australian Consumer Law is assessed objectively, focusing on the impression conveyed to the reasonable consumer rather than the internal intentions of the corporation.</w:t>
      </w:r>
      <w:r w:rsidRPr="00DB065B">
        <w:rPr>
          <w:vertAlign w:val="superscript"/>
        </w:rPr>
        <w:footnoteReference w:id="32"/>
      </w:r>
      <w:r w:rsidRPr="00DB065B">
        <w:t xml:space="preserve"> </w:t>
      </w:r>
    </w:p>
    <w:p w14:paraId="400376C4" w14:textId="77777777" w:rsidR="00C94833" w:rsidRPr="00DB065B" w:rsidRDefault="00C94833" w:rsidP="00C94833">
      <w:pPr>
        <w:spacing w:after="0"/>
      </w:pPr>
    </w:p>
    <w:p w14:paraId="5FF0194A" w14:textId="77777777" w:rsidR="00C94833" w:rsidRPr="00DB065B" w:rsidRDefault="00C94833" w:rsidP="00C94833">
      <w:pPr>
        <w:spacing w:after="0"/>
      </w:pPr>
      <w:r w:rsidRPr="00DB065B">
        <w:t>Internal corporate documents will not be required where they do not materially assist in determining how representations would be understood by consumers.</w:t>
      </w:r>
      <w:r w:rsidRPr="00DB065B">
        <w:rPr>
          <w:vertAlign w:val="superscript"/>
        </w:rPr>
        <w:footnoteReference w:id="33"/>
      </w:r>
      <w:r w:rsidRPr="00DB065B">
        <w:t xml:space="preserve"> In the context of digital platforms, the decision highlights that liability turns on user-facing representations, such as notifications and interfaces, rather than the internal processes by which those representations are developed.</w:t>
      </w:r>
      <w:r w:rsidRPr="00DB065B">
        <w:rPr>
          <w:vertAlign w:val="superscript"/>
        </w:rPr>
        <w:footnoteReference w:id="34"/>
      </w:r>
    </w:p>
    <w:p w14:paraId="19070ECA" w14:textId="77777777" w:rsidR="00C94833" w:rsidRPr="00DB065B" w:rsidRDefault="00C94833" w:rsidP="00C94833">
      <w:pPr>
        <w:spacing w:after="0"/>
      </w:pPr>
    </w:p>
    <w:p w14:paraId="3ECF2C3B" w14:textId="77777777" w:rsidR="00C94833" w:rsidRPr="00DB065B" w:rsidRDefault="00C94833" w:rsidP="00C94833">
      <w:pPr>
        <w:spacing w:after="0"/>
      </w:pPr>
      <w:r w:rsidRPr="00DB065B">
        <w:t>The decision reflects a broader judicial trend limiting expansive discovery in complex litigation, emphasising proportionality and requiring parties to frame discovery requests with precision where large volumes of material are involved.</w:t>
      </w:r>
    </w:p>
    <w:p w14:paraId="54B204E1" w14:textId="439C9867" w:rsidR="000F108B" w:rsidRDefault="000F108B" w:rsidP="00235853">
      <w:r>
        <w:br w:type="page"/>
      </w:r>
    </w:p>
    <w:p w14:paraId="698F75F1" w14:textId="1ED3DC73" w:rsidR="000F108B" w:rsidRDefault="001C6A9D" w:rsidP="00235853">
      <w:r>
        <w:rPr>
          <w:noProof/>
        </w:rPr>
        <w:lastRenderedPageBreak/>
        <mc:AlternateContent>
          <mc:Choice Requires="wpg">
            <w:drawing>
              <wp:anchor distT="0" distB="0" distL="114300" distR="114300" simplePos="0" relativeHeight="251681792" behindDoc="0" locked="0" layoutInCell="1" allowOverlap="1" wp14:anchorId="121B674F" wp14:editId="1C551674">
                <wp:simplePos x="0" y="0"/>
                <wp:positionH relativeFrom="column">
                  <wp:posOffset>-685800</wp:posOffset>
                </wp:positionH>
                <wp:positionV relativeFrom="paragraph">
                  <wp:posOffset>1902460</wp:posOffset>
                </wp:positionV>
                <wp:extent cx="7546340" cy="1084580"/>
                <wp:effectExtent l="0" t="12700" r="0" b="7620"/>
                <wp:wrapNone/>
                <wp:docPr id="168221322" name="Group 31"/>
                <wp:cNvGraphicFramePr/>
                <a:graphic xmlns:a="http://schemas.openxmlformats.org/drawingml/2006/main">
                  <a:graphicData uri="http://schemas.microsoft.com/office/word/2010/wordprocessingGroup">
                    <wpg:wgp>
                      <wpg:cNvGrpSpPr/>
                      <wpg:grpSpPr>
                        <a:xfrm>
                          <a:off x="0" y="0"/>
                          <a:ext cx="7546340" cy="1084580"/>
                          <a:chOff x="35306" y="1597660"/>
                          <a:chExt cx="7546340" cy="1085088"/>
                        </a:xfrm>
                      </wpg:grpSpPr>
                      <wps:wsp>
                        <wps:cNvPr id="1493187613" name="Text Box 27"/>
                        <wps:cNvSpPr txBox="1"/>
                        <wps:spPr>
                          <a:xfrm>
                            <a:off x="35306" y="1914008"/>
                            <a:ext cx="7546340" cy="488193"/>
                          </a:xfrm>
                          <a:prstGeom prst="rect">
                            <a:avLst/>
                          </a:prstGeom>
                          <a:noFill/>
                          <a:ln w="6350">
                            <a:noFill/>
                          </a:ln>
                        </wps:spPr>
                        <wps:txbx>
                          <w:txbxContent>
                            <w:p w14:paraId="2AEBA7A0" w14:textId="4F439EFE" w:rsidR="009470FA" w:rsidRPr="001C6A9D" w:rsidRDefault="009470FA" w:rsidP="001C6A9D">
                              <w:pPr>
                                <w:pStyle w:val="Title"/>
                                <w:rPr>
                                  <w:rStyle w:val="Strong"/>
                                </w:rPr>
                              </w:pPr>
                              <w:r w:rsidRPr="001C6A9D">
                                <w:rPr>
                                  <w:rStyle w:val="Strong"/>
                                </w:rPr>
                                <w:t>LAW STUDENT REVIEW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86141420" name="Straight Connector 27"/>
                        <wps:cNvCnPr/>
                        <wps:spPr>
                          <a:xfrm>
                            <a:off x="256032" y="1597660"/>
                            <a:ext cx="7107428" cy="0"/>
                          </a:xfrm>
                          <a:prstGeom prst="line">
                            <a:avLst/>
                          </a:prstGeom>
                          <a:ln w="25400">
                            <a:solidFill>
                              <a:schemeClr val="bg1"/>
                            </a:solidFill>
                          </a:ln>
                        </wps:spPr>
                        <wps:style>
                          <a:lnRef idx="1">
                            <a:schemeClr val="accent1"/>
                          </a:lnRef>
                          <a:fillRef idx="0">
                            <a:schemeClr val="accent1"/>
                          </a:fillRef>
                          <a:effectRef idx="0">
                            <a:schemeClr val="accent1"/>
                          </a:effectRef>
                          <a:fontRef idx="minor">
                            <a:schemeClr val="tx1"/>
                          </a:fontRef>
                        </wps:style>
                        <wps:bodyPr/>
                      </wps:wsp>
                      <wps:wsp>
                        <wps:cNvPr id="2089456829" name="Straight Connector 27"/>
                        <wps:cNvCnPr/>
                        <wps:spPr>
                          <a:xfrm>
                            <a:off x="256032" y="2682748"/>
                            <a:ext cx="7107428" cy="0"/>
                          </a:xfrm>
                          <a:prstGeom prst="line">
                            <a:avLst/>
                          </a:prstGeom>
                          <a:ln w="25400">
                            <a:solidFill>
                              <a:schemeClr val="bg1"/>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121B674F" id="_x0000_s1034" style="position:absolute;margin-left:-54pt;margin-top:149.8pt;width:594.2pt;height:85.4pt;z-index:251681792;mso-width-relative:margin;mso-height-relative:margin" coordorigin="353,15976" coordsize="75463,1085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">
                <v:shape id="_x0000_s1035" type="#_x0000_t202" style="position:absolute;left:353;top:19140;width:75463;height:488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" filled="f" stroked="f" strokeweight=".5pt">
                  <v:textbox>
                    <w:txbxContent>
                      <w:p w14:paraId="2AEBA7A0" w14:textId="4F439EFE" w:rsidR="009470FA" w:rsidRPr="001C6A9D" w:rsidRDefault="009470FA" w:rsidP="001C6A9D">
                        <w:pPr>
                          <w:pStyle w:val="Title"/>
                          <w:rPr>
                            <w:rStyle w:val="Strong"/>
                          </w:rPr>
                        </w:pPr>
                        <w:r w:rsidRPr="001C6A9D">
                          <w:rPr>
                            <w:rStyle w:val="Strong"/>
                          </w:rPr>
                          <w:t>LAW STUDENT REVIEW</w:t>
                        </w:r>
                      </w:p>
                    </w:txbxContent>
                  </v:textbox>
                </v:shape>
                <v:line id="Straight Connector 27" o:spid="_x0000_s1036" style="position:absolute;visibility:visible;mso-wrap-style:square" from="2560,15976" to="73634,15976"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" strokecolor="white [3212]" strokeweight="2pt">
                  <v:stroke joinstyle="miter"/>
                </v:line>
                <v:line id="Straight Connector 27" o:spid="_x0000_s1037" style="position:absolute;visibility:visible;mso-wrap-style:square" from="2560,26827" to="73634,26827"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" strokecolor="white [3212]" strokeweight="2pt">
                  <v:stroke joinstyle="miter"/>
                </v:line>
              </v:group>
            </w:pict>
          </mc:Fallback>
        </mc:AlternateContent>
      </w:r>
      <w:r w:rsidR="0095632F">
        <w:rPr>
          <w:noProof/>
        </w:rPr>
        <mc:AlternateContent>
          <mc:Choice Requires="wps">
            <w:drawing>
              <wp:anchor distT="0" distB="0" distL="114300" distR="114300" simplePos="0" relativeHeight="251683840" behindDoc="0" locked="0" layoutInCell="1" allowOverlap="1" wp14:anchorId="2BE59E55" wp14:editId="40BCEAFD">
                <wp:simplePos x="0" y="0"/>
                <wp:positionH relativeFrom="column">
                  <wp:posOffset>-161544</wp:posOffset>
                </wp:positionH>
                <wp:positionV relativeFrom="paragraph">
                  <wp:posOffset>3340608</wp:posOffset>
                </wp:positionV>
                <wp:extent cx="6449568" cy="560832"/>
                <wp:effectExtent l="0" t="0" r="0" b="0"/>
                <wp:wrapNone/>
                <wp:docPr id="1144751722" name="Text Box 27"/>
                <wp:cNvGraphicFramePr/>
                <a:graphic xmlns:a="http://schemas.openxmlformats.org/drawingml/2006/main">
                  <a:graphicData uri="http://schemas.microsoft.com/office/word/2010/wordprocessingShape">
                    <wps:wsp>
                      <wps:cNvSpPr txBox="1"/>
                      <wps:spPr>
                        <a:xfrm>
                          <a:off x="0" y="0"/>
                          <a:ext cx="6449568" cy="560832"/>
                        </a:xfrm>
                        <a:prstGeom prst="rect">
                          <a:avLst/>
                        </a:prstGeom>
                        <a:noFill/>
                        <a:ln w="6350">
                          <a:noFill/>
                        </a:ln>
                      </wps:spPr>
                      <wps:txbx>
                        <w:txbxContent>
                          <w:p w14:paraId="2D52EFFE" w14:textId="2A439BF2" w:rsidR="0095632F" w:rsidRPr="00E23ACE" w:rsidRDefault="0095632F" w:rsidP="00235853">
                            <w:pPr>
                              <w:pStyle w:val="Subtitle"/>
                              <w:rPr>
                                <w:rStyle w:val="SubtleEmphasis"/>
                              </w:rPr>
                            </w:pPr>
                            <w:r w:rsidRPr="00E23ACE">
                              <w:rPr>
                                <w:rStyle w:val="SubtleEmphasis"/>
                              </w:rPr>
                              <w:t xml:space="preserve">Disclaimer: The views expressed herein are solely those of the author and do not necessarily reflect </w:t>
                            </w:r>
                            <w:r w:rsidR="00E0232C" w:rsidRPr="00E23ACE">
                              <w:rPr>
                                <w:rStyle w:val="SubtleEmphasis"/>
                              </w:rPr>
                              <w:t>other authors or the Law Student Review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E59E55" id="Text Box 27" o:spid="_x0000_s1038" type="#_x0000_t202" style="position:absolute;margin-left:-12.7pt;margin-top:263.05pt;width:507.85pt;height:44.1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" filled="f" stroked="f" strokeweight=".5pt">
                <v:textbox>
                  <w:txbxContent>
                    <w:p w14:paraId="2D52EFFE" w14:textId="2A439BF2" w:rsidR="0095632F" w:rsidRPr="00E23ACE" w:rsidRDefault="0095632F" w:rsidP="00235853">
                      <w:pPr>
                        <w:pStyle w:val="Subtitle"/>
                        <w:rPr>
                          <w:rStyle w:val="SubtleEmphasis"/>
                        </w:rPr>
                      </w:pPr>
                      <w:r w:rsidRPr="00E23ACE">
                        <w:rPr>
                          <w:rStyle w:val="SubtleEmphasis"/>
                        </w:rPr>
                        <w:t xml:space="preserve">Disclaimer: The views expressed herein are solely those of the author and do not necessarily reflect </w:t>
                      </w:r>
                      <w:r w:rsidR="00E0232C" w:rsidRPr="00E23ACE">
                        <w:rPr>
                          <w:rStyle w:val="SubtleEmphasis"/>
                        </w:rPr>
                        <w:t>other authors or the Law Student Review</w:t>
                      </w:r>
                    </w:p>
                  </w:txbxContent>
                </v:textbox>
              </v:shape>
            </w:pict>
          </mc:Fallback>
        </mc:AlternateContent>
      </w:r>
      <w:r w:rsidR="008A391C">
        <w:rPr>
          <w:noProof/>
        </w:rPr>
        <mc:AlternateContent>
          <mc:Choice Requires="wps">
            <w:drawing>
              <wp:anchor distT="0" distB="0" distL="114300" distR="114300" simplePos="0" relativeHeight="251646972" behindDoc="0" locked="0" layoutInCell="1" allowOverlap="1" wp14:anchorId="2CEEBA33" wp14:editId="685847FB">
                <wp:simplePos x="0" y="0"/>
                <wp:positionH relativeFrom="column">
                  <wp:posOffset>-685165</wp:posOffset>
                </wp:positionH>
                <wp:positionV relativeFrom="paragraph">
                  <wp:posOffset>-926465</wp:posOffset>
                </wp:positionV>
                <wp:extent cx="7545720" cy="10668000"/>
                <wp:effectExtent l="0" t="0" r="10795" b="12700"/>
                <wp:wrapNone/>
                <wp:docPr id="1958028090" name="Rectangle 32"/>
                <wp:cNvGraphicFramePr/>
                <a:graphic xmlns:a="http://schemas.openxmlformats.org/drawingml/2006/main">
                  <a:graphicData uri="http://schemas.microsoft.com/office/word/2010/wordprocessingShape">
                    <wps:wsp>
                      <wps:cNvSpPr/>
                      <wps:spPr>
                        <a:xfrm>
                          <a:off x="0" y="0"/>
                          <a:ext cx="7545720" cy="10668000"/>
                        </a:xfrm>
                        <a:prstGeom prst="rect">
                          <a:avLst/>
                        </a:prstGeom>
                        <a:solidFill>
                          <a:schemeClr val="tx2"/>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3D01373" id="Rectangle 32" o:spid="_x0000_s1026" style="position:absolute;margin-left:-53.95pt;margin-top:-72.95pt;width:594.15pt;height:840pt;z-index:2516469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" fillcolor="#0e2841 [3215]" strokecolor="#030e13 [484]" strokeweight="1pt"/>
            </w:pict>
          </mc:Fallback>
        </mc:AlternateContent>
      </w:r>
      <w:r w:rsidR="00EF6D7D">
        <w:rPr>
          <w:noProof/>
        </w:rPr>
        <mc:AlternateContent>
          <mc:Choice Requires="wps">
            <w:drawing>
              <wp:anchor distT="0" distB="0" distL="114300" distR="114300" simplePos="0" relativeHeight="251662336" behindDoc="0" locked="0" layoutInCell="1" allowOverlap="1" wp14:anchorId="0C3EA4BA" wp14:editId="6ACC2562">
                <wp:simplePos x="0" y="0"/>
                <wp:positionH relativeFrom="column">
                  <wp:posOffset>-685800</wp:posOffset>
                </wp:positionH>
                <wp:positionV relativeFrom="paragraph">
                  <wp:posOffset>-926592</wp:posOffset>
                </wp:positionV>
                <wp:extent cx="6668770" cy="0"/>
                <wp:effectExtent l="0" t="0" r="11430" b="12700"/>
                <wp:wrapNone/>
                <wp:docPr id="1913028425" name="Straight Connector 22"/>
                <wp:cNvGraphicFramePr/>
                <a:graphic xmlns:a="http://schemas.openxmlformats.org/drawingml/2006/main">
                  <a:graphicData uri="http://schemas.microsoft.com/office/word/2010/wordprocessingShape">
                    <wps:wsp>
                      <wps:cNvCnPr/>
                      <wps:spPr>
                        <a:xfrm>
                          <a:off x="0" y="0"/>
                          <a:ext cx="6668770" cy="0"/>
                        </a:xfrm>
                        <a:prstGeom prst="line">
                          <a:avLst/>
                        </a:prstGeom>
                        <a:ln>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482638F" id="Straight Connector 22" o:spid="_x0000_s1026" style="position:absolute;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4pt,-72.95pt" to="471.1pt,-72.9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" strokecolor="white [3212]" strokeweight=".5pt">
                <v:stroke joinstyle="miter"/>
              </v:line>
            </w:pict>
          </mc:Fallback>
        </mc:AlternateContent>
      </w:r>
    </w:p>
    <w:sectPr w:rsidR="000F108B" w:rsidSect="00334ADB">
      <w:footerReference w:type="even" r:id="rId8"/>
      <w:footerReference w:type="default" r:id="rId9"/>
      <w:pgSz w:w="11906" w:h="16838"/>
      <w:pgMar w:top="1440" w:right="1080" w:bottom="1440" w:left="108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82AAE2" w14:textId="77777777" w:rsidR="0055170D" w:rsidRDefault="0055170D" w:rsidP="00235853">
      <w:r>
        <w:separator/>
      </w:r>
    </w:p>
  </w:endnote>
  <w:endnote w:type="continuationSeparator" w:id="0">
    <w:p w14:paraId="6095A4F1" w14:textId="77777777" w:rsidR="0055170D" w:rsidRDefault="0055170D" w:rsidP="002358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631162930"/>
      <w:docPartObj>
        <w:docPartGallery w:val="Page Numbers (Bottom of Page)"/>
        <w:docPartUnique/>
      </w:docPartObj>
    </w:sdtPr>
    <w:sdtEndPr>
      <w:rPr>
        <w:rStyle w:val="PageNumber"/>
      </w:rPr>
    </w:sdtEndPr>
    <w:sdtContent>
      <w:p w14:paraId="4E6ABFC8" w14:textId="3653FED2" w:rsidR="00334ADB" w:rsidRDefault="00334ADB" w:rsidP="00235853">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7D0A742B" w14:textId="77777777" w:rsidR="00334ADB" w:rsidRDefault="00334ADB" w:rsidP="0023585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B0F5DF" w14:textId="32A2F460" w:rsidR="00334ADB" w:rsidRDefault="007D1907" w:rsidP="00235853">
    <w:pPr>
      <w:pStyle w:val="Footer"/>
      <w:jc w:val="right"/>
    </w:pPr>
    <w:sdt>
      <w:sdtPr>
        <w:rPr>
          <w:rStyle w:val="PageNumber"/>
        </w:rPr>
        <w:id w:val="1063142190"/>
        <w:docPartObj>
          <w:docPartGallery w:val="Page Numbers (Bottom of Page)"/>
          <w:docPartUnique/>
        </w:docPartObj>
      </w:sdtPr>
      <w:sdtEndPr>
        <w:rPr>
          <w:rStyle w:val="PageNumber"/>
        </w:rPr>
      </w:sdtEndPr>
      <w:sdtContent>
        <w:r w:rsidR="00334ADB">
          <w:rPr>
            <w:rStyle w:val="PageNumber"/>
          </w:rPr>
          <w:fldChar w:fldCharType="begin"/>
        </w:r>
        <w:r w:rsidR="00334ADB">
          <w:rPr>
            <w:rStyle w:val="PageNumber"/>
          </w:rPr>
          <w:instrText xml:space="preserve"> PAGE </w:instrText>
        </w:r>
        <w:r w:rsidR="00334ADB">
          <w:rPr>
            <w:rStyle w:val="PageNumber"/>
          </w:rPr>
          <w:fldChar w:fldCharType="separate"/>
        </w:r>
        <w:r w:rsidR="00334ADB">
          <w:rPr>
            <w:rStyle w:val="PageNumber"/>
            <w:noProof/>
          </w:rPr>
          <w:t>3</w:t>
        </w:r>
        <w:r w:rsidR="00334ADB">
          <w:rPr>
            <w:rStyle w:val="PageNumber"/>
          </w:rPr>
          <w:fldChar w:fldCharType="end"/>
        </w:r>
      </w:sdtContent>
    </w:sdt>
    <w:r w:rsidR="00235853">
      <w:rPr>
        <w:rStyle w:val="PageNumber"/>
      </w:rPr>
      <w:t xml:space="preserve"> </w:t>
    </w:r>
    <w:r w:rsidR="00334ADB">
      <w:t>| PAGE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751337" w14:textId="77777777" w:rsidR="0055170D" w:rsidRDefault="0055170D" w:rsidP="00235853">
      <w:r>
        <w:separator/>
      </w:r>
    </w:p>
  </w:footnote>
  <w:footnote w:type="continuationSeparator" w:id="0">
    <w:p w14:paraId="290DDFAF" w14:textId="77777777" w:rsidR="0055170D" w:rsidRDefault="0055170D" w:rsidP="00235853">
      <w:r>
        <w:continuationSeparator/>
      </w:r>
    </w:p>
  </w:footnote>
  <w:footnote w:id="1">
    <w:p w14:paraId="776386CD" w14:textId="77777777" w:rsidR="00C94833" w:rsidRPr="00603593" w:rsidRDefault="00C94833" w:rsidP="00603593">
      <w:pPr>
        <w:pStyle w:val="Footer"/>
        <w:rPr>
          <w:sz w:val="20"/>
          <w:szCs w:val="20"/>
        </w:rPr>
      </w:pPr>
      <w:r w:rsidRPr="00603593">
        <w:rPr>
          <w:rStyle w:val="FootnoteReference"/>
          <w:sz w:val="20"/>
          <w:szCs w:val="20"/>
        </w:rPr>
        <w:footnoteRef/>
      </w:r>
      <w:r w:rsidRPr="00603593">
        <w:rPr>
          <w:sz w:val="20"/>
          <w:szCs w:val="20"/>
        </w:rPr>
        <w:t xml:space="preserve"> Australian Competition and Consumer Commission v Google LLC [2021] FCA 1172, [1].</w:t>
      </w:r>
    </w:p>
  </w:footnote>
  <w:footnote w:id="2">
    <w:p w14:paraId="40376613" w14:textId="77777777" w:rsidR="00C94833" w:rsidRPr="00603593" w:rsidRDefault="00C94833" w:rsidP="00603593">
      <w:pPr>
        <w:pStyle w:val="Footer"/>
        <w:rPr>
          <w:sz w:val="20"/>
          <w:szCs w:val="20"/>
        </w:rPr>
      </w:pPr>
      <w:r w:rsidRPr="00603593">
        <w:rPr>
          <w:rStyle w:val="FootnoteReference"/>
          <w:sz w:val="20"/>
          <w:szCs w:val="20"/>
        </w:rPr>
        <w:footnoteRef/>
      </w:r>
      <w:r w:rsidRPr="00603593">
        <w:rPr>
          <w:sz w:val="20"/>
          <w:szCs w:val="20"/>
        </w:rPr>
        <w:t xml:space="preserve"> Ibid [1]-[2]. </w:t>
      </w:r>
    </w:p>
  </w:footnote>
  <w:footnote w:id="3">
    <w:p w14:paraId="2853CDA1" w14:textId="77777777" w:rsidR="00C94833" w:rsidRPr="00603593" w:rsidRDefault="00C94833" w:rsidP="00603593">
      <w:pPr>
        <w:pStyle w:val="Footer"/>
        <w:rPr>
          <w:sz w:val="20"/>
          <w:szCs w:val="20"/>
        </w:rPr>
      </w:pPr>
      <w:r w:rsidRPr="00603593">
        <w:rPr>
          <w:rStyle w:val="FootnoteReference"/>
          <w:sz w:val="20"/>
          <w:szCs w:val="20"/>
        </w:rPr>
        <w:footnoteRef/>
      </w:r>
      <w:r w:rsidRPr="00603593">
        <w:rPr>
          <w:sz w:val="20"/>
          <w:szCs w:val="20"/>
        </w:rPr>
        <w:t xml:space="preserve"> Ibid [2].</w:t>
      </w:r>
    </w:p>
  </w:footnote>
  <w:footnote w:id="4">
    <w:p w14:paraId="32047474" w14:textId="77777777" w:rsidR="00C94833" w:rsidRPr="00603593" w:rsidRDefault="00C94833" w:rsidP="00603593">
      <w:pPr>
        <w:pStyle w:val="Footer"/>
        <w:rPr>
          <w:sz w:val="20"/>
          <w:szCs w:val="20"/>
        </w:rPr>
      </w:pPr>
      <w:r w:rsidRPr="00603593">
        <w:rPr>
          <w:rStyle w:val="FootnoteReference"/>
          <w:sz w:val="20"/>
          <w:szCs w:val="20"/>
        </w:rPr>
        <w:footnoteRef/>
      </w:r>
      <w:r w:rsidRPr="00603593">
        <w:rPr>
          <w:sz w:val="20"/>
          <w:szCs w:val="20"/>
        </w:rPr>
        <w:t xml:space="preserve"> Ibid [1].</w:t>
      </w:r>
    </w:p>
  </w:footnote>
  <w:footnote w:id="5">
    <w:p w14:paraId="6FF44D3F" w14:textId="77777777" w:rsidR="00C94833" w:rsidRPr="00603593" w:rsidRDefault="00C94833" w:rsidP="00603593">
      <w:pPr>
        <w:pStyle w:val="Footer"/>
        <w:rPr>
          <w:sz w:val="20"/>
          <w:szCs w:val="20"/>
        </w:rPr>
      </w:pPr>
      <w:r w:rsidRPr="00603593">
        <w:rPr>
          <w:rStyle w:val="FootnoteReference"/>
          <w:sz w:val="20"/>
          <w:szCs w:val="20"/>
        </w:rPr>
        <w:footnoteRef/>
      </w:r>
      <w:r w:rsidRPr="00603593">
        <w:rPr>
          <w:sz w:val="20"/>
          <w:szCs w:val="20"/>
        </w:rPr>
        <w:t xml:space="preserve"> Ibid.</w:t>
      </w:r>
    </w:p>
  </w:footnote>
  <w:footnote w:id="6">
    <w:p w14:paraId="0A445231" w14:textId="77777777" w:rsidR="00C94833" w:rsidRPr="00603593" w:rsidRDefault="00C94833" w:rsidP="00603593">
      <w:pPr>
        <w:pStyle w:val="Footer"/>
        <w:rPr>
          <w:sz w:val="20"/>
          <w:szCs w:val="20"/>
        </w:rPr>
      </w:pPr>
      <w:r w:rsidRPr="00603593">
        <w:rPr>
          <w:rStyle w:val="FootnoteReference"/>
          <w:sz w:val="20"/>
          <w:szCs w:val="20"/>
        </w:rPr>
        <w:footnoteRef/>
      </w:r>
      <w:r w:rsidRPr="00603593">
        <w:rPr>
          <w:sz w:val="20"/>
          <w:szCs w:val="20"/>
        </w:rPr>
        <w:t xml:space="preserve"> Ibid [4]-[6]. </w:t>
      </w:r>
    </w:p>
  </w:footnote>
  <w:footnote w:id="7">
    <w:p w14:paraId="7A11CF47" w14:textId="77777777" w:rsidR="00C94833" w:rsidRPr="00603593" w:rsidRDefault="00C94833" w:rsidP="00603593">
      <w:pPr>
        <w:pStyle w:val="Footer"/>
        <w:rPr>
          <w:sz w:val="20"/>
          <w:szCs w:val="20"/>
        </w:rPr>
      </w:pPr>
      <w:r w:rsidRPr="00603593">
        <w:rPr>
          <w:rStyle w:val="FootnoteReference"/>
          <w:sz w:val="20"/>
          <w:szCs w:val="20"/>
        </w:rPr>
        <w:footnoteRef/>
      </w:r>
      <w:r w:rsidRPr="00603593">
        <w:rPr>
          <w:sz w:val="20"/>
          <w:szCs w:val="20"/>
        </w:rPr>
        <w:t xml:space="preserve"> Ibid [5].</w:t>
      </w:r>
    </w:p>
  </w:footnote>
  <w:footnote w:id="8">
    <w:p w14:paraId="1849E0D0" w14:textId="77777777" w:rsidR="00C94833" w:rsidRPr="00603593" w:rsidRDefault="00C94833" w:rsidP="00603593">
      <w:pPr>
        <w:pStyle w:val="Footer"/>
        <w:rPr>
          <w:sz w:val="20"/>
          <w:szCs w:val="20"/>
        </w:rPr>
      </w:pPr>
      <w:r w:rsidRPr="00603593">
        <w:rPr>
          <w:rStyle w:val="FootnoteReference"/>
          <w:sz w:val="20"/>
          <w:szCs w:val="20"/>
        </w:rPr>
        <w:footnoteRef/>
      </w:r>
      <w:r w:rsidRPr="00603593">
        <w:rPr>
          <w:sz w:val="20"/>
          <w:szCs w:val="20"/>
        </w:rPr>
        <w:t xml:space="preserve"> Ibid.</w:t>
      </w:r>
    </w:p>
  </w:footnote>
  <w:footnote w:id="9">
    <w:p w14:paraId="6542555D" w14:textId="77777777" w:rsidR="00C94833" w:rsidRPr="00603593" w:rsidRDefault="00C94833" w:rsidP="00603593">
      <w:pPr>
        <w:pStyle w:val="Footer"/>
        <w:rPr>
          <w:sz w:val="20"/>
          <w:szCs w:val="20"/>
        </w:rPr>
      </w:pPr>
      <w:r w:rsidRPr="00603593">
        <w:rPr>
          <w:rStyle w:val="FootnoteReference"/>
          <w:sz w:val="20"/>
          <w:szCs w:val="20"/>
        </w:rPr>
        <w:footnoteRef/>
      </w:r>
      <w:r w:rsidRPr="00603593">
        <w:rPr>
          <w:sz w:val="20"/>
          <w:szCs w:val="20"/>
        </w:rPr>
        <w:t xml:space="preserve"> Ibid [7].</w:t>
      </w:r>
    </w:p>
  </w:footnote>
  <w:footnote w:id="10">
    <w:p w14:paraId="3CD1CDC4" w14:textId="77777777" w:rsidR="00C94833" w:rsidRPr="00603593" w:rsidRDefault="00C94833" w:rsidP="00603593">
      <w:pPr>
        <w:pStyle w:val="Footer"/>
        <w:rPr>
          <w:sz w:val="20"/>
          <w:szCs w:val="20"/>
        </w:rPr>
      </w:pPr>
      <w:r w:rsidRPr="00603593">
        <w:rPr>
          <w:rStyle w:val="FootnoteReference"/>
          <w:sz w:val="20"/>
          <w:szCs w:val="20"/>
        </w:rPr>
        <w:footnoteRef/>
      </w:r>
      <w:r w:rsidRPr="00603593">
        <w:rPr>
          <w:sz w:val="20"/>
          <w:szCs w:val="20"/>
        </w:rPr>
        <w:t xml:space="preserve"> Ibid [4].</w:t>
      </w:r>
    </w:p>
  </w:footnote>
  <w:footnote w:id="11">
    <w:p w14:paraId="57CFB124" w14:textId="77777777" w:rsidR="00C94833" w:rsidRPr="00603593" w:rsidRDefault="00C94833" w:rsidP="00603593">
      <w:pPr>
        <w:pStyle w:val="Footer"/>
        <w:rPr>
          <w:sz w:val="20"/>
          <w:szCs w:val="20"/>
        </w:rPr>
      </w:pPr>
      <w:r w:rsidRPr="00603593">
        <w:rPr>
          <w:rStyle w:val="FootnoteReference"/>
          <w:sz w:val="20"/>
          <w:szCs w:val="20"/>
        </w:rPr>
        <w:footnoteRef/>
      </w:r>
      <w:r w:rsidRPr="00603593">
        <w:rPr>
          <w:sz w:val="20"/>
          <w:szCs w:val="20"/>
        </w:rPr>
        <w:t xml:space="preserve"> Ibid [8].</w:t>
      </w:r>
    </w:p>
  </w:footnote>
  <w:footnote w:id="12">
    <w:p w14:paraId="55CBA338" w14:textId="77777777" w:rsidR="00C94833" w:rsidRPr="00603593" w:rsidRDefault="00C94833" w:rsidP="00603593">
      <w:pPr>
        <w:pStyle w:val="Footer"/>
        <w:rPr>
          <w:sz w:val="20"/>
          <w:szCs w:val="20"/>
        </w:rPr>
      </w:pPr>
      <w:r w:rsidRPr="00603593">
        <w:rPr>
          <w:rStyle w:val="FootnoteReference"/>
          <w:sz w:val="20"/>
          <w:szCs w:val="20"/>
        </w:rPr>
        <w:footnoteRef/>
      </w:r>
      <w:r w:rsidRPr="00603593">
        <w:rPr>
          <w:sz w:val="20"/>
          <w:szCs w:val="20"/>
        </w:rPr>
        <w:t xml:space="preserve"> Ibid [17].</w:t>
      </w:r>
    </w:p>
  </w:footnote>
  <w:footnote w:id="13">
    <w:p w14:paraId="00417FD4" w14:textId="77777777" w:rsidR="00C94833" w:rsidRPr="00603593" w:rsidRDefault="00C94833" w:rsidP="00603593">
      <w:pPr>
        <w:pStyle w:val="Footer"/>
        <w:rPr>
          <w:sz w:val="20"/>
          <w:szCs w:val="20"/>
        </w:rPr>
      </w:pPr>
      <w:r w:rsidRPr="00603593">
        <w:rPr>
          <w:rStyle w:val="FootnoteReference"/>
          <w:sz w:val="20"/>
          <w:szCs w:val="20"/>
        </w:rPr>
        <w:footnoteRef/>
      </w:r>
      <w:r w:rsidRPr="00603593">
        <w:rPr>
          <w:sz w:val="20"/>
          <w:szCs w:val="20"/>
        </w:rPr>
        <w:t xml:space="preserve"> Ibid [11], [17].</w:t>
      </w:r>
    </w:p>
  </w:footnote>
  <w:footnote w:id="14">
    <w:p w14:paraId="6BD18B61" w14:textId="77777777" w:rsidR="00C94833" w:rsidRPr="00603593" w:rsidRDefault="00C94833" w:rsidP="00603593">
      <w:pPr>
        <w:pStyle w:val="Footer"/>
        <w:rPr>
          <w:sz w:val="20"/>
          <w:szCs w:val="20"/>
        </w:rPr>
      </w:pPr>
      <w:r w:rsidRPr="00603593">
        <w:rPr>
          <w:rStyle w:val="FootnoteReference"/>
          <w:sz w:val="20"/>
          <w:szCs w:val="20"/>
        </w:rPr>
        <w:footnoteRef/>
      </w:r>
      <w:r w:rsidRPr="00603593">
        <w:rPr>
          <w:sz w:val="20"/>
          <w:szCs w:val="20"/>
        </w:rPr>
        <w:t xml:space="preserve"> Ibid [6].</w:t>
      </w:r>
    </w:p>
  </w:footnote>
  <w:footnote w:id="15">
    <w:p w14:paraId="60DCFE40" w14:textId="77777777" w:rsidR="00C94833" w:rsidRPr="00603593" w:rsidRDefault="00C94833" w:rsidP="00603593">
      <w:pPr>
        <w:pStyle w:val="Footer"/>
        <w:rPr>
          <w:sz w:val="20"/>
          <w:szCs w:val="20"/>
        </w:rPr>
      </w:pPr>
      <w:r w:rsidRPr="00603593">
        <w:rPr>
          <w:rStyle w:val="FootnoteReference"/>
          <w:sz w:val="20"/>
          <w:szCs w:val="20"/>
        </w:rPr>
        <w:footnoteRef/>
      </w:r>
      <w:r w:rsidRPr="00603593">
        <w:rPr>
          <w:sz w:val="20"/>
          <w:szCs w:val="20"/>
        </w:rPr>
        <w:t xml:space="preserve"> Ibid [18]; Australian Competition and Consumer Commission v TPG Internet Pty Ltd (2013) 250 CLR 640, 655 [55].</w:t>
      </w:r>
    </w:p>
  </w:footnote>
  <w:footnote w:id="16">
    <w:p w14:paraId="1912C8A0" w14:textId="77777777" w:rsidR="00C94833" w:rsidRPr="00603593" w:rsidRDefault="00C94833" w:rsidP="00603593">
      <w:pPr>
        <w:pStyle w:val="Footer"/>
        <w:rPr>
          <w:sz w:val="20"/>
          <w:szCs w:val="20"/>
        </w:rPr>
      </w:pPr>
      <w:r w:rsidRPr="00603593">
        <w:rPr>
          <w:rStyle w:val="FootnoteReference"/>
          <w:sz w:val="20"/>
          <w:szCs w:val="20"/>
        </w:rPr>
        <w:footnoteRef/>
      </w:r>
      <w:r w:rsidRPr="00603593">
        <w:rPr>
          <w:sz w:val="20"/>
          <w:szCs w:val="20"/>
        </w:rPr>
        <w:t xml:space="preserve"> Australian Competition and Consumer Commission v Google LLC [2021] FCA 1172, [6].</w:t>
      </w:r>
    </w:p>
  </w:footnote>
  <w:footnote w:id="17">
    <w:p w14:paraId="00A760C5" w14:textId="77777777" w:rsidR="00C94833" w:rsidRPr="00603593" w:rsidRDefault="00C94833" w:rsidP="00603593">
      <w:pPr>
        <w:pStyle w:val="Footer"/>
        <w:rPr>
          <w:sz w:val="20"/>
          <w:szCs w:val="20"/>
        </w:rPr>
      </w:pPr>
      <w:r w:rsidRPr="00603593">
        <w:rPr>
          <w:rStyle w:val="FootnoteReference"/>
          <w:sz w:val="20"/>
          <w:szCs w:val="20"/>
        </w:rPr>
        <w:footnoteRef/>
      </w:r>
      <w:r w:rsidRPr="00603593">
        <w:rPr>
          <w:sz w:val="20"/>
          <w:szCs w:val="20"/>
        </w:rPr>
        <w:t xml:space="preserve"> Ibid [5].</w:t>
      </w:r>
    </w:p>
  </w:footnote>
  <w:footnote w:id="18">
    <w:p w14:paraId="30381359" w14:textId="77777777" w:rsidR="00C94833" w:rsidRPr="00603593" w:rsidRDefault="00C94833" w:rsidP="00603593">
      <w:pPr>
        <w:pStyle w:val="Footer"/>
        <w:rPr>
          <w:sz w:val="20"/>
          <w:szCs w:val="20"/>
        </w:rPr>
      </w:pPr>
      <w:r w:rsidRPr="00603593">
        <w:rPr>
          <w:rStyle w:val="FootnoteReference"/>
          <w:sz w:val="20"/>
          <w:szCs w:val="20"/>
        </w:rPr>
        <w:footnoteRef/>
      </w:r>
      <w:r w:rsidRPr="00603593">
        <w:rPr>
          <w:sz w:val="20"/>
          <w:szCs w:val="20"/>
        </w:rPr>
        <w:t xml:space="preserve"> Ibid [6].</w:t>
      </w:r>
    </w:p>
  </w:footnote>
  <w:footnote w:id="19">
    <w:p w14:paraId="724B167F" w14:textId="77777777" w:rsidR="00C94833" w:rsidRPr="00603593" w:rsidRDefault="00C94833" w:rsidP="00603593">
      <w:pPr>
        <w:pStyle w:val="Footer"/>
        <w:rPr>
          <w:sz w:val="20"/>
          <w:szCs w:val="20"/>
        </w:rPr>
      </w:pPr>
      <w:r w:rsidRPr="00603593">
        <w:rPr>
          <w:rStyle w:val="FootnoteReference"/>
          <w:sz w:val="20"/>
          <w:szCs w:val="20"/>
        </w:rPr>
        <w:footnoteRef/>
      </w:r>
      <w:r w:rsidRPr="00603593">
        <w:rPr>
          <w:sz w:val="20"/>
          <w:szCs w:val="20"/>
        </w:rPr>
        <w:t xml:space="preserve"> Ibid [8].</w:t>
      </w:r>
    </w:p>
  </w:footnote>
  <w:footnote w:id="20">
    <w:p w14:paraId="45AAF152" w14:textId="77777777" w:rsidR="00C94833" w:rsidRPr="00603593" w:rsidRDefault="00C94833" w:rsidP="00603593">
      <w:pPr>
        <w:pStyle w:val="Footer"/>
        <w:rPr>
          <w:sz w:val="20"/>
          <w:szCs w:val="20"/>
        </w:rPr>
      </w:pPr>
      <w:r w:rsidRPr="00603593">
        <w:rPr>
          <w:rStyle w:val="FootnoteReference"/>
          <w:sz w:val="20"/>
          <w:szCs w:val="20"/>
        </w:rPr>
        <w:footnoteRef/>
      </w:r>
      <w:r w:rsidRPr="00603593">
        <w:rPr>
          <w:sz w:val="20"/>
          <w:szCs w:val="20"/>
        </w:rPr>
        <w:t xml:space="preserve"> Ibid.</w:t>
      </w:r>
    </w:p>
  </w:footnote>
  <w:footnote w:id="21">
    <w:p w14:paraId="49F8BD84" w14:textId="77777777" w:rsidR="00C94833" w:rsidRPr="00603593" w:rsidRDefault="00C94833" w:rsidP="00603593">
      <w:pPr>
        <w:pStyle w:val="Footer"/>
        <w:rPr>
          <w:sz w:val="20"/>
          <w:szCs w:val="20"/>
        </w:rPr>
      </w:pPr>
      <w:r w:rsidRPr="00603593">
        <w:rPr>
          <w:rStyle w:val="FootnoteReference"/>
          <w:sz w:val="20"/>
          <w:szCs w:val="20"/>
        </w:rPr>
        <w:footnoteRef/>
      </w:r>
      <w:r w:rsidRPr="00603593">
        <w:rPr>
          <w:sz w:val="20"/>
          <w:szCs w:val="20"/>
        </w:rPr>
        <w:t xml:space="preserve"> Ibid.</w:t>
      </w:r>
    </w:p>
  </w:footnote>
  <w:footnote w:id="22">
    <w:p w14:paraId="668B4BEA" w14:textId="77777777" w:rsidR="00C94833" w:rsidRPr="00603593" w:rsidRDefault="00C94833" w:rsidP="00603593">
      <w:pPr>
        <w:pStyle w:val="Footer"/>
        <w:rPr>
          <w:sz w:val="20"/>
          <w:szCs w:val="20"/>
        </w:rPr>
      </w:pPr>
      <w:r w:rsidRPr="00603593">
        <w:rPr>
          <w:rStyle w:val="FootnoteReference"/>
          <w:sz w:val="20"/>
          <w:szCs w:val="20"/>
        </w:rPr>
        <w:footnoteRef/>
      </w:r>
      <w:r w:rsidRPr="00603593">
        <w:rPr>
          <w:sz w:val="20"/>
          <w:szCs w:val="20"/>
        </w:rPr>
        <w:t xml:space="preserve"> Ibid [11].</w:t>
      </w:r>
    </w:p>
  </w:footnote>
  <w:footnote w:id="23">
    <w:p w14:paraId="08EC3D7B" w14:textId="77777777" w:rsidR="00C94833" w:rsidRPr="00603593" w:rsidRDefault="00C94833" w:rsidP="00603593">
      <w:pPr>
        <w:pStyle w:val="Footer"/>
        <w:rPr>
          <w:sz w:val="20"/>
          <w:szCs w:val="20"/>
        </w:rPr>
      </w:pPr>
      <w:r w:rsidRPr="00603593">
        <w:rPr>
          <w:rStyle w:val="FootnoteReference"/>
          <w:sz w:val="20"/>
          <w:szCs w:val="20"/>
        </w:rPr>
        <w:footnoteRef/>
      </w:r>
      <w:r w:rsidRPr="00603593">
        <w:rPr>
          <w:sz w:val="20"/>
          <w:szCs w:val="20"/>
        </w:rPr>
        <w:t xml:space="preserve"> Ibid.</w:t>
      </w:r>
    </w:p>
  </w:footnote>
  <w:footnote w:id="24">
    <w:p w14:paraId="69FF599E" w14:textId="77777777" w:rsidR="00C94833" w:rsidRPr="00603593" w:rsidRDefault="00C94833" w:rsidP="00603593">
      <w:pPr>
        <w:pStyle w:val="Footer"/>
        <w:rPr>
          <w:sz w:val="20"/>
          <w:szCs w:val="20"/>
        </w:rPr>
      </w:pPr>
      <w:r w:rsidRPr="00603593">
        <w:rPr>
          <w:rStyle w:val="FootnoteReference"/>
          <w:sz w:val="20"/>
          <w:szCs w:val="20"/>
        </w:rPr>
        <w:footnoteRef/>
      </w:r>
      <w:r w:rsidRPr="00603593">
        <w:rPr>
          <w:sz w:val="20"/>
          <w:szCs w:val="20"/>
        </w:rPr>
        <w:t xml:space="preserve"> Ibid [12].</w:t>
      </w:r>
    </w:p>
  </w:footnote>
  <w:footnote w:id="25">
    <w:p w14:paraId="041DFC9C" w14:textId="77777777" w:rsidR="00C94833" w:rsidRPr="00603593" w:rsidRDefault="00C94833" w:rsidP="00603593">
      <w:pPr>
        <w:pStyle w:val="Footer"/>
        <w:rPr>
          <w:sz w:val="20"/>
          <w:szCs w:val="20"/>
        </w:rPr>
      </w:pPr>
      <w:r w:rsidRPr="00603593">
        <w:rPr>
          <w:rStyle w:val="FootnoteReference"/>
          <w:sz w:val="20"/>
          <w:szCs w:val="20"/>
        </w:rPr>
        <w:footnoteRef/>
      </w:r>
      <w:r w:rsidRPr="00603593">
        <w:rPr>
          <w:sz w:val="20"/>
          <w:szCs w:val="20"/>
        </w:rPr>
        <w:t xml:space="preserve"> Ibid [23].</w:t>
      </w:r>
    </w:p>
  </w:footnote>
  <w:footnote w:id="26">
    <w:p w14:paraId="0D70A9F7" w14:textId="77777777" w:rsidR="00C94833" w:rsidRPr="00603593" w:rsidRDefault="00C94833" w:rsidP="00603593">
      <w:pPr>
        <w:pStyle w:val="Footer"/>
        <w:rPr>
          <w:sz w:val="20"/>
          <w:szCs w:val="20"/>
        </w:rPr>
      </w:pPr>
      <w:r w:rsidRPr="00603593">
        <w:rPr>
          <w:rStyle w:val="FootnoteReference"/>
          <w:sz w:val="20"/>
          <w:szCs w:val="20"/>
        </w:rPr>
        <w:footnoteRef/>
      </w:r>
      <w:r w:rsidRPr="00603593">
        <w:rPr>
          <w:sz w:val="20"/>
          <w:szCs w:val="20"/>
        </w:rPr>
        <w:t xml:space="preserve"> Ibid [17].</w:t>
      </w:r>
    </w:p>
  </w:footnote>
  <w:footnote w:id="27">
    <w:p w14:paraId="36353289" w14:textId="77777777" w:rsidR="00C94833" w:rsidRPr="00603593" w:rsidRDefault="00C94833" w:rsidP="00603593">
      <w:pPr>
        <w:pStyle w:val="Footer"/>
        <w:rPr>
          <w:sz w:val="20"/>
          <w:szCs w:val="20"/>
        </w:rPr>
      </w:pPr>
      <w:r w:rsidRPr="00603593">
        <w:rPr>
          <w:rStyle w:val="FootnoteReference"/>
          <w:sz w:val="20"/>
          <w:szCs w:val="20"/>
        </w:rPr>
        <w:footnoteRef/>
      </w:r>
      <w:r w:rsidRPr="00603593">
        <w:rPr>
          <w:sz w:val="20"/>
          <w:szCs w:val="20"/>
        </w:rPr>
        <w:t xml:space="preserve"> Ibid [20]-[21].</w:t>
      </w:r>
    </w:p>
  </w:footnote>
  <w:footnote w:id="28">
    <w:p w14:paraId="31E08863" w14:textId="77777777" w:rsidR="00C94833" w:rsidRPr="00603593" w:rsidRDefault="00C94833" w:rsidP="00603593">
      <w:pPr>
        <w:pStyle w:val="Footer"/>
        <w:rPr>
          <w:sz w:val="20"/>
          <w:szCs w:val="20"/>
        </w:rPr>
      </w:pPr>
      <w:r w:rsidRPr="00603593">
        <w:rPr>
          <w:rStyle w:val="FootnoteReference"/>
          <w:sz w:val="20"/>
          <w:szCs w:val="20"/>
        </w:rPr>
        <w:footnoteRef/>
      </w:r>
      <w:r w:rsidRPr="00603593">
        <w:rPr>
          <w:sz w:val="20"/>
          <w:szCs w:val="20"/>
        </w:rPr>
        <w:t xml:space="preserve"> Ibid [21].</w:t>
      </w:r>
    </w:p>
  </w:footnote>
  <w:footnote w:id="29">
    <w:p w14:paraId="0DDD16E8" w14:textId="77777777" w:rsidR="00C94833" w:rsidRPr="00603593" w:rsidRDefault="00C94833" w:rsidP="00603593">
      <w:pPr>
        <w:pStyle w:val="Footer"/>
        <w:rPr>
          <w:sz w:val="20"/>
          <w:szCs w:val="20"/>
        </w:rPr>
      </w:pPr>
      <w:r w:rsidRPr="00603593">
        <w:rPr>
          <w:rStyle w:val="FootnoteReference"/>
          <w:sz w:val="20"/>
          <w:szCs w:val="20"/>
        </w:rPr>
        <w:footnoteRef/>
      </w:r>
      <w:r w:rsidRPr="00603593">
        <w:rPr>
          <w:sz w:val="20"/>
          <w:szCs w:val="20"/>
        </w:rPr>
        <w:t xml:space="preserve"> Ibid [23].</w:t>
      </w:r>
    </w:p>
  </w:footnote>
  <w:footnote w:id="30">
    <w:p w14:paraId="75C48D0F" w14:textId="77777777" w:rsidR="00C94833" w:rsidRPr="00603593" w:rsidRDefault="00C94833" w:rsidP="00603593">
      <w:pPr>
        <w:pStyle w:val="Footer"/>
        <w:rPr>
          <w:sz w:val="20"/>
          <w:szCs w:val="20"/>
        </w:rPr>
      </w:pPr>
      <w:r w:rsidRPr="00603593">
        <w:rPr>
          <w:rStyle w:val="FootnoteReference"/>
          <w:sz w:val="20"/>
          <w:szCs w:val="20"/>
        </w:rPr>
        <w:footnoteRef/>
      </w:r>
      <w:r w:rsidRPr="00603593">
        <w:rPr>
          <w:sz w:val="20"/>
          <w:szCs w:val="20"/>
        </w:rPr>
        <w:t xml:space="preserve"> Ibid [17].</w:t>
      </w:r>
    </w:p>
  </w:footnote>
  <w:footnote w:id="31">
    <w:p w14:paraId="10645CEE" w14:textId="77777777" w:rsidR="00C94833" w:rsidRPr="00603593" w:rsidRDefault="00C94833" w:rsidP="00603593">
      <w:pPr>
        <w:pStyle w:val="Footer"/>
        <w:rPr>
          <w:sz w:val="20"/>
          <w:szCs w:val="20"/>
        </w:rPr>
      </w:pPr>
      <w:r w:rsidRPr="00603593">
        <w:rPr>
          <w:rStyle w:val="FootnoteReference"/>
          <w:sz w:val="20"/>
          <w:szCs w:val="20"/>
        </w:rPr>
        <w:footnoteRef/>
      </w:r>
      <w:r w:rsidRPr="00603593">
        <w:rPr>
          <w:sz w:val="20"/>
          <w:szCs w:val="20"/>
        </w:rPr>
        <w:t xml:space="preserve"> Ibid [11], [21].</w:t>
      </w:r>
    </w:p>
  </w:footnote>
  <w:footnote w:id="32">
    <w:p w14:paraId="754DE043" w14:textId="77777777" w:rsidR="00C94833" w:rsidRPr="00603593" w:rsidRDefault="00C94833" w:rsidP="00603593">
      <w:pPr>
        <w:pStyle w:val="Footer"/>
        <w:rPr>
          <w:sz w:val="20"/>
          <w:szCs w:val="20"/>
        </w:rPr>
      </w:pPr>
      <w:r w:rsidRPr="00603593">
        <w:rPr>
          <w:rStyle w:val="FootnoteReference"/>
          <w:sz w:val="20"/>
          <w:szCs w:val="20"/>
        </w:rPr>
        <w:footnoteRef/>
      </w:r>
      <w:r w:rsidRPr="00603593">
        <w:rPr>
          <w:sz w:val="20"/>
          <w:szCs w:val="20"/>
        </w:rPr>
        <w:t xml:space="preserve"> ACCC v TPG Internet Pty Ltd (2013) 250 CLR 640, 655 [55].</w:t>
      </w:r>
    </w:p>
  </w:footnote>
  <w:footnote w:id="33">
    <w:p w14:paraId="47A16752" w14:textId="77777777" w:rsidR="00C94833" w:rsidRPr="00603593" w:rsidRDefault="00C94833" w:rsidP="00603593">
      <w:pPr>
        <w:pStyle w:val="Footer"/>
        <w:rPr>
          <w:sz w:val="20"/>
          <w:szCs w:val="20"/>
        </w:rPr>
      </w:pPr>
      <w:r w:rsidRPr="00603593">
        <w:rPr>
          <w:rStyle w:val="FootnoteReference"/>
          <w:sz w:val="20"/>
          <w:szCs w:val="20"/>
        </w:rPr>
        <w:footnoteRef/>
      </w:r>
      <w:r w:rsidRPr="00603593">
        <w:rPr>
          <w:sz w:val="20"/>
          <w:szCs w:val="20"/>
        </w:rPr>
        <w:t xml:space="preserve"> ACCC v Google LLC [2021] FCA 1172, [8].</w:t>
      </w:r>
    </w:p>
  </w:footnote>
  <w:footnote w:id="34">
    <w:p w14:paraId="16058DBB" w14:textId="77777777" w:rsidR="00C94833" w:rsidRDefault="00C94833" w:rsidP="00603593">
      <w:pPr>
        <w:pStyle w:val="Footer"/>
      </w:pPr>
      <w:r w:rsidRPr="00603593">
        <w:rPr>
          <w:rStyle w:val="FootnoteReference"/>
          <w:sz w:val="20"/>
          <w:szCs w:val="20"/>
        </w:rPr>
        <w:footnoteRef/>
      </w:r>
      <w:r w:rsidRPr="00603593">
        <w:rPr>
          <w:sz w:val="20"/>
          <w:szCs w:val="20"/>
        </w:rPr>
        <w:t xml:space="preserve"> Ibid.</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6"/>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108B"/>
    <w:rsid w:val="0007301A"/>
    <w:rsid w:val="0008172E"/>
    <w:rsid w:val="000A4193"/>
    <w:rsid w:val="000A7F76"/>
    <w:rsid w:val="000B2023"/>
    <w:rsid w:val="000D128E"/>
    <w:rsid w:val="000F108B"/>
    <w:rsid w:val="00111C95"/>
    <w:rsid w:val="00134090"/>
    <w:rsid w:val="00137E3E"/>
    <w:rsid w:val="00147DC9"/>
    <w:rsid w:val="00166E10"/>
    <w:rsid w:val="00175486"/>
    <w:rsid w:val="001A3BD0"/>
    <w:rsid w:val="001B7DFD"/>
    <w:rsid w:val="001C6A9D"/>
    <w:rsid w:val="001F059D"/>
    <w:rsid w:val="001F21E4"/>
    <w:rsid w:val="001F7F8C"/>
    <w:rsid w:val="0021596B"/>
    <w:rsid w:val="00220042"/>
    <w:rsid w:val="0023078B"/>
    <w:rsid w:val="00235853"/>
    <w:rsid w:val="00240E95"/>
    <w:rsid w:val="00262BED"/>
    <w:rsid w:val="0027444B"/>
    <w:rsid w:val="00285268"/>
    <w:rsid w:val="00294CA4"/>
    <w:rsid w:val="002D6AA4"/>
    <w:rsid w:val="002F23C0"/>
    <w:rsid w:val="00300E0C"/>
    <w:rsid w:val="0032017D"/>
    <w:rsid w:val="00334ADB"/>
    <w:rsid w:val="00341B1E"/>
    <w:rsid w:val="00344A17"/>
    <w:rsid w:val="00356093"/>
    <w:rsid w:val="003A02E1"/>
    <w:rsid w:val="003A1CFB"/>
    <w:rsid w:val="003B7C76"/>
    <w:rsid w:val="003C2E5F"/>
    <w:rsid w:val="003E43B4"/>
    <w:rsid w:val="003E7BC4"/>
    <w:rsid w:val="00404131"/>
    <w:rsid w:val="00405FCE"/>
    <w:rsid w:val="004428B7"/>
    <w:rsid w:val="00454AE5"/>
    <w:rsid w:val="0045682C"/>
    <w:rsid w:val="0046317F"/>
    <w:rsid w:val="00464656"/>
    <w:rsid w:val="0046610A"/>
    <w:rsid w:val="00480B5D"/>
    <w:rsid w:val="00482078"/>
    <w:rsid w:val="00483774"/>
    <w:rsid w:val="00483FDC"/>
    <w:rsid w:val="004D2AC4"/>
    <w:rsid w:val="004D4240"/>
    <w:rsid w:val="004E3D64"/>
    <w:rsid w:val="004E66C5"/>
    <w:rsid w:val="004F4891"/>
    <w:rsid w:val="0051626A"/>
    <w:rsid w:val="00531BB6"/>
    <w:rsid w:val="0055170D"/>
    <w:rsid w:val="00553DD0"/>
    <w:rsid w:val="00564DFA"/>
    <w:rsid w:val="00571DCD"/>
    <w:rsid w:val="00580005"/>
    <w:rsid w:val="00580B86"/>
    <w:rsid w:val="0058507A"/>
    <w:rsid w:val="00596E11"/>
    <w:rsid w:val="005A2FB7"/>
    <w:rsid w:val="005A6F4D"/>
    <w:rsid w:val="005B0081"/>
    <w:rsid w:val="005D092F"/>
    <w:rsid w:val="005E1FFE"/>
    <w:rsid w:val="00601F4E"/>
    <w:rsid w:val="00602F53"/>
    <w:rsid w:val="00603593"/>
    <w:rsid w:val="006059CA"/>
    <w:rsid w:val="00610E85"/>
    <w:rsid w:val="00613015"/>
    <w:rsid w:val="006137B4"/>
    <w:rsid w:val="00621706"/>
    <w:rsid w:val="00630EB4"/>
    <w:rsid w:val="00634D86"/>
    <w:rsid w:val="00691C4F"/>
    <w:rsid w:val="006B0791"/>
    <w:rsid w:val="006B7BEF"/>
    <w:rsid w:val="006C0C11"/>
    <w:rsid w:val="006C458F"/>
    <w:rsid w:val="006F5236"/>
    <w:rsid w:val="006F60E7"/>
    <w:rsid w:val="006F651C"/>
    <w:rsid w:val="00714231"/>
    <w:rsid w:val="00727A61"/>
    <w:rsid w:val="0073715B"/>
    <w:rsid w:val="007546B3"/>
    <w:rsid w:val="0076135F"/>
    <w:rsid w:val="0076785F"/>
    <w:rsid w:val="0077393C"/>
    <w:rsid w:val="007769FF"/>
    <w:rsid w:val="007969BD"/>
    <w:rsid w:val="007A4BF8"/>
    <w:rsid w:val="007B1D20"/>
    <w:rsid w:val="007B71B0"/>
    <w:rsid w:val="007C4F96"/>
    <w:rsid w:val="007D2217"/>
    <w:rsid w:val="007F17E8"/>
    <w:rsid w:val="008024E0"/>
    <w:rsid w:val="00805941"/>
    <w:rsid w:val="00806120"/>
    <w:rsid w:val="0080654C"/>
    <w:rsid w:val="008132C3"/>
    <w:rsid w:val="008215DC"/>
    <w:rsid w:val="00840943"/>
    <w:rsid w:val="00843BE6"/>
    <w:rsid w:val="0085433B"/>
    <w:rsid w:val="00893441"/>
    <w:rsid w:val="008A391C"/>
    <w:rsid w:val="008B0CF6"/>
    <w:rsid w:val="008B7194"/>
    <w:rsid w:val="008B7902"/>
    <w:rsid w:val="008F57CF"/>
    <w:rsid w:val="009035F2"/>
    <w:rsid w:val="009142C9"/>
    <w:rsid w:val="00924A66"/>
    <w:rsid w:val="00930211"/>
    <w:rsid w:val="0093046D"/>
    <w:rsid w:val="00944B71"/>
    <w:rsid w:val="009470FA"/>
    <w:rsid w:val="0095632F"/>
    <w:rsid w:val="00962EBB"/>
    <w:rsid w:val="009929D2"/>
    <w:rsid w:val="00997C34"/>
    <w:rsid w:val="009C531C"/>
    <w:rsid w:val="009D06C6"/>
    <w:rsid w:val="009E1A7D"/>
    <w:rsid w:val="00A01517"/>
    <w:rsid w:val="00A03A12"/>
    <w:rsid w:val="00A0638E"/>
    <w:rsid w:val="00A502FB"/>
    <w:rsid w:val="00A540EA"/>
    <w:rsid w:val="00A830C0"/>
    <w:rsid w:val="00A97FC9"/>
    <w:rsid w:val="00AA3760"/>
    <w:rsid w:val="00AA67FB"/>
    <w:rsid w:val="00AD2504"/>
    <w:rsid w:val="00AF5C53"/>
    <w:rsid w:val="00B02D14"/>
    <w:rsid w:val="00B15DDE"/>
    <w:rsid w:val="00B33213"/>
    <w:rsid w:val="00B46C49"/>
    <w:rsid w:val="00B832BA"/>
    <w:rsid w:val="00B868C3"/>
    <w:rsid w:val="00B97C02"/>
    <w:rsid w:val="00BA00F7"/>
    <w:rsid w:val="00BB66EB"/>
    <w:rsid w:val="00BC443F"/>
    <w:rsid w:val="00BC6547"/>
    <w:rsid w:val="00BD62C4"/>
    <w:rsid w:val="00BE5553"/>
    <w:rsid w:val="00C00C1E"/>
    <w:rsid w:val="00C41993"/>
    <w:rsid w:val="00C63EA7"/>
    <w:rsid w:val="00C65049"/>
    <w:rsid w:val="00C8782D"/>
    <w:rsid w:val="00C94833"/>
    <w:rsid w:val="00C94C21"/>
    <w:rsid w:val="00CA6730"/>
    <w:rsid w:val="00CB7B0F"/>
    <w:rsid w:val="00CE2659"/>
    <w:rsid w:val="00D1061C"/>
    <w:rsid w:val="00D30760"/>
    <w:rsid w:val="00D5782C"/>
    <w:rsid w:val="00D67988"/>
    <w:rsid w:val="00D74462"/>
    <w:rsid w:val="00D75D0F"/>
    <w:rsid w:val="00D774EF"/>
    <w:rsid w:val="00D94C07"/>
    <w:rsid w:val="00DA7DC1"/>
    <w:rsid w:val="00DB065B"/>
    <w:rsid w:val="00DC1F28"/>
    <w:rsid w:val="00DE365C"/>
    <w:rsid w:val="00DE7698"/>
    <w:rsid w:val="00DF314C"/>
    <w:rsid w:val="00E00CF1"/>
    <w:rsid w:val="00E0232C"/>
    <w:rsid w:val="00E030D6"/>
    <w:rsid w:val="00E160C6"/>
    <w:rsid w:val="00E179B4"/>
    <w:rsid w:val="00E23ACE"/>
    <w:rsid w:val="00E35F81"/>
    <w:rsid w:val="00E45958"/>
    <w:rsid w:val="00E6116E"/>
    <w:rsid w:val="00E6236F"/>
    <w:rsid w:val="00E660C7"/>
    <w:rsid w:val="00E95486"/>
    <w:rsid w:val="00EC40F3"/>
    <w:rsid w:val="00EF6D7D"/>
    <w:rsid w:val="00EF7F99"/>
    <w:rsid w:val="00F05EA0"/>
    <w:rsid w:val="00F1081F"/>
    <w:rsid w:val="00F15FF2"/>
    <w:rsid w:val="00F166DC"/>
    <w:rsid w:val="00F22977"/>
    <w:rsid w:val="00F3602A"/>
    <w:rsid w:val="00F52A96"/>
    <w:rsid w:val="00F6794E"/>
    <w:rsid w:val="00F73151"/>
    <w:rsid w:val="00F74AD5"/>
    <w:rsid w:val="00F76D99"/>
    <w:rsid w:val="00F772BB"/>
    <w:rsid w:val="00F81255"/>
    <w:rsid w:val="00F84D64"/>
    <w:rsid w:val="00F972AD"/>
    <w:rsid w:val="00FA4988"/>
    <w:rsid w:val="00FA4E12"/>
    <w:rsid w:val="00FB2581"/>
    <w:rsid w:val="00FB5B18"/>
    <w:rsid w:val="00FD42E0"/>
    <w:rsid w:val="00FD531E"/>
    <w:rsid w:val="00FE034A"/>
    <w:rsid w:val="00FE621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F47C0F"/>
  <w15:chartTrackingRefBased/>
  <w15:docId w15:val="{5B7C685B-599E-F249-9F2E-FA1E023E8B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5853"/>
    <w:pPr>
      <w:spacing w:after="240" w:line="360" w:lineRule="auto"/>
    </w:pPr>
    <w:rPr>
      <w:rFonts w:ascii="Times New Roman" w:hAnsi="Times New Roman" w:cs="Times New Roman"/>
    </w:rPr>
  </w:style>
  <w:style w:type="paragraph" w:styleId="Heading1">
    <w:name w:val="heading 1"/>
    <w:basedOn w:val="Normal"/>
    <w:next w:val="Normal"/>
    <w:link w:val="Heading1Char"/>
    <w:uiPriority w:val="9"/>
    <w:qFormat/>
    <w:rsid w:val="00E23ACE"/>
    <w:pPr>
      <w:jc w:val="center"/>
      <w:outlineLvl w:val="0"/>
    </w:pPr>
    <w:rPr>
      <w:b/>
      <w:bCs/>
      <w:color w:val="000000" w:themeColor="text1"/>
      <w:sz w:val="28"/>
      <w:szCs w:val="28"/>
    </w:rPr>
  </w:style>
  <w:style w:type="paragraph" w:styleId="Heading2">
    <w:name w:val="heading 2"/>
    <w:basedOn w:val="Normal"/>
    <w:next w:val="Normal"/>
    <w:link w:val="Heading2Char"/>
    <w:uiPriority w:val="9"/>
    <w:unhideWhenUsed/>
    <w:qFormat/>
    <w:rsid w:val="00235853"/>
    <w:pPr>
      <w:outlineLvl w:val="1"/>
    </w:pPr>
    <w:rPr>
      <w:u w:val="single"/>
    </w:rPr>
  </w:style>
  <w:style w:type="paragraph" w:styleId="Heading3">
    <w:name w:val="heading 3"/>
    <w:basedOn w:val="Normal"/>
    <w:next w:val="Normal"/>
    <w:link w:val="Heading3Char"/>
    <w:uiPriority w:val="9"/>
    <w:unhideWhenUsed/>
    <w:qFormat/>
    <w:rsid w:val="000F10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F10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F10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F108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F108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F108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F108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23ACE"/>
    <w:rPr>
      <w:rFonts w:ascii="Times New Roman" w:hAnsi="Times New Roman" w:cs="Times New Roman"/>
      <w:b/>
      <w:bCs/>
      <w:color w:val="000000" w:themeColor="text1"/>
      <w:sz w:val="28"/>
      <w:szCs w:val="28"/>
    </w:rPr>
  </w:style>
  <w:style w:type="character" w:customStyle="1" w:styleId="Heading2Char">
    <w:name w:val="Heading 2 Char"/>
    <w:basedOn w:val="DefaultParagraphFont"/>
    <w:link w:val="Heading2"/>
    <w:uiPriority w:val="9"/>
    <w:rsid w:val="00235853"/>
    <w:rPr>
      <w:rFonts w:ascii="Times New Roman" w:hAnsi="Times New Roman" w:cs="Times New Roman"/>
      <w:u w:val="single"/>
    </w:rPr>
  </w:style>
  <w:style w:type="character" w:customStyle="1" w:styleId="Heading3Char">
    <w:name w:val="Heading 3 Char"/>
    <w:basedOn w:val="DefaultParagraphFont"/>
    <w:link w:val="Heading3"/>
    <w:uiPriority w:val="9"/>
    <w:rsid w:val="000F10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F10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F10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F10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F10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F10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F108B"/>
    <w:rPr>
      <w:rFonts w:eastAsiaTheme="majorEastAsia" w:cstheme="majorBidi"/>
      <w:color w:val="272727" w:themeColor="text1" w:themeTint="D8"/>
    </w:rPr>
  </w:style>
  <w:style w:type="paragraph" w:styleId="Title">
    <w:name w:val="Title"/>
    <w:basedOn w:val="Normal"/>
    <w:next w:val="Normal"/>
    <w:link w:val="TitleChar"/>
    <w:uiPriority w:val="10"/>
    <w:qFormat/>
    <w:rsid w:val="001C6A9D"/>
    <w:pPr>
      <w:jc w:val="center"/>
    </w:pPr>
    <w:rPr>
      <w:color w:val="FFFFFF" w:themeColor="background1"/>
      <w:sz w:val="48"/>
      <w:szCs w:val="48"/>
    </w:rPr>
  </w:style>
  <w:style w:type="character" w:customStyle="1" w:styleId="TitleChar">
    <w:name w:val="Title Char"/>
    <w:basedOn w:val="DefaultParagraphFont"/>
    <w:link w:val="Title"/>
    <w:uiPriority w:val="10"/>
    <w:rsid w:val="001C6A9D"/>
    <w:rPr>
      <w:rFonts w:ascii="Times New Roman" w:hAnsi="Times New Roman" w:cs="Times New Roman"/>
      <w:color w:val="FFFFFF" w:themeColor="background1"/>
      <w:sz w:val="48"/>
      <w:szCs w:val="48"/>
    </w:rPr>
  </w:style>
  <w:style w:type="paragraph" w:styleId="Subtitle">
    <w:name w:val="Subtitle"/>
    <w:basedOn w:val="Normal"/>
    <w:next w:val="Normal"/>
    <w:link w:val="SubtitleChar"/>
    <w:uiPriority w:val="11"/>
    <w:qFormat/>
    <w:rsid w:val="00262BED"/>
    <w:pPr>
      <w:spacing w:after="0"/>
      <w:jc w:val="center"/>
    </w:pPr>
    <w:rPr>
      <w:i/>
      <w:iCs/>
      <w:color w:val="FFFFFF" w:themeColor="background1"/>
      <w:sz w:val="36"/>
      <w:szCs w:val="36"/>
    </w:rPr>
  </w:style>
  <w:style w:type="character" w:customStyle="1" w:styleId="SubtitleChar">
    <w:name w:val="Subtitle Char"/>
    <w:basedOn w:val="DefaultParagraphFont"/>
    <w:link w:val="Subtitle"/>
    <w:uiPriority w:val="11"/>
    <w:rsid w:val="00262BED"/>
    <w:rPr>
      <w:rFonts w:ascii="Times New Roman" w:hAnsi="Times New Roman" w:cs="Times New Roman"/>
      <w:i/>
      <w:iCs/>
      <w:color w:val="FFFFFF" w:themeColor="background1"/>
      <w:sz w:val="36"/>
      <w:szCs w:val="36"/>
    </w:rPr>
  </w:style>
  <w:style w:type="paragraph" w:styleId="Quote">
    <w:name w:val="Quote"/>
    <w:basedOn w:val="Normal"/>
    <w:next w:val="Normal"/>
    <w:link w:val="QuoteChar"/>
    <w:uiPriority w:val="29"/>
    <w:qFormat/>
    <w:rsid w:val="000F108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F108B"/>
    <w:rPr>
      <w:i/>
      <w:iCs/>
      <w:color w:val="404040" w:themeColor="text1" w:themeTint="BF"/>
    </w:rPr>
  </w:style>
  <w:style w:type="paragraph" w:styleId="ListParagraph">
    <w:name w:val="List Paragraph"/>
    <w:basedOn w:val="Normal"/>
    <w:uiPriority w:val="34"/>
    <w:qFormat/>
    <w:rsid w:val="000F108B"/>
    <w:pPr>
      <w:ind w:left="720"/>
      <w:contextualSpacing/>
    </w:pPr>
  </w:style>
  <w:style w:type="character" w:styleId="IntenseEmphasis">
    <w:name w:val="Intense Emphasis"/>
    <w:basedOn w:val="DefaultParagraphFont"/>
    <w:uiPriority w:val="21"/>
    <w:qFormat/>
    <w:rsid w:val="000F108B"/>
    <w:rPr>
      <w:i/>
      <w:iCs/>
      <w:color w:val="0F4761" w:themeColor="accent1" w:themeShade="BF"/>
    </w:rPr>
  </w:style>
  <w:style w:type="paragraph" w:styleId="IntenseQuote">
    <w:name w:val="Intense Quote"/>
    <w:basedOn w:val="Normal"/>
    <w:next w:val="Normal"/>
    <w:link w:val="IntenseQuoteChar"/>
    <w:uiPriority w:val="30"/>
    <w:qFormat/>
    <w:rsid w:val="000F10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F108B"/>
    <w:rPr>
      <w:i/>
      <w:iCs/>
      <w:color w:val="0F4761" w:themeColor="accent1" w:themeShade="BF"/>
    </w:rPr>
  </w:style>
  <w:style w:type="character" w:styleId="IntenseReference">
    <w:name w:val="Intense Reference"/>
    <w:basedOn w:val="DefaultParagraphFont"/>
    <w:uiPriority w:val="32"/>
    <w:qFormat/>
    <w:rsid w:val="000F108B"/>
    <w:rPr>
      <w:b/>
      <w:bCs/>
      <w:smallCaps/>
      <w:color w:val="0F4761" w:themeColor="accent1" w:themeShade="BF"/>
      <w:spacing w:val="5"/>
    </w:rPr>
  </w:style>
  <w:style w:type="paragraph" w:styleId="Header">
    <w:name w:val="header"/>
    <w:basedOn w:val="Normal"/>
    <w:link w:val="HeaderChar"/>
    <w:uiPriority w:val="99"/>
    <w:unhideWhenUsed/>
    <w:rsid w:val="00334ADB"/>
    <w:pPr>
      <w:tabs>
        <w:tab w:val="center" w:pos="4513"/>
        <w:tab w:val="right" w:pos="9026"/>
      </w:tabs>
      <w:spacing w:after="0" w:line="240" w:lineRule="auto"/>
    </w:pPr>
  </w:style>
  <w:style w:type="character" w:customStyle="1" w:styleId="HeaderChar">
    <w:name w:val="Header Char"/>
    <w:basedOn w:val="DefaultParagraphFont"/>
    <w:link w:val="Header"/>
    <w:uiPriority w:val="99"/>
    <w:rsid w:val="00334ADB"/>
    <w:rPr>
      <w:rFonts w:ascii="Times New Roman" w:hAnsi="Times New Roman" w:cs="Times New Roman"/>
      <w:sz w:val="22"/>
      <w:szCs w:val="22"/>
    </w:rPr>
  </w:style>
  <w:style w:type="paragraph" w:styleId="Footer">
    <w:name w:val="footer"/>
    <w:basedOn w:val="Normal"/>
    <w:link w:val="FooterChar"/>
    <w:uiPriority w:val="99"/>
    <w:unhideWhenUsed/>
    <w:rsid w:val="00334ADB"/>
    <w:pPr>
      <w:tabs>
        <w:tab w:val="center" w:pos="4513"/>
        <w:tab w:val="right" w:pos="9026"/>
      </w:tabs>
      <w:spacing w:after="0" w:line="240" w:lineRule="auto"/>
    </w:pPr>
  </w:style>
  <w:style w:type="character" w:customStyle="1" w:styleId="FooterChar">
    <w:name w:val="Footer Char"/>
    <w:basedOn w:val="DefaultParagraphFont"/>
    <w:link w:val="Footer"/>
    <w:uiPriority w:val="99"/>
    <w:rsid w:val="00334ADB"/>
    <w:rPr>
      <w:rFonts w:ascii="Times New Roman" w:hAnsi="Times New Roman" w:cs="Times New Roman"/>
      <w:sz w:val="22"/>
      <w:szCs w:val="22"/>
    </w:rPr>
  </w:style>
  <w:style w:type="character" w:styleId="PageNumber">
    <w:name w:val="page number"/>
    <w:basedOn w:val="DefaultParagraphFont"/>
    <w:uiPriority w:val="99"/>
    <w:semiHidden/>
    <w:unhideWhenUsed/>
    <w:rsid w:val="00334ADB"/>
  </w:style>
  <w:style w:type="character" w:styleId="SubtleEmphasis">
    <w:name w:val="Subtle Emphasis"/>
    <w:uiPriority w:val="19"/>
    <w:qFormat/>
    <w:rsid w:val="00E23ACE"/>
    <w:rPr>
      <w:sz w:val="24"/>
      <w:szCs w:val="24"/>
    </w:rPr>
  </w:style>
  <w:style w:type="character" w:styleId="Strong">
    <w:name w:val="Strong"/>
    <w:uiPriority w:val="22"/>
    <w:qFormat/>
    <w:rsid w:val="001C6A9D"/>
  </w:style>
  <w:style w:type="paragraph" w:styleId="FootnoteText">
    <w:name w:val="footnote text"/>
    <w:basedOn w:val="Normal"/>
    <w:link w:val="FootnoteTextChar"/>
    <w:uiPriority w:val="99"/>
    <w:semiHidden/>
    <w:unhideWhenUsed/>
    <w:rsid w:val="00C94833"/>
    <w:pPr>
      <w:spacing w:after="0" w:line="240" w:lineRule="auto"/>
    </w:pPr>
    <w:rPr>
      <w:rFonts w:asciiTheme="minorHAnsi" w:hAnsiTheme="minorHAnsi" w:cstheme="minorBidi"/>
      <w:sz w:val="20"/>
      <w:szCs w:val="20"/>
    </w:rPr>
  </w:style>
  <w:style w:type="character" w:customStyle="1" w:styleId="FootnoteTextChar">
    <w:name w:val="Footnote Text Char"/>
    <w:basedOn w:val="DefaultParagraphFont"/>
    <w:link w:val="FootnoteText"/>
    <w:uiPriority w:val="99"/>
    <w:semiHidden/>
    <w:rsid w:val="00C94833"/>
    <w:rPr>
      <w:sz w:val="20"/>
      <w:szCs w:val="20"/>
    </w:rPr>
  </w:style>
  <w:style w:type="character" w:styleId="FootnoteReference">
    <w:name w:val="footnote reference"/>
    <w:basedOn w:val="DefaultParagraphFont"/>
    <w:uiPriority w:val="99"/>
    <w:semiHidden/>
    <w:unhideWhenUsed/>
    <w:rsid w:val="00C9483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A8C12E-0CC6-9048-B462-92C22EB89115}">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1010</Words>
  <Characters>5762</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Benjamin Macvean</dc:creator>
  <cp:keywords/>
  <dc:description/>
  <cp:lastModifiedBy>Deirdre Veneracion</cp:lastModifiedBy>
  <cp:revision>2</cp:revision>
  <dcterms:created xsi:type="dcterms:W3CDTF">2026-05-16T06:49:00Z</dcterms:created>
  <dcterms:modified xsi:type="dcterms:W3CDTF">2026-05-16T06:49:00Z</dcterms:modified>
</cp:coreProperties>
</file>