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4985AF1A" w:rsidR="000F108B" w:rsidRDefault="004B39DA" w:rsidP="001F059D">
      <w:r>
        <w:rPr>
          <w:noProof/>
        </w:rPr>
        <mc:AlternateContent>
          <mc:Choice Requires="wps">
            <w:drawing>
              <wp:anchor distT="0" distB="0" distL="114300" distR="114300" simplePos="0" relativeHeight="251662336" behindDoc="0" locked="0" layoutInCell="1" allowOverlap="1" wp14:anchorId="6666B828" wp14:editId="57CEE577">
                <wp:simplePos x="0" y="0"/>
                <wp:positionH relativeFrom="column">
                  <wp:posOffset>-523754</wp:posOffset>
                </wp:positionH>
                <wp:positionV relativeFrom="paragraph">
                  <wp:posOffset>7373073</wp:posOffset>
                </wp:positionV>
                <wp:extent cx="2433955" cy="39354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93540"/>
                        </a:xfrm>
                        <a:prstGeom prst="rect">
                          <a:avLst/>
                        </a:prstGeom>
                        <a:noFill/>
                        <a:ln w="6350">
                          <a:noFill/>
                        </a:ln>
                      </wps:spPr>
                      <wps:txbx>
                        <w:txbxContent>
                          <w:p w14:paraId="34E472DF" w14:textId="54AF4F89"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E46E97">
                              <w:rPr>
                                <w:color w:val="FFFFFF" w:themeColor="background1"/>
                                <w:sz w:val="32"/>
                                <w:szCs w:val="32"/>
                              </w:rPr>
                              <w:t>Batool Fatima</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1.25pt;margin-top:580.55pt;width:191.65pt;height:3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" filled="f" stroked="f" strokeweight=".5pt">
                <v:textbox>
                  <w:txbxContent>
                    <w:p w14:paraId="34E472DF" w14:textId="54AF4F89"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E46E97">
                        <w:rPr>
                          <w:color w:val="FFFFFF" w:themeColor="background1"/>
                          <w:sz w:val="32"/>
                          <w:szCs w:val="32"/>
                        </w:rPr>
                        <w:t>Batool Fatima</w:t>
                      </w:r>
                    </w:p>
                    <w:p w14:paraId="3B17B765" w14:textId="77777777" w:rsidR="000F108B" w:rsidRDefault="000F108B" w:rsidP="001F059D"/>
                  </w:txbxContent>
                </v:textbox>
              </v:shape>
            </w:pict>
          </mc:Fallback>
        </mc:AlternateContent>
      </w:r>
      <w:r w:rsidR="003C6009">
        <w:rPr>
          <w:noProof/>
        </w:rPr>
        <mc:AlternateContent>
          <mc:Choice Requires="wpg">
            <w:drawing>
              <wp:anchor distT="0" distB="0" distL="114300" distR="114300" simplePos="0" relativeHeight="251659264" behindDoc="0" locked="0" layoutInCell="1" allowOverlap="1" wp14:anchorId="2B6E4E9D" wp14:editId="0C40B0A5">
                <wp:simplePos x="0" y="0"/>
                <wp:positionH relativeFrom="column">
                  <wp:posOffset>-792817</wp:posOffset>
                </wp:positionH>
                <wp:positionV relativeFrom="paragraph">
                  <wp:posOffset>-967105</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18044B00" id="Group 23" o:spid="_x0000_s1026" style="position:absolute;margin-left:-62.45pt;margin-top:-76.1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sidR="003C6009">
        <w:rPr>
          <w:noProof/>
        </w:rPr>
        <w:drawing>
          <wp:anchor distT="0" distB="0" distL="114300" distR="114300" simplePos="0" relativeHeight="251658239" behindDoc="0" locked="0" layoutInCell="1" allowOverlap="1" wp14:anchorId="48AB8408" wp14:editId="4E9E80A4">
            <wp:simplePos x="0" y="0"/>
            <wp:positionH relativeFrom="column">
              <wp:posOffset>-662651</wp:posOffset>
            </wp:positionH>
            <wp:positionV relativeFrom="paragraph">
              <wp:posOffset>-1465623</wp:posOffset>
            </wp:positionV>
            <wp:extent cx="7523545" cy="11208629"/>
            <wp:effectExtent l="0" t="0" r="0" b="5715"/>
            <wp:wrapNone/>
            <wp:docPr id="12491914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9143" name="Picture 124919143"/>
                    <pic:cNvPicPr/>
                  </pic:nvPicPr>
                  <pic:blipFill>
                    <a:blip r:embed="rId7">
                      <a:extLst>
                        <a:ext uri="{28A0092B-C50C-407E-A947-70E740481C1C}">
                          <a14:useLocalDpi xmlns:a14="http://schemas.microsoft.com/office/drawing/2010/main" val="0"/>
                        </a:ext>
                      </a:extLst>
                    </a:blip>
                    <a:stretch>
                      <a:fillRect/>
                    </a:stretch>
                  </pic:blipFill>
                  <pic:spPr>
                    <a:xfrm>
                      <a:off x="0" y="0"/>
                      <a:ext cx="7559324" cy="11261933"/>
                    </a:xfrm>
                    <a:prstGeom prst="rect">
                      <a:avLst/>
                    </a:prstGeom>
                  </pic:spPr>
                </pic:pic>
              </a:graphicData>
            </a:graphic>
            <wp14:sizeRelH relativeFrom="page">
              <wp14:pctWidth>0</wp14:pctWidth>
            </wp14:sizeRelH>
            <wp14:sizeRelV relativeFrom="page">
              <wp14:pctHeight>0</wp14:pctHeight>
            </wp14:sizeRelV>
          </wp:anchor>
        </w:drawing>
      </w:r>
      <w:r w:rsidR="00E46E97">
        <w:rPr>
          <w:noProof/>
        </w:rPr>
        <mc:AlternateContent>
          <mc:Choice Requires="wps">
            <w:drawing>
              <wp:anchor distT="0" distB="0" distL="114300" distR="114300" simplePos="0" relativeHeight="251661312" behindDoc="0" locked="0" layoutInCell="1" allowOverlap="1" wp14:anchorId="4BE7ACF9" wp14:editId="1CA4D192">
                <wp:simplePos x="0" y="0"/>
                <wp:positionH relativeFrom="column">
                  <wp:posOffset>-511697</wp:posOffset>
                </wp:positionH>
                <wp:positionV relativeFrom="paragraph">
                  <wp:posOffset>5416711</wp:posOffset>
                </wp:positionV>
                <wp:extent cx="3615690" cy="1504709"/>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1504709"/>
                        </a:xfrm>
                        <a:prstGeom prst="rect">
                          <a:avLst/>
                        </a:prstGeom>
                        <a:noFill/>
                        <a:ln w="6350">
                          <a:noFill/>
                        </a:ln>
                      </wps:spPr>
                      <wps:txbx>
                        <w:txbxContent>
                          <w:p w14:paraId="0489C074" w14:textId="53C6DDC5" w:rsidR="000F108B" w:rsidRPr="001F059D" w:rsidRDefault="00E46E97" w:rsidP="001F059D">
                            <w:pPr>
                              <w:pStyle w:val="Title"/>
                            </w:pPr>
                            <w:r>
                              <w:t>Restrained or Reasonable</w:t>
                            </w:r>
                          </w:p>
                          <w:p w14:paraId="0923727F" w14:textId="59D139E9" w:rsidR="001F059D" w:rsidRDefault="00E46E97">
                            <w:r w:rsidRPr="00E46E97">
                              <w:rPr>
                                <w:i/>
                                <w:iCs/>
                                <w:color w:val="FFFFFF" w:themeColor="background1"/>
                                <w:sz w:val="36"/>
                                <w:szCs w:val="36"/>
                              </w:rPr>
                              <w:t>The Enforceability of Restraint of Trade Clauses in Employment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0.3pt;margin-top:426.5pt;width:284.7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" filled="f" stroked="f" strokeweight=".5pt">
                <v:textbox>
                  <w:txbxContent>
                    <w:p w14:paraId="0489C074" w14:textId="53C6DDC5" w:rsidR="000F108B" w:rsidRPr="001F059D" w:rsidRDefault="00E46E97" w:rsidP="001F059D">
                      <w:pPr>
                        <w:pStyle w:val="Title"/>
                      </w:pPr>
                      <w:r>
                        <w:t>Restrained or Reasonable</w:t>
                      </w:r>
                    </w:p>
                    <w:p w14:paraId="0923727F" w14:textId="59D139E9" w:rsidR="001F059D" w:rsidRDefault="00E46E97">
                      <w:r w:rsidRPr="00E46E97">
                        <w:rPr>
                          <w:i/>
                          <w:iCs/>
                          <w:color w:val="FFFFFF" w:themeColor="background1"/>
                          <w:sz w:val="36"/>
                          <w:szCs w:val="36"/>
                        </w:rPr>
                        <w:t>The Enforceability of Restraint of Trade Clauses in Employment Law</w:t>
                      </w:r>
                    </w:p>
                  </w:txbxContent>
                </v:textbox>
              </v:shape>
            </w:pict>
          </mc:Fallback>
        </mc:AlternateContent>
      </w:r>
      <w:r w:rsidR="000F108B">
        <w:br w:type="page"/>
      </w:r>
    </w:p>
    <w:p w14:paraId="333BE5EE" w14:textId="3D858AD9" w:rsidR="0053058E" w:rsidRDefault="00636B81" w:rsidP="0053058E">
      <w:pPr>
        <w:pStyle w:val="Heading1"/>
      </w:pPr>
      <w:r>
        <w:lastRenderedPageBreak/>
        <w:t xml:space="preserve">I </w:t>
      </w:r>
      <w:r w:rsidR="0053058E">
        <w:t>INTRODUCTION</w:t>
      </w:r>
    </w:p>
    <w:p w14:paraId="1BF0AA23" w14:textId="77777777" w:rsidR="0053058E" w:rsidRPr="0053058E" w:rsidRDefault="0053058E" w:rsidP="0053058E">
      <w:r>
        <w:t>This article considers restraint of trades in employment law, which often take the form of non-compete or non-solicit clauses. It outlines the elements that must be established for the clause to be valid, how employers seek to enforce the restraint, and the defences available to employees. Outlined in Pt 4 is a list of remedies that are commonly sought to protect the interests of the parties and further orders that may be imposed by the courts.</w:t>
      </w:r>
    </w:p>
    <w:p w14:paraId="7ABBCFE9" w14:textId="539E4B47" w:rsidR="0053058E" w:rsidRPr="0053058E" w:rsidRDefault="00636B81" w:rsidP="0053058E">
      <w:pPr>
        <w:pStyle w:val="Heading1"/>
      </w:pPr>
      <w:r>
        <w:t xml:space="preserve">II </w:t>
      </w:r>
      <w:r w:rsidR="0053058E" w:rsidRPr="0053058E">
        <w:t>LAW OF RESTRAINT OF TRADE</w:t>
      </w:r>
    </w:p>
    <w:p w14:paraId="12241DA0" w14:textId="39896CBA" w:rsidR="0053058E" w:rsidRPr="0053058E" w:rsidRDefault="0053058E" w:rsidP="0053058E">
      <w:pPr>
        <w:pStyle w:val="Heading2"/>
      </w:pPr>
      <w:r w:rsidRPr="0053058E">
        <w:t>A Common Law Rule</w:t>
      </w:r>
    </w:p>
    <w:p w14:paraId="0E913FE5" w14:textId="77777777" w:rsidR="0053058E" w:rsidRPr="0053058E" w:rsidRDefault="0053058E" w:rsidP="0053058E">
      <w:pPr>
        <w:jc w:val="both"/>
        <w:rPr>
          <w:rFonts w:eastAsia="Times New Roman"/>
        </w:rPr>
      </w:pPr>
      <w:r w:rsidRPr="0053058E">
        <w:rPr>
          <w:rFonts w:eastAsia="Times New Roman"/>
        </w:rPr>
        <w:t>At common law, restraint of trade clauses that impose obligations on employees after their employment terminates are prima facie void.</w:t>
      </w:r>
      <w:r w:rsidRPr="0053058E">
        <w:rPr>
          <w:rFonts w:eastAsia="Times New Roman"/>
          <w:vertAlign w:val="superscript"/>
        </w:rPr>
        <w:t>[1]</w:t>
      </w:r>
      <w:r w:rsidRPr="0053058E">
        <w:rPr>
          <w:rFonts w:eastAsia="Times New Roman"/>
        </w:rPr>
        <w:t xml:space="preserve"> This blanket rule applies on the footing that it is in the public interest to foster employment and preserve free trade but is not without exceptions.</w:t>
      </w:r>
    </w:p>
    <w:p w14:paraId="754CF394" w14:textId="1322FA61" w:rsidR="0053058E" w:rsidRPr="0053058E" w:rsidRDefault="0053058E" w:rsidP="0053058E">
      <w:pPr>
        <w:pStyle w:val="Heading2"/>
      </w:pPr>
      <w:r w:rsidRPr="0053058E">
        <w:t>B The Exception</w:t>
      </w:r>
    </w:p>
    <w:p w14:paraId="2429683B" w14:textId="77777777" w:rsidR="0053058E" w:rsidRPr="0053058E" w:rsidRDefault="0053058E" w:rsidP="0053058E">
      <w:pPr>
        <w:jc w:val="both"/>
        <w:rPr>
          <w:rFonts w:eastAsia="Times New Roman"/>
          <w:vertAlign w:val="superscript"/>
        </w:rPr>
      </w:pPr>
      <w:r w:rsidRPr="0053058E">
        <w:rPr>
          <w:rFonts w:eastAsia="Times New Roman"/>
        </w:rPr>
        <w:t xml:space="preserve">In the NSW jurisdiction, the statutory application of section 4(1) of the </w:t>
      </w:r>
      <w:r w:rsidRPr="0053058E">
        <w:rPr>
          <w:rFonts w:eastAsia="Times New Roman"/>
          <w:i/>
          <w:iCs/>
        </w:rPr>
        <w:t>Restraints of Trade Act 1976</w:t>
      </w:r>
      <w:r w:rsidRPr="0053058E">
        <w:rPr>
          <w:rFonts w:eastAsia="Times New Roman"/>
        </w:rPr>
        <w:t xml:space="preserve"> (NSW) (‘the Act’) has modified the common law. Where an alleged breach can be properly construed to infringe the terms of the restraint imposed by the employer, the restraint will be deemed valid to the ‘extent to which it is not against public policy, whether it is in severable terms or not.’</w:t>
      </w:r>
      <w:r w:rsidRPr="0053058E">
        <w:rPr>
          <w:rFonts w:eastAsia="Times New Roman"/>
          <w:vertAlign w:val="superscript"/>
        </w:rPr>
        <w:t>[2]</w:t>
      </w:r>
      <w:r w:rsidRPr="0053058E">
        <w:rPr>
          <w:rFonts w:eastAsia="Times New Roman"/>
        </w:rPr>
        <w:t xml:space="preserve"> This assessment is made at the time the employee entered into the contract and by reference to what the restraint entitled or required the parties to do.</w:t>
      </w:r>
      <w:r w:rsidRPr="0053058E">
        <w:rPr>
          <w:rFonts w:eastAsia="Times New Roman"/>
          <w:vertAlign w:val="superscript"/>
        </w:rPr>
        <w:t>[3]</w:t>
      </w:r>
      <w:r w:rsidRPr="0053058E">
        <w:rPr>
          <w:rFonts w:eastAsia="Times New Roman"/>
        </w:rPr>
        <w:t xml:space="preserve"> Importantly, the onus rests on the employer to establish the restraint is not against public policy, and otherwise valid, as it does no more than what is reasonably necessary to protect a legitimate interest.</w:t>
      </w:r>
      <w:r w:rsidRPr="0053058E">
        <w:rPr>
          <w:rFonts w:eastAsia="Times New Roman"/>
          <w:vertAlign w:val="superscript"/>
        </w:rPr>
        <w:t>[4]</w:t>
      </w:r>
    </w:p>
    <w:p w14:paraId="639075D3" w14:textId="77777777" w:rsidR="0053058E" w:rsidRPr="0053058E" w:rsidRDefault="0053058E" w:rsidP="0053058E">
      <w:pPr>
        <w:pStyle w:val="Heading3"/>
      </w:pPr>
      <w:r w:rsidRPr="0053058E">
        <w:t>First Limb: Legitimate Interest</w:t>
      </w:r>
    </w:p>
    <w:p w14:paraId="345F6BDE" w14:textId="28D1EF78" w:rsidR="0053058E" w:rsidRPr="0053058E" w:rsidRDefault="0053058E" w:rsidP="0053058E">
      <w:pPr>
        <w:jc w:val="both"/>
        <w:rPr>
          <w:rFonts w:eastAsia="Times New Roman"/>
        </w:rPr>
      </w:pPr>
      <w:r w:rsidRPr="0053058E">
        <w:rPr>
          <w:rFonts w:eastAsia="Times New Roman"/>
        </w:rPr>
        <w:t>The Court generally adopts a strict approach to enforcing a restraint in employment contracts given the disparity in bargaining power between the employer and employee. Nevertheless, the Court will afford the employer protection under the restraint for a ‘legitimate interest’, including:</w:t>
      </w:r>
    </w:p>
    <w:p w14:paraId="4BB9E0A4" w14:textId="77777777" w:rsidR="0053058E" w:rsidRPr="0053058E" w:rsidRDefault="0053058E" w:rsidP="0053058E">
      <w:pPr>
        <w:ind w:left="720" w:hanging="360"/>
        <w:rPr>
          <w:rFonts w:eastAsia="Times New Roman"/>
        </w:rPr>
      </w:pPr>
      <w:r w:rsidRPr="0053058E">
        <w:rPr>
          <w:rFonts w:eastAsia="Times New Roman"/>
        </w:rPr>
        <w:t xml:space="preserve">1. </w:t>
      </w:r>
      <w:r w:rsidRPr="0053058E">
        <w:rPr>
          <w:rFonts w:eastAsia="Times New Roman"/>
        </w:rPr>
        <w:tab/>
        <w:t>Goodwill, that is, ‘the benefit and advantage of the good name, reputation, and connection of a business’;</w:t>
      </w:r>
      <w:r w:rsidRPr="0053058E">
        <w:rPr>
          <w:rFonts w:eastAsia="Times New Roman"/>
          <w:vertAlign w:val="superscript"/>
        </w:rPr>
        <w:t>[5]</w:t>
      </w:r>
      <w:r w:rsidRPr="0053058E">
        <w:rPr>
          <w:rFonts w:eastAsia="Times New Roman"/>
        </w:rPr>
        <w:t xml:space="preserve"> and</w:t>
      </w:r>
    </w:p>
    <w:p w14:paraId="34EBC7E0" w14:textId="77777777" w:rsidR="0053058E" w:rsidRPr="0053058E" w:rsidRDefault="0053058E" w:rsidP="0053058E">
      <w:pPr>
        <w:spacing w:before="240"/>
        <w:ind w:left="720" w:hanging="360"/>
        <w:rPr>
          <w:rFonts w:eastAsia="Times New Roman"/>
          <w:vertAlign w:val="superscript"/>
        </w:rPr>
      </w:pPr>
      <w:r w:rsidRPr="0053058E">
        <w:rPr>
          <w:rFonts w:eastAsia="Times New Roman"/>
        </w:rPr>
        <w:t xml:space="preserve">2. </w:t>
      </w:r>
      <w:r w:rsidRPr="0053058E">
        <w:rPr>
          <w:rFonts w:eastAsia="Times New Roman"/>
        </w:rPr>
        <w:tab/>
        <w:t>Protectable confidential information or trade secrets.</w:t>
      </w:r>
      <w:r w:rsidRPr="0053058E">
        <w:rPr>
          <w:rFonts w:eastAsia="Times New Roman"/>
          <w:vertAlign w:val="superscript"/>
        </w:rPr>
        <w:t>[6]</w:t>
      </w:r>
    </w:p>
    <w:p w14:paraId="545F9D1D" w14:textId="77777777" w:rsidR="0053058E" w:rsidRPr="0053058E" w:rsidRDefault="0053058E" w:rsidP="0053058E">
      <w:pPr>
        <w:pStyle w:val="Heading3"/>
      </w:pPr>
      <w:r w:rsidRPr="0053058E">
        <w:t>Second Limb: Reasonableness</w:t>
      </w:r>
    </w:p>
    <w:p w14:paraId="731B38F9" w14:textId="77777777" w:rsidR="0053058E" w:rsidRPr="0053058E" w:rsidRDefault="0053058E" w:rsidP="0053058E">
      <w:pPr>
        <w:jc w:val="both"/>
        <w:rPr>
          <w:rFonts w:eastAsia="Times New Roman"/>
        </w:rPr>
      </w:pPr>
      <w:r w:rsidRPr="0053058E">
        <w:rPr>
          <w:rFonts w:eastAsia="Times New Roman"/>
        </w:rPr>
        <w:lastRenderedPageBreak/>
        <w:t xml:space="preserve">The Court in </w:t>
      </w:r>
      <w:proofErr w:type="spellStart"/>
      <w:r w:rsidRPr="0053058E">
        <w:rPr>
          <w:rFonts w:eastAsia="Times New Roman"/>
          <w:i/>
          <w:iCs/>
        </w:rPr>
        <w:t>Cadgroup</w:t>
      </w:r>
      <w:proofErr w:type="spellEnd"/>
      <w:r w:rsidRPr="0053058E">
        <w:rPr>
          <w:rFonts w:eastAsia="Times New Roman"/>
          <w:i/>
          <w:iCs/>
        </w:rPr>
        <w:t xml:space="preserve"> Australia Pty Ltd v Snowball</w:t>
      </w:r>
      <w:r w:rsidRPr="0053058E">
        <w:rPr>
          <w:rFonts w:eastAsia="Times New Roman"/>
        </w:rPr>
        <w:t xml:space="preserve"> recognised that although there is a public interest in contractual performance, a restraint will not be valid to the extent that it affords the employer with more protection than is reasonable.</w:t>
      </w:r>
      <w:r w:rsidRPr="0053058E">
        <w:rPr>
          <w:rFonts w:eastAsia="Times New Roman"/>
          <w:vertAlign w:val="superscript"/>
        </w:rPr>
        <w:t>[7]</w:t>
      </w:r>
      <w:r w:rsidRPr="0053058E">
        <w:rPr>
          <w:rFonts w:eastAsia="Times New Roman"/>
        </w:rPr>
        <w:t xml:space="preserve"> NSW courts are empowered by s 4(3) of the Act to read down excessive restraints to what is reasonable, provided the clause is sufficiently clear and severable. This does not empower the court to re-draft the clause, but rather ‘amputate’ its application.</w:t>
      </w:r>
    </w:p>
    <w:p w14:paraId="62AE5E0F" w14:textId="2DA93270" w:rsidR="0053058E" w:rsidRPr="0053058E" w:rsidRDefault="0053058E" w:rsidP="0053058E">
      <w:pPr>
        <w:rPr>
          <w:rFonts w:eastAsia="Times New Roman"/>
        </w:rPr>
      </w:pPr>
      <w:r w:rsidRPr="0053058E">
        <w:rPr>
          <w:rFonts w:eastAsia="Times New Roman"/>
        </w:rPr>
        <w:t>Reasonableness is assessed by reference to one or more of the following factors:</w:t>
      </w:r>
    </w:p>
    <w:p w14:paraId="565B5C22" w14:textId="77777777" w:rsidR="0053058E" w:rsidRPr="0053058E" w:rsidRDefault="0053058E" w:rsidP="0053058E">
      <w:pPr>
        <w:numPr>
          <w:ilvl w:val="0"/>
          <w:numId w:val="7"/>
        </w:numPr>
        <w:spacing w:after="0"/>
        <w:rPr>
          <w:rFonts w:eastAsia="Times New Roman"/>
        </w:rPr>
      </w:pPr>
      <w:r w:rsidRPr="0053058E">
        <w:rPr>
          <w:rFonts w:eastAsia="Times New Roman"/>
        </w:rPr>
        <w:t>Scope of Activities Restricted</w:t>
      </w:r>
    </w:p>
    <w:p w14:paraId="09EA79C5" w14:textId="77777777" w:rsidR="0053058E" w:rsidRPr="0053058E" w:rsidRDefault="0053058E" w:rsidP="0053058E">
      <w:pPr>
        <w:spacing w:before="240"/>
        <w:ind w:left="720"/>
        <w:rPr>
          <w:rFonts w:eastAsia="Times New Roman"/>
        </w:rPr>
      </w:pPr>
      <w:r w:rsidRPr="0053058E">
        <w:rPr>
          <w:rFonts w:eastAsia="Times New Roman"/>
        </w:rPr>
        <w:t>The restraint must be limited to activities that threaten the employer’s legitimate interests as the Court is unlikely to uphold overly broad clauses that are aimed at suppressing competition.</w:t>
      </w:r>
    </w:p>
    <w:p w14:paraId="034E1FE2" w14:textId="77777777" w:rsidR="0053058E" w:rsidRPr="0053058E" w:rsidRDefault="0053058E" w:rsidP="0053058E">
      <w:pPr>
        <w:numPr>
          <w:ilvl w:val="0"/>
          <w:numId w:val="6"/>
        </w:numPr>
        <w:spacing w:before="240"/>
        <w:rPr>
          <w:rFonts w:eastAsia="Times New Roman"/>
        </w:rPr>
      </w:pPr>
      <w:r w:rsidRPr="0053058E">
        <w:rPr>
          <w:rFonts w:eastAsia="Times New Roman"/>
        </w:rPr>
        <w:t>Duration</w:t>
      </w:r>
    </w:p>
    <w:p w14:paraId="6729E61C" w14:textId="77777777" w:rsidR="0053058E" w:rsidRPr="0053058E" w:rsidRDefault="0053058E" w:rsidP="0053058E">
      <w:pPr>
        <w:ind w:left="720"/>
        <w:rPr>
          <w:rFonts w:eastAsia="Times New Roman"/>
        </w:rPr>
      </w:pPr>
      <w:r w:rsidRPr="0053058E">
        <w:rPr>
          <w:rFonts w:eastAsia="Times New Roman"/>
        </w:rPr>
        <w:t>The period of restraint must be no longer than necessary to protect the employer’s interests. For example, this may be until such a time where the confidential information has lost its quality of confidence.</w:t>
      </w:r>
    </w:p>
    <w:p w14:paraId="4D6DA52D" w14:textId="77777777" w:rsidR="0053058E" w:rsidRPr="0053058E" w:rsidRDefault="0053058E" w:rsidP="0053058E">
      <w:pPr>
        <w:numPr>
          <w:ilvl w:val="0"/>
          <w:numId w:val="2"/>
        </w:numPr>
        <w:spacing w:before="240" w:after="0"/>
        <w:rPr>
          <w:rFonts w:eastAsia="Times New Roman"/>
        </w:rPr>
      </w:pPr>
      <w:r w:rsidRPr="0053058E">
        <w:rPr>
          <w:rFonts w:eastAsia="Times New Roman"/>
        </w:rPr>
        <w:t>Geographic Reach</w:t>
      </w:r>
    </w:p>
    <w:p w14:paraId="02669A80" w14:textId="77777777" w:rsidR="0053058E" w:rsidRPr="0053058E" w:rsidRDefault="0053058E" w:rsidP="0053058E">
      <w:pPr>
        <w:spacing w:before="240"/>
        <w:ind w:left="720"/>
        <w:rPr>
          <w:rFonts w:eastAsia="Times New Roman"/>
          <w:vertAlign w:val="superscript"/>
        </w:rPr>
      </w:pPr>
      <w:r w:rsidRPr="0053058E">
        <w:rPr>
          <w:rFonts w:eastAsia="Times New Roman"/>
        </w:rPr>
        <w:t>The geographic area captured by the restraint must align with where the employer operates and where the employee has had influence.</w:t>
      </w:r>
      <w:r w:rsidRPr="0053058E">
        <w:rPr>
          <w:rFonts w:eastAsia="Times New Roman"/>
          <w:vertAlign w:val="superscript"/>
        </w:rPr>
        <w:t>[8]</w:t>
      </w:r>
    </w:p>
    <w:p w14:paraId="3541CA3C" w14:textId="77777777" w:rsidR="0053058E" w:rsidRPr="0053058E" w:rsidRDefault="0053058E" w:rsidP="0053058E">
      <w:pPr>
        <w:numPr>
          <w:ilvl w:val="0"/>
          <w:numId w:val="4"/>
        </w:numPr>
        <w:spacing w:before="240"/>
        <w:rPr>
          <w:rFonts w:eastAsia="Times New Roman"/>
        </w:rPr>
      </w:pPr>
      <w:r w:rsidRPr="0053058E">
        <w:rPr>
          <w:rFonts w:eastAsia="Times New Roman"/>
        </w:rPr>
        <w:t>Nature of the Employee’s Role</w:t>
      </w:r>
    </w:p>
    <w:p w14:paraId="37F8404F" w14:textId="77777777" w:rsidR="0053058E" w:rsidRPr="0053058E" w:rsidRDefault="0053058E" w:rsidP="0053058E">
      <w:pPr>
        <w:ind w:left="720"/>
        <w:rPr>
          <w:rFonts w:eastAsia="Times New Roman"/>
          <w:vertAlign w:val="superscript"/>
        </w:rPr>
      </w:pPr>
      <w:r w:rsidRPr="0053058E">
        <w:rPr>
          <w:rFonts w:eastAsia="Times New Roman"/>
        </w:rPr>
        <w:t xml:space="preserve">In </w:t>
      </w:r>
      <w:r w:rsidRPr="0053058E">
        <w:rPr>
          <w:rFonts w:eastAsia="Times New Roman"/>
          <w:i/>
          <w:iCs/>
        </w:rPr>
        <w:t>Pearson v HRX Holdings Pty Ltd</w:t>
      </w:r>
      <w:r w:rsidRPr="0053058E">
        <w:rPr>
          <w:rFonts w:eastAsia="Times New Roman"/>
        </w:rPr>
        <w:t>, the Court upheld a restraint that prevented the employee from working in any capacity for a competitor. The scope of the restraint was justified when assessed against the employer’s seniority and customer connections.</w:t>
      </w:r>
      <w:r w:rsidRPr="0053058E">
        <w:rPr>
          <w:rFonts w:eastAsia="Times New Roman"/>
          <w:vertAlign w:val="superscript"/>
        </w:rPr>
        <w:t>[9]</w:t>
      </w:r>
    </w:p>
    <w:p w14:paraId="49C7DF61" w14:textId="51EC1506" w:rsidR="0053058E" w:rsidRPr="0053058E" w:rsidRDefault="00636B81" w:rsidP="0053058E">
      <w:pPr>
        <w:pStyle w:val="Heading1"/>
      </w:pPr>
      <w:r>
        <w:t xml:space="preserve">III </w:t>
      </w:r>
      <w:r w:rsidR="0053058E" w:rsidRPr="0053058E">
        <w:t>BREACH OF THE RESTRAINT</w:t>
      </w:r>
    </w:p>
    <w:p w14:paraId="13D16D6C" w14:textId="654562F0" w:rsidR="0053058E" w:rsidRPr="0053058E" w:rsidRDefault="0053058E" w:rsidP="0053058E">
      <w:pPr>
        <w:pStyle w:val="Heading2"/>
      </w:pPr>
      <w:proofErr w:type="gramStart"/>
      <w:r w:rsidRPr="0053058E">
        <w:t>A</w:t>
      </w:r>
      <w:proofErr w:type="gramEnd"/>
      <w:r w:rsidRPr="0053058E">
        <w:t xml:space="preserve"> Employer Seeking to Enforce a Restraint</w:t>
      </w:r>
    </w:p>
    <w:p w14:paraId="645F9243" w14:textId="77777777" w:rsidR="0053058E" w:rsidRPr="0053058E" w:rsidRDefault="0053058E" w:rsidP="0053058E">
      <w:pPr>
        <w:jc w:val="both"/>
        <w:rPr>
          <w:rFonts w:eastAsia="Times New Roman"/>
        </w:rPr>
      </w:pPr>
      <w:r w:rsidRPr="0053058E">
        <w:rPr>
          <w:rFonts w:eastAsia="Times New Roman"/>
        </w:rPr>
        <w:t>Employers seek to enforce restraints by pleading and proving their legitimate interest with specificity and demonstrating reasonableness with targeted restraint terms as per the two-limbed test above.</w:t>
      </w:r>
    </w:p>
    <w:p w14:paraId="417AFFDD" w14:textId="73FF0797" w:rsidR="0053058E" w:rsidRPr="0053058E" w:rsidRDefault="0053058E" w:rsidP="0053058E">
      <w:pPr>
        <w:pStyle w:val="Heading2"/>
      </w:pPr>
      <w:r w:rsidRPr="0053058E">
        <w:t>B Employee Seeking to Resist a Restraint</w:t>
      </w:r>
    </w:p>
    <w:p w14:paraId="26B68DDD" w14:textId="77777777" w:rsidR="0053058E" w:rsidRPr="0053058E" w:rsidRDefault="0053058E" w:rsidP="0053058E">
      <w:pPr>
        <w:jc w:val="both"/>
        <w:rPr>
          <w:rFonts w:eastAsia="Times New Roman"/>
        </w:rPr>
      </w:pPr>
      <w:r w:rsidRPr="0053058E">
        <w:rPr>
          <w:rFonts w:eastAsia="Times New Roman"/>
        </w:rPr>
        <w:t>The employee may rely on the following defences to refute the argument that the restraint is enforceable.</w:t>
      </w:r>
    </w:p>
    <w:p w14:paraId="446D2330" w14:textId="77777777" w:rsidR="0053058E" w:rsidRPr="0053058E" w:rsidRDefault="0053058E" w:rsidP="0053058E">
      <w:pPr>
        <w:pStyle w:val="Heading3"/>
      </w:pPr>
      <w:r w:rsidRPr="0053058E">
        <w:t>The employment contract does not apply.</w:t>
      </w:r>
    </w:p>
    <w:p w14:paraId="548BCF56" w14:textId="30EFA827" w:rsidR="0053058E" w:rsidRPr="0053058E" w:rsidRDefault="0053058E" w:rsidP="0053058E">
      <w:pPr>
        <w:jc w:val="both"/>
        <w:rPr>
          <w:rFonts w:eastAsia="Times New Roman"/>
          <w:vertAlign w:val="superscript"/>
        </w:rPr>
      </w:pPr>
      <w:r w:rsidRPr="0053058E">
        <w:rPr>
          <w:rFonts w:eastAsia="Times New Roman"/>
        </w:rPr>
        <w:lastRenderedPageBreak/>
        <w:t>A restraint clause may not apply if the contract containing the restraint is no longer operative due to the fact that the employment relationship has materially changed, or a new agreement, including a subsequent oral agreement, has had the effect of superseding the original. A material change in the employment relationship captures instances where there has been a change in the employee’s position, ultimately supporting the argument that the contract has been varied.</w:t>
      </w:r>
      <w:r w:rsidRPr="0053058E">
        <w:rPr>
          <w:rFonts w:eastAsia="Times New Roman"/>
          <w:vertAlign w:val="superscript"/>
        </w:rPr>
        <w:t>[10]</w:t>
      </w:r>
    </w:p>
    <w:p w14:paraId="129DEB84" w14:textId="77777777" w:rsidR="0053058E" w:rsidRPr="0053058E" w:rsidRDefault="0053058E" w:rsidP="0053058E">
      <w:pPr>
        <w:pStyle w:val="Heading3"/>
      </w:pPr>
      <w:r w:rsidRPr="0053058E">
        <w:t>The employer repudiated the contract containing the restraint.</w:t>
      </w:r>
    </w:p>
    <w:p w14:paraId="4FF95308" w14:textId="69010135" w:rsidR="0053058E" w:rsidRPr="0053058E" w:rsidRDefault="0053058E" w:rsidP="0053058E">
      <w:pPr>
        <w:jc w:val="both"/>
        <w:rPr>
          <w:rFonts w:eastAsia="Times New Roman"/>
          <w:vertAlign w:val="superscript"/>
        </w:rPr>
      </w:pPr>
      <w:r w:rsidRPr="0053058E">
        <w:rPr>
          <w:rFonts w:eastAsia="Times New Roman"/>
        </w:rPr>
        <w:t xml:space="preserve">A restraint of trade clause is unenforceable where the employer themselves </w:t>
      </w:r>
      <w:proofErr w:type="gramStart"/>
      <w:r w:rsidRPr="0053058E">
        <w:rPr>
          <w:rFonts w:eastAsia="Times New Roman"/>
        </w:rPr>
        <w:t>have</w:t>
      </w:r>
      <w:proofErr w:type="gramEnd"/>
      <w:r w:rsidRPr="0053058E">
        <w:rPr>
          <w:rFonts w:eastAsia="Times New Roman"/>
        </w:rPr>
        <w:t xml:space="preserve"> repudiated the contract and the employee accepts such a repudiation. The rationale for the principle lies in the presumption that it was the objective intention of the parties to invalidate the restraint, the right to restraint is not unconditionally accrued by the employer until the contract is performed, and it would be contrary to public policy to allow enforcement after an acceptance of repudiation.</w:t>
      </w:r>
      <w:r w:rsidRPr="0053058E">
        <w:rPr>
          <w:rFonts w:eastAsia="Times New Roman"/>
          <w:vertAlign w:val="superscript"/>
        </w:rPr>
        <w:t>[11]</w:t>
      </w:r>
    </w:p>
    <w:p w14:paraId="2AF337A5" w14:textId="77777777" w:rsidR="0053058E" w:rsidRPr="0053058E" w:rsidRDefault="0053058E" w:rsidP="0053058E">
      <w:pPr>
        <w:pStyle w:val="Heading3"/>
      </w:pPr>
      <w:r w:rsidRPr="0053058E">
        <w:t>A construction or drafting issue renders the restraint unenforceable.</w:t>
      </w:r>
    </w:p>
    <w:p w14:paraId="4FAA7155" w14:textId="77777777" w:rsidR="0053058E" w:rsidRPr="0053058E" w:rsidRDefault="0053058E" w:rsidP="0053058E">
      <w:pPr>
        <w:jc w:val="both"/>
        <w:rPr>
          <w:rFonts w:eastAsia="Times New Roman"/>
        </w:rPr>
      </w:pPr>
      <w:r w:rsidRPr="0053058E">
        <w:rPr>
          <w:rFonts w:eastAsia="Times New Roman"/>
        </w:rPr>
        <w:t>An employee may rely on the fact that restraint of trade clauses must be drafted with precision, and where the language is found to be ambiguous, grammatically incorrect, or structurally unsound, the restraint will not be upheld by the court.</w:t>
      </w:r>
      <w:r w:rsidRPr="0053058E">
        <w:rPr>
          <w:rFonts w:eastAsia="Times New Roman"/>
          <w:vertAlign w:val="superscript"/>
        </w:rPr>
        <w:t>[12]</w:t>
      </w:r>
      <w:r w:rsidRPr="0053058E">
        <w:rPr>
          <w:rFonts w:eastAsia="Times New Roman"/>
        </w:rPr>
        <w:t xml:space="preserve"> The court’s exercise is to test the outer limits of the what the restraint entitles or requires and assess whether this meets the requirement of reasonableness.</w:t>
      </w:r>
    </w:p>
    <w:p w14:paraId="58CAB327" w14:textId="77777777" w:rsidR="0053058E" w:rsidRPr="0053058E" w:rsidRDefault="0053058E" w:rsidP="0053058E">
      <w:pPr>
        <w:pStyle w:val="Heading3"/>
      </w:pPr>
      <w:r w:rsidRPr="0053058E">
        <w:t>The restraint was procured through misleading or deceptive conduct.</w:t>
      </w:r>
    </w:p>
    <w:p w14:paraId="22BF25D2" w14:textId="438A848C" w:rsidR="0053058E" w:rsidRPr="0053058E" w:rsidRDefault="0053058E" w:rsidP="0053058E">
      <w:pPr>
        <w:jc w:val="both"/>
        <w:rPr>
          <w:rFonts w:eastAsia="Times New Roman"/>
        </w:rPr>
      </w:pPr>
      <w:r w:rsidRPr="0053058E">
        <w:rPr>
          <w:rFonts w:eastAsia="Times New Roman"/>
        </w:rPr>
        <w:t xml:space="preserve">It is possible, although difficult, for a contract containing a restraint of trade term to be rescinded under the </w:t>
      </w:r>
      <w:r w:rsidRPr="0053058E">
        <w:rPr>
          <w:rFonts w:eastAsia="Times New Roman"/>
          <w:i/>
          <w:iCs/>
        </w:rPr>
        <w:t xml:space="preserve">Australian Consumer Law 2010 </w:t>
      </w:r>
      <w:r w:rsidRPr="0053058E">
        <w:rPr>
          <w:rFonts w:eastAsia="Times New Roman"/>
        </w:rPr>
        <w:t>(Cth) (ACL) where the contract has been procured by misleading conduct such as misrepresentation.</w:t>
      </w:r>
      <w:r w:rsidRPr="0053058E">
        <w:rPr>
          <w:rFonts w:eastAsia="Times New Roman"/>
          <w:vertAlign w:val="superscript"/>
        </w:rPr>
        <w:t>[13]</w:t>
      </w:r>
      <w:r w:rsidRPr="0053058E">
        <w:rPr>
          <w:rFonts w:eastAsia="Times New Roman"/>
        </w:rPr>
        <w:t xml:space="preserve"> However, this would require the employee to prove reliance on the representation which is often safeguarded by the ‘entire agreement’ clauses found in employment contracts which prohibits reliance on representations made prior to or outside the contract. </w:t>
      </w:r>
    </w:p>
    <w:p w14:paraId="1A1AB80B" w14:textId="77777777" w:rsidR="0053058E" w:rsidRPr="0053058E" w:rsidRDefault="0053058E" w:rsidP="0053058E">
      <w:pPr>
        <w:pStyle w:val="Heading3"/>
      </w:pPr>
      <w:r w:rsidRPr="0053058E">
        <w:t>The employer acquiesced in the breach of the restraint.</w:t>
      </w:r>
    </w:p>
    <w:p w14:paraId="10D0E6F8" w14:textId="441C4152" w:rsidR="0053058E" w:rsidRPr="0053058E" w:rsidRDefault="0053058E" w:rsidP="0053058E">
      <w:pPr>
        <w:jc w:val="both"/>
        <w:rPr>
          <w:rFonts w:eastAsia="Times New Roman"/>
          <w:highlight w:val="white"/>
          <w:vertAlign w:val="superscript"/>
        </w:rPr>
      </w:pPr>
      <w:r w:rsidRPr="0053058E">
        <w:rPr>
          <w:rFonts w:eastAsia="Times New Roman"/>
          <w:highlight w:val="white"/>
        </w:rPr>
        <w:t>If the employer has encouraged the employee’s breach of the restraint, they are prevented from enforcing the clause. This defence is challenging where there are several restraints; the argument that one occasion of encouragement by the employer amounts to consent of future breaches must be rejected.</w:t>
      </w:r>
      <w:r w:rsidRPr="0053058E">
        <w:rPr>
          <w:rFonts w:eastAsia="Times New Roman"/>
          <w:highlight w:val="white"/>
          <w:vertAlign w:val="superscript"/>
        </w:rPr>
        <w:t>[14]</w:t>
      </w:r>
    </w:p>
    <w:p w14:paraId="3939753C" w14:textId="77777777" w:rsidR="0053058E" w:rsidRPr="0053058E" w:rsidRDefault="0053058E" w:rsidP="0053058E">
      <w:pPr>
        <w:pStyle w:val="Heading3"/>
      </w:pPr>
      <w:r w:rsidRPr="0053058E">
        <w:t>The restraint exceeds the boundaries of reasonableness.</w:t>
      </w:r>
    </w:p>
    <w:p w14:paraId="6C536107" w14:textId="77777777" w:rsidR="0053058E" w:rsidRPr="0053058E" w:rsidRDefault="0053058E" w:rsidP="0053058E">
      <w:pPr>
        <w:jc w:val="both"/>
        <w:rPr>
          <w:rFonts w:eastAsia="Times New Roman"/>
        </w:rPr>
      </w:pPr>
      <w:r w:rsidRPr="0053058E">
        <w:rPr>
          <w:rFonts w:eastAsia="Times New Roman"/>
        </w:rPr>
        <w:t xml:space="preserve">Employees can resist enforcement by reference to the reasonableness of the restraint (discussed in Pt 2B above). A restraint that is unreasonable in scope, duration, or geography cannot be enforced, nor can it be read down if </w:t>
      </w:r>
      <w:r w:rsidRPr="0053058E">
        <w:rPr>
          <w:rFonts w:eastAsia="Times New Roman"/>
        </w:rPr>
        <w:lastRenderedPageBreak/>
        <w:t>it is unclear. Employees may also raise public policy arguments, such as practical inability to earn a living or lack of consideration in contract formation.</w:t>
      </w:r>
    </w:p>
    <w:p w14:paraId="55BE2867" w14:textId="6849A054" w:rsidR="0053058E" w:rsidRPr="0053058E" w:rsidRDefault="00636B81" w:rsidP="0053058E">
      <w:pPr>
        <w:pStyle w:val="Heading1"/>
      </w:pPr>
      <w:r>
        <w:t xml:space="preserve">IV </w:t>
      </w:r>
      <w:r w:rsidR="0053058E" w:rsidRPr="0053058E">
        <w:t>REMEDIES</w:t>
      </w:r>
    </w:p>
    <w:p w14:paraId="7B20CF9B" w14:textId="60571E11" w:rsidR="0053058E" w:rsidRPr="0053058E" w:rsidRDefault="0053058E" w:rsidP="0053058E">
      <w:pPr>
        <w:pStyle w:val="Heading2"/>
      </w:pPr>
      <w:proofErr w:type="gramStart"/>
      <w:r w:rsidRPr="0053058E">
        <w:t>A</w:t>
      </w:r>
      <w:proofErr w:type="gramEnd"/>
      <w:r w:rsidRPr="0053058E">
        <w:t xml:space="preserve"> Injunctive Relief</w:t>
      </w:r>
    </w:p>
    <w:p w14:paraId="34C9657F" w14:textId="77777777" w:rsidR="0053058E" w:rsidRPr="0053058E" w:rsidRDefault="0053058E" w:rsidP="0053058E">
      <w:pPr>
        <w:jc w:val="both"/>
        <w:rPr>
          <w:rFonts w:eastAsia="Times New Roman"/>
        </w:rPr>
      </w:pPr>
      <w:r w:rsidRPr="0053058E">
        <w:rPr>
          <w:rFonts w:eastAsia="Times New Roman"/>
        </w:rPr>
        <w:t xml:space="preserve">Injunctive relief is commonly sought in restraint of trade cases where the employer wishes to prevent an employee working for competitors. The relief may also be sought against new employers or third parties who facilitate breaches. Types of injunctions are outlined below. </w:t>
      </w:r>
    </w:p>
    <w:p w14:paraId="2D477A1A" w14:textId="77777777" w:rsidR="0053058E" w:rsidRPr="0053058E" w:rsidRDefault="0053058E" w:rsidP="0053058E">
      <w:pPr>
        <w:numPr>
          <w:ilvl w:val="0"/>
          <w:numId w:val="5"/>
        </w:numPr>
        <w:spacing w:after="0"/>
        <w:jc w:val="both"/>
        <w:rPr>
          <w:rFonts w:eastAsia="Times New Roman"/>
        </w:rPr>
      </w:pPr>
      <w:r w:rsidRPr="0053058E">
        <w:rPr>
          <w:rFonts w:eastAsia="Times New Roman"/>
        </w:rPr>
        <w:t>An interlocutory injunction is the first course of action that should be taken to prevent and preserve the status quo before a final trial.</w:t>
      </w:r>
      <w:r w:rsidRPr="0053058E">
        <w:rPr>
          <w:rFonts w:eastAsia="Times New Roman"/>
          <w:vertAlign w:val="superscript"/>
        </w:rPr>
        <w:t>[15]</w:t>
      </w:r>
    </w:p>
    <w:p w14:paraId="2A23FD6E" w14:textId="77777777" w:rsidR="0053058E" w:rsidRPr="0053058E" w:rsidRDefault="0053058E" w:rsidP="0053058E">
      <w:pPr>
        <w:numPr>
          <w:ilvl w:val="0"/>
          <w:numId w:val="5"/>
        </w:numPr>
        <w:spacing w:after="0"/>
        <w:jc w:val="both"/>
        <w:rPr>
          <w:rFonts w:eastAsia="Times New Roman"/>
        </w:rPr>
      </w:pPr>
      <w:r w:rsidRPr="0053058E">
        <w:rPr>
          <w:rFonts w:eastAsia="Times New Roman"/>
        </w:rPr>
        <w:t>Permanent injunctions may be sought where the employer is concerned about irreparable ongoing or threatened breaches.</w:t>
      </w:r>
      <w:r w:rsidRPr="0053058E">
        <w:rPr>
          <w:rFonts w:eastAsia="Times New Roman"/>
          <w:vertAlign w:val="superscript"/>
        </w:rPr>
        <w:t>[16]</w:t>
      </w:r>
    </w:p>
    <w:p w14:paraId="41BE3177" w14:textId="77777777" w:rsidR="0053058E" w:rsidRPr="0053058E" w:rsidRDefault="0053058E" w:rsidP="0053058E">
      <w:pPr>
        <w:numPr>
          <w:ilvl w:val="0"/>
          <w:numId w:val="5"/>
        </w:numPr>
        <w:spacing w:after="0"/>
        <w:jc w:val="both"/>
        <w:rPr>
          <w:rFonts w:eastAsia="Times New Roman"/>
        </w:rPr>
      </w:pPr>
      <w:r w:rsidRPr="0053058E">
        <w:rPr>
          <w:rFonts w:eastAsia="Times New Roman"/>
        </w:rPr>
        <w:t xml:space="preserve">Ex </w:t>
      </w:r>
      <w:proofErr w:type="spellStart"/>
      <w:r w:rsidRPr="0053058E">
        <w:rPr>
          <w:rFonts w:eastAsia="Times New Roman"/>
        </w:rPr>
        <w:t>parte</w:t>
      </w:r>
      <w:proofErr w:type="spellEnd"/>
      <w:r w:rsidRPr="0053058E">
        <w:rPr>
          <w:rFonts w:eastAsia="Times New Roman"/>
        </w:rPr>
        <w:t xml:space="preserve"> orders may also be pursued if there is a real risk of destruction of evidence.</w:t>
      </w:r>
    </w:p>
    <w:p w14:paraId="387C672A" w14:textId="77777777" w:rsidR="0053058E" w:rsidRPr="0053058E" w:rsidRDefault="0053058E" w:rsidP="0053058E">
      <w:pPr>
        <w:numPr>
          <w:ilvl w:val="0"/>
          <w:numId w:val="5"/>
        </w:numPr>
        <w:jc w:val="both"/>
        <w:rPr>
          <w:rFonts w:eastAsia="Times New Roman"/>
        </w:rPr>
      </w:pPr>
      <w:r w:rsidRPr="0053058E">
        <w:rPr>
          <w:rFonts w:eastAsia="Times New Roman"/>
        </w:rPr>
        <w:t>Springboard injunctions seek to neutralise the unfair advantage a party may gain from prior breaches.</w:t>
      </w:r>
      <w:r w:rsidRPr="0053058E">
        <w:rPr>
          <w:rFonts w:eastAsia="Times New Roman"/>
          <w:vertAlign w:val="superscript"/>
        </w:rPr>
        <w:t>[17]</w:t>
      </w:r>
    </w:p>
    <w:p w14:paraId="178E944C" w14:textId="77777777" w:rsidR="0053058E" w:rsidRPr="0053058E" w:rsidRDefault="0053058E" w:rsidP="0053058E">
      <w:pPr>
        <w:jc w:val="both"/>
        <w:rPr>
          <w:rFonts w:eastAsia="Times New Roman"/>
          <w:vertAlign w:val="superscript"/>
        </w:rPr>
      </w:pPr>
      <w:r w:rsidRPr="0053058E">
        <w:rPr>
          <w:rFonts w:eastAsia="Times New Roman"/>
        </w:rPr>
        <w:t>The following issues are to be determined when considering whether the Court should grant an interlocutory injunction to enforce a restraint of trade:</w:t>
      </w:r>
      <w:r w:rsidRPr="0053058E">
        <w:rPr>
          <w:rFonts w:eastAsia="Times New Roman"/>
          <w:vertAlign w:val="superscript"/>
        </w:rPr>
        <w:t>[18]</w:t>
      </w:r>
    </w:p>
    <w:p w14:paraId="53DBD983" w14:textId="77777777" w:rsidR="0053058E" w:rsidRPr="0053058E" w:rsidRDefault="0053058E" w:rsidP="0053058E">
      <w:pPr>
        <w:numPr>
          <w:ilvl w:val="0"/>
          <w:numId w:val="3"/>
        </w:numPr>
        <w:spacing w:after="0"/>
        <w:jc w:val="both"/>
        <w:rPr>
          <w:rFonts w:eastAsia="Times New Roman"/>
        </w:rPr>
      </w:pPr>
      <w:r w:rsidRPr="0053058E">
        <w:rPr>
          <w:rFonts w:eastAsia="Times New Roman"/>
        </w:rPr>
        <w:t>Has there been a timely application for interlocutory relief?</w:t>
      </w:r>
    </w:p>
    <w:p w14:paraId="34344F62" w14:textId="77777777" w:rsidR="0053058E" w:rsidRPr="0053058E" w:rsidRDefault="0053058E" w:rsidP="0053058E">
      <w:pPr>
        <w:numPr>
          <w:ilvl w:val="0"/>
          <w:numId w:val="3"/>
        </w:numPr>
        <w:spacing w:after="0"/>
        <w:jc w:val="both"/>
        <w:rPr>
          <w:rFonts w:eastAsia="Times New Roman"/>
        </w:rPr>
      </w:pPr>
      <w:r w:rsidRPr="0053058E">
        <w:rPr>
          <w:rFonts w:eastAsia="Times New Roman"/>
        </w:rPr>
        <w:t>Is there evidence of a breach of the restraints by the former employee?</w:t>
      </w:r>
    </w:p>
    <w:p w14:paraId="55D61F71" w14:textId="77777777" w:rsidR="0053058E" w:rsidRPr="0053058E" w:rsidRDefault="0053058E" w:rsidP="0053058E">
      <w:pPr>
        <w:numPr>
          <w:ilvl w:val="0"/>
          <w:numId w:val="3"/>
        </w:numPr>
        <w:spacing w:after="0"/>
        <w:jc w:val="both"/>
        <w:rPr>
          <w:rFonts w:eastAsia="Times New Roman"/>
        </w:rPr>
      </w:pPr>
      <w:r w:rsidRPr="0053058E">
        <w:rPr>
          <w:rFonts w:eastAsia="Times New Roman"/>
        </w:rPr>
        <w:t>Is there an arguable case that the restraint covenant is valid as read down under the Act?</w:t>
      </w:r>
    </w:p>
    <w:p w14:paraId="12811EC6" w14:textId="77777777" w:rsidR="0053058E" w:rsidRPr="0053058E" w:rsidRDefault="0053058E" w:rsidP="0053058E">
      <w:pPr>
        <w:numPr>
          <w:ilvl w:val="0"/>
          <w:numId w:val="3"/>
        </w:numPr>
        <w:spacing w:after="0"/>
        <w:jc w:val="both"/>
        <w:rPr>
          <w:rFonts w:eastAsia="Times New Roman"/>
        </w:rPr>
      </w:pPr>
      <w:r w:rsidRPr="0053058E">
        <w:rPr>
          <w:rFonts w:eastAsia="Times New Roman"/>
        </w:rPr>
        <w:t>Does the balance of convenience lie in favour of the granting of the injunction to the employer?</w:t>
      </w:r>
    </w:p>
    <w:p w14:paraId="7E865AE8" w14:textId="77777777" w:rsidR="0053058E" w:rsidRPr="0053058E" w:rsidRDefault="0053058E" w:rsidP="0053058E">
      <w:pPr>
        <w:numPr>
          <w:ilvl w:val="0"/>
          <w:numId w:val="3"/>
        </w:numPr>
        <w:jc w:val="both"/>
        <w:rPr>
          <w:rFonts w:eastAsia="Times New Roman"/>
        </w:rPr>
      </w:pPr>
      <w:r w:rsidRPr="0053058E">
        <w:rPr>
          <w:rFonts w:eastAsia="Times New Roman"/>
        </w:rPr>
        <w:t>Are damages an adequate alternative remedy to the granting of an injunction?</w:t>
      </w:r>
    </w:p>
    <w:p w14:paraId="035A7357" w14:textId="77777777" w:rsidR="0053058E" w:rsidRPr="0053058E" w:rsidRDefault="0053058E" w:rsidP="0053058E">
      <w:pPr>
        <w:jc w:val="both"/>
        <w:rPr>
          <w:rFonts w:eastAsia="Times New Roman"/>
        </w:rPr>
      </w:pPr>
      <w:r w:rsidRPr="0053058E">
        <w:rPr>
          <w:rFonts w:eastAsia="Times New Roman"/>
        </w:rPr>
        <w:t>Practically, injunctive relief is difficult to obtain; the applicant must establish a strong prima facie case and that, in light of the circumstances, damages alone are an inadequate remedy.</w:t>
      </w:r>
    </w:p>
    <w:p w14:paraId="40078A3A" w14:textId="57910150" w:rsidR="0053058E" w:rsidRPr="0053058E" w:rsidRDefault="0053058E" w:rsidP="0053058E">
      <w:pPr>
        <w:pStyle w:val="Heading2"/>
      </w:pPr>
      <w:r w:rsidRPr="0053058E">
        <w:t>B Damages</w:t>
      </w:r>
    </w:p>
    <w:p w14:paraId="7C4EA0B1" w14:textId="77777777" w:rsidR="0053058E" w:rsidRPr="0053058E" w:rsidRDefault="0053058E" w:rsidP="0053058E">
      <w:pPr>
        <w:jc w:val="both"/>
        <w:rPr>
          <w:rFonts w:eastAsia="Times New Roman"/>
        </w:rPr>
      </w:pPr>
      <w:r w:rsidRPr="0053058E">
        <w:rPr>
          <w:rFonts w:eastAsia="Times New Roman"/>
        </w:rPr>
        <w:t>Compensatory damages aim to place the employer in the position they would have been in had the breach of restraint not occurred. It covers actual losses such as lost profits, recruitment costs, and other reasonably foreseeable consequences.</w:t>
      </w:r>
    </w:p>
    <w:p w14:paraId="6F77AD65" w14:textId="77777777" w:rsidR="0053058E" w:rsidRPr="0053058E" w:rsidRDefault="0053058E" w:rsidP="0053058E">
      <w:pPr>
        <w:jc w:val="both"/>
        <w:rPr>
          <w:rFonts w:eastAsia="Times New Roman"/>
        </w:rPr>
      </w:pPr>
      <w:r w:rsidRPr="0053058E">
        <w:rPr>
          <w:rFonts w:eastAsia="Times New Roman"/>
        </w:rPr>
        <w:t>Contracts may also include liquidated damages clauses, but these will only be enforceable if they represent a genuine pre-estimate of loss. If the clause is struck down as a penalty, the underlying contractual restraint can still remain valid, allowing the employer to pursue general damages or seek injunctive relief.</w:t>
      </w:r>
    </w:p>
    <w:p w14:paraId="5D43E8B6" w14:textId="77777777" w:rsidR="0053058E" w:rsidRPr="0053058E" w:rsidRDefault="0053058E" w:rsidP="0053058E">
      <w:pPr>
        <w:jc w:val="both"/>
        <w:rPr>
          <w:rFonts w:eastAsia="Times New Roman"/>
          <w:vertAlign w:val="superscript"/>
        </w:rPr>
      </w:pPr>
      <w:r w:rsidRPr="0053058E">
        <w:rPr>
          <w:rFonts w:eastAsia="Times New Roman"/>
        </w:rPr>
        <w:lastRenderedPageBreak/>
        <w:t>In some cases, the innocent party may elect an account of profits, which focuses on removing the gains wrongfully obtained by the breaching party. However, it must be noted that double recovery is not permitted.</w:t>
      </w:r>
      <w:r w:rsidRPr="0053058E">
        <w:rPr>
          <w:rFonts w:eastAsia="Times New Roman"/>
          <w:vertAlign w:val="superscript"/>
        </w:rPr>
        <w:t>[19]</w:t>
      </w:r>
    </w:p>
    <w:p w14:paraId="1143730C" w14:textId="434649F1" w:rsidR="0053058E" w:rsidRPr="0053058E" w:rsidRDefault="0053058E" w:rsidP="0053058E">
      <w:pPr>
        <w:pStyle w:val="Heading2"/>
      </w:pPr>
      <w:r w:rsidRPr="0053058E">
        <w:t xml:space="preserve">C Delivery Up Orders </w:t>
      </w:r>
    </w:p>
    <w:p w14:paraId="63A16089" w14:textId="77777777" w:rsidR="0053058E" w:rsidRPr="0053058E" w:rsidRDefault="0053058E" w:rsidP="0053058E">
      <w:pPr>
        <w:jc w:val="both"/>
        <w:rPr>
          <w:rFonts w:eastAsia="Times New Roman"/>
        </w:rPr>
      </w:pPr>
      <w:r w:rsidRPr="0053058E">
        <w:rPr>
          <w:rFonts w:eastAsia="Times New Roman"/>
        </w:rPr>
        <w:t>The employer may seek a delivery order where it anticipates further misuse or dissemination of sensitive business information.</w:t>
      </w:r>
      <w:r w:rsidRPr="0053058E">
        <w:rPr>
          <w:rFonts w:eastAsia="Times New Roman"/>
          <w:vertAlign w:val="superscript"/>
        </w:rPr>
        <w:t>[20]</w:t>
      </w:r>
      <w:r w:rsidRPr="0053058E">
        <w:rPr>
          <w:rFonts w:eastAsia="Times New Roman"/>
        </w:rPr>
        <w:t xml:space="preserve"> This may include, but is not limited to, the return or destruction of physical and electronic documents, and other proprietary materials.  </w:t>
      </w:r>
    </w:p>
    <w:p w14:paraId="4101450E" w14:textId="4F4D1175" w:rsidR="0053058E" w:rsidRPr="0053058E" w:rsidRDefault="0053058E" w:rsidP="0053058E">
      <w:pPr>
        <w:pStyle w:val="Heading2"/>
      </w:pPr>
      <w:r w:rsidRPr="0053058E">
        <w:t>D Accessorial Liability</w:t>
      </w:r>
    </w:p>
    <w:p w14:paraId="68C30964" w14:textId="77777777" w:rsidR="0053058E" w:rsidRPr="0053058E" w:rsidRDefault="0053058E" w:rsidP="0053058E">
      <w:pPr>
        <w:jc w:val="both"/>
        <w:rPr>
          <w:rFonts w:eastAsia="Times New Roman"/>
        </w:rPr>
      </w:pPr>
      <w:r w:rsidRPr="0053058E">
        <w:rPr>
          <w:rFonts w:eastAsia="Times New Roman"/>
        </w:rPr>
        <w:t>Competitors or third parties who knowingly induce breach of contractual restraints may be held liable.</w:t>
      </w:r>
      <w:r w:rsidRPr="0053058E">
        <w:rPr>
          <w:rFonts w:eastAsia="Times New Roman"/>
          <w:vertAlign w:val="superscript"/>
        </w:rPr>
        <w:t>[21]</w:t>
      </w:r>
      <w:r w:rsidRPr="0053058E">
        <w:rPr>
          <w:rFonts w:eastAsia="Times New Roman"/>
        </w:rPr>
        <w:t xml:space="preserve"> The employer will largely rely on inferential evidence which is sufficient to establish inducement.   </w:t>
      </w:r>
    </w:p>
    <w:p w14:paraId="1D4C4355" w14:textId="1DE3E795" w:rsidR="0053058E" w:rsidRPr="0053058E" w:rsidRDefault="0053058E" w:rsidP="0053058E">
      <w:pPr>
        <w:pStyle w:val="Heading2"/>
      </w:pPr>
      <w:r w:rsidRPr="0053058E">
        <w:t>E Undertakings</w:t>
      </w:r>
    </w:p>
    <w:p w14:paraId="11BFCCFA" w14:textId="77777777" w:rsidR="0053058E" w:rsidRPr="0053058E" w:rsidRDefault="0053058E" w:rsidP="0053058E">
      <w:pPr>
        <w:jc w:val="both"/>
        <w:rPr>
          <w:rFonts w:eastAsia="Times New Roman"/>
        </w:rPr>
      </w:pPr>
      <w:r w:rsidRPr="0053058E">
        <w:rPr>
          <w:rFonts w:eastAsia="Times New Roman"/>
        </w:rPr>
        <w:t>Employers may accept or propose undertakings to ensure compliance with restraints. This ensures that employers avoid the associated risks and costs involved in litigation.</w:t>
      </w:r>
    </w:p>
    <w:p w14:paraId="06275609" w14:textId="183E021E" w:rsidR="0053058E" w:rsidRPr="0053058E" w:rsidRDefault="0053058E" w:rsidP="0053058E">
      <w:pPr>
        <w:pStyle w:val="Heading2"/>
      </w:pPr>
      <w:r w:rsidRPr="0053058E">
        <w:t>F</w:t>
      </w:r>
      <w:r>
        <w:t xml:space="preserve"> </w:t>
      </w:r>
      <w:r w:rsidRPr="0053058E">
        <w:t>Costs</w:t>
      </w:r>
    </w:p>
    <w:p w14:paraId="2E1C4820" w14:textId="77777777" w:rsidR="0053058E" w:rsidRPr="0053058E" w:rsidRDefault="0053058E" w:rsidP="0053058E">
      <w:pPr>
        <w:jc w:val="both"/>
        <w:rPr>
          <w:rFonts w:eastAsia="Times New Roman"/>
        </w:rPr>
      </w:pPr>
      <w:r w:rsidRPr="0053058E">
        <w:rPr>
          <w:rFonts w:eastAsia="Times New Roman"/>
        </w:rPr>
        <w:t>The court may award the employer costs where it has invested significant money in litigating the matter and had a successful outcome.</w:t>
      </w:r>
    </w:p>
    <w:p w14:paraId="0E07B797" w14:textId="77777777" w:rsidR="0053058E" w:rsidRPr="0053058E" w:rsidRDefault="0053058E" w:rsidP="0053058E">
      <w:pPr>
        <w:jc w:val="both"/>
        <w:rPr>
          <w:rFonts w:eastAsia="Times New Roman"/>
        </w:rPr>
      </w:pPr>
      <w:r w:rsidRPr="0053058E">
        <w:rPr>
          <w:rFonts w:eastAsia="Times New Roman"/>
        </w:rPr>
        <w:t>If the employer fails to establish the breach, costs may be awarded in favour of the employee and other defendants to the matter where third parties have been joined to the proceedings.</w:t>
      </w:r>
    </w:p>
    <w:p w14:paraId="591AC5AA" w14:textId="77777777" w:rsidR="0053058E" w:rsidRPr="0053058E" w:rsidRDefault="0053058E" w:rsidP="0053058E">
      <w:pPr>
        <w:rPr>
          <w:b/>
          <w:bCs/>
        </w:rPr>
      </w:pPr>
    </w:p>
    <w:p w14:paraId="731DF23B" w14:textId="6B98A5DB" w:rsidR="00636B81" w:rsidRDefault="00636B81">
      <w:pPr>
        <w:spacing w:after="0" w:line="240" w:lineRule="auto"/>
      </w:pPr>
      <w:r>
        <w:br w:type="page"/>
      </w:r>
    </w:p>
    <w:p w14:paraId="5A1FBF9D" w14:textId="77777777" w:rsidR="0053058E" w:rsidRPr="0053058E" w:rsidRDefault="0053058E" w:rsidP="0053058E"/>
    <w:p w14:paraId="5EE2BBB7" w14:textId="77777777" w:rsidR="0053058E" w:rsidRPr="0053058E" w:rsidRDefault="0053058E" w:rsidP="0053058E">
      <w:pPr>
        <w:rPr>
          <w:rFonts w:eastAsia="Times New Roman"/>
        </w:rPr>
      </w:pPr>
      <w:r w:rsidRPr="0053058E">
        <w:rPr>
          <w:rFonts w:eastAsia="Times New Roman"/>
          <w:vertAlign w:val="superscript"/>
        </w:rPr>
        <w:t>[1]</w:t>
      </w:r>
      <w:r w:rsidRPr="0053058E">
        <w:rPr>
          <w:rFonts w:eastAsia="Times New Roman"/>
        </w:rPr>
        <w:t xml:space="preserve"> </w:t>
      </w:r>
      <w:r w:rsidRPr="0053058E">
        <w:rPr>
          <w:rFonts w:eastAsia="Times New Roman"/>
          <w:i/>
          <w:iCs/>
        </w:rPr>
        <w:t>Nordenfelt v Maxim Nordenfelt Guns and Ammunition Co Ltd</w:t>
      </w:r>
      <w:r w:rsidRPr="0053058E">
        <w:rPr>
          <w:rFonts w:eastAsia="Times New Roman"/>
        </w:rPr>
        <w:t xml:space="preserve"> [1894] AC 535, 565.</w:t>
      </w:r>
    </w:p>
    <w:p w14:paraId="3B48461B" w14:textId="77777777" w:rsidR="0053058E" w:rsidRPr="0053058E" w:rsidRDefault="0053058E" w:rsidP="0053058E">
      <w:pPr>
        <w:rPr>
          <w:rFonts w:eastAsia="Times New Roman"/>
        </w:rPr>
      </w:pPr>
      <w:r w:rsidRPr="0053058E">
        <w:rPr>
          <w:rFonts w:eastAsia="Times New Roman"/>
          <w:vertAlign w:val="superscript"/>
        </w:rPr>
        <w:t>[2]</w:t>
      </w:r>
      <w:r w:rsidRPr="0053058E">
        <w:rPr>
          <w:rFonts w:eastAsia="Times New Roman"/>
        </w:rPr>
        <w:t xml:space="preserve"> </w:t>
      </w:r>
      <w:r w:rsidRPr="0053058E">
        <w:rPr>
          <w:rFonts w:eastAsia="Times New Roman"/>
          <w:i/>
          <w:iCs/>
        </w:rPr>
        <w:t>Restraints of Trade Act 1976</w:t>
      </w:r>
      <w:r w:rsidRPr="0053058E">
        <w:rPr>
          <w:rFonts w:eastAsia="Times New Roman"/>
        </w:rPr>
        <w:t xml:space="preserve"> (NSW), s 4(1).</w:t>
      </w:r>
    </w:p>
    <w:p w14:paraId="5EB63F7E" w14:textId="77777777" w:rsidR="0053058E" w:rsidRPr="0053058E" w:rsidRDefault="0053058E" w:rsidP="0053058E">
      <w:pPr>
        <w:rPr>
          <w:rFonts w:eastAsia="Times New Roman"/>
        </w:rPr>
      </w:pPr>
      <w:r w:rsidRPr="0053058E">
        <w:rPr>
          <w:rFonts w:eastAsia="Times New Roman"/>
          <w:vertAlign w:val="superscript"/>
        </w:rPr>
        <w:t>[3]</w:t>
      </w:r>
      <w:r w:rsidRPr="0053058E">
        <w:rPr>
          <w:rFonts w:eastAsia="Times New Roman"/>
        </w:rPr>
        <w:t xml:space="preserve"> Woolworths Ltd v Olson [2004] NSWCA 372, [40].</w:t>
      </w:r>
    </w:p>
    <w:p w14:paraId="10AE9BC5" w14:textId="77777777" w:rsidR="0053058E" w:rsidRPr="0053058E" w:rsidRDefault="0053058E" w:rsidP="0053058E">
      <w:pPr>
        <w:rPr>
          <w:rFonts w:eastAsia="Times New Roman"/>
        </w:rPr>
      </w:pPr>
      <w:r w:rsidRPr="0053058E">
        <w:rPr>
          <w:rFonts w:eastAsia="Times New Roman"/>
          <w:vertAlign w:val="superscript"/>
        </w:rPr>
        <w:t>[4]</w:t>
      </w:r>
      <w:r w:rsidRPr="0053058E">
        <w:rPr>
          <w:rFonts w:eastAsia="Times New Roman"/>
        </w:rPr>
        <w:t xml:space="preserve"> </w:t>
      </w:r>
      <w:r w:rsidRPr="0053058E">
        <w:rPr>
          <w:rFonts w:eastAsia="Times New Roman"/>
          <w:i/>
          <w:iCs/>
        </w:rPr>
        <w:t xml:space="preserve">Adamson v NSW Rugby League Ltd </w:t>
      </w:r>
      <w:r w:rsidRPr="0053058E">
        <w:rPr>
          <w:rFonts w:eastAsia="Times New Roman"/>
        </w:rPr>
        <w:t>(1981) 27 FCR 535, 554 (Hill J).</w:t>
      </w:r>
    </w:p>
    <w:p w14:paraId="159A83A0" w14:textId="77777777" w:rsidR="0053058E" w:rsidRPr="0053058E" w:rsidRDefault="0053058E" w:rsidP="0053058E">
      <w:pPr>
        <w:rPr>
          <w:rFonts w:eastAsia="Times New Roman"/>
        </w:rPr>
      </w:pPr>
      <w:r w:rsidRPr="0053058E">
        <w:rPr>
          <w:rFonts w:eastAsia="Times New Roman"/>
          <w:vertAlign w:val="superscript"/>
        </w:rPr>
        <w:t>[5]</w:t>
      </w:r>
      <w:r w:rsidRPr="0053058E">
        <w:rPr>
          <w:rFonts w:eastAsia="Times New Roman"/>
        </w:rPr>
        <w:t xml:space="preserve"> </w:t>
      </w:r>
      <w:r w:rsidRPr="0053058E">
        <w:rPr>
          <w:rFonts w:eastAsia="Times New Roman"/>
          <w:i/>
          <w:iCs/>
        </w:rPr>
        <w:t>Findex Group Limited v McKay</w:t>
      </w:r>
      <w:r w:rsidRPr="0053058E">
        <w:rPr>
          <w:rFonts w:eastAsia="Times New Roman"/>
        </w:rPr>
        <w:t xml:space="preserve"> [2019] FCA 2129; A restraint must be for the purpose of protecting goodwill as opposed to seeking to prevent competition – See, e.g., </w:t>
      </w:r>
      <w:r w:rsidRPr="0053058E">
        <w:rPr>
          <w:rFonts w:eastAsia="Times New Roman"/>
          <w:i/>
          <w:iCs/>
        </w:rPr>
        <w:t xml:space="preserve">Wright v </w:t>
      </w:r>
      <w:proofErr w:type="spellStart"/>
      <w:r w:rsidRPr="0053058E">
        <w:rPr>
          <w:rFonts w:eastAsia="Times New Roman"/>
          <w:i/>
          <w:iCs/>
        </w:rPr>
        <w:t>Gasweld</w:t>
      </w:r>
      <w:proofErr w:type="spellEnd"/>
      <w:r w:rsidRPr="0053058E">
        <w:rPr>
          <w:rFonts w:eastAsia="Times New Roman"/>
          <w:i/>
          <w:iCs/>
        </w:rPr>
        <w:t xml:space="preserve"> Pty Ltd</w:t>
      </w:r>
      <w:r w:rsidRPr="0053058E">
        <w:rPr>
          <w:rFonts w:eastAsia="Times New Roman"/>
        </w:rPr>
        <w:t xml:space="preserve"> (1991) 22 NSWLR 317, 329 (Gleeson CJ).</w:t>
      </w:r>
    </w:p>
    <w:p w14:paraId="63B8474C" w14:textId="77777777" w:rsidR="0053058E" w:rsidRPr="0053058E" w:rsidRDefault="0053058E" w:rsidP="0053058E">
      <w:pPr>
        <w:rPr>
          <w:rFonts w:eastAsia="Times New Roman"/>
        </w:rPr>
      </w:pPr>
      <w:r w:rsidRPr="0053058E">
        <w:rPr>
          <w:rFonts w:eastAsia="Times New Roman"/>
          <w:vertAlign w:val="superscript"/>
        </w:rPr>
        <w:t>[6]</w:t>
      </w:r>
      <w:r w:rsidRPr="0053058E">
        <w:rPr>
          <w:rFonts w:eastAsia="Times New Roman"/>
        </w:rPr>
        <w:t xml:space="preserve"> </w:t>
      </w:r>
      <w:r w:rsidRPr="0053058E">
        <w:rPr>
          <w:rFonts w:eastAsia="Times New Roman"/>
          <w:i/>
          <w:iCs/>
        </w:rPr>
        <w:t>Lindner v Murdock’s Garage</w:t>
      </w:r>
      <w:r w:rsidRPr="0053058E">
        <w:rPr>
          <w:rFonts w:eastAsia="Times New Roman"/>
        </w:rPr>
        <w:t xml:space="preserve"> (1950) 83 CLR 628, 633-634 (Latham CJ). In </w:t>
      </w:r>
      <w:r w:rsidRPr="0053058E">
        <w:rPr>
          <w:rFonts w:eastAsia="Times New Roman"/>
          <w:i/>
          <w:iCs/>
        </w:rPr>
        <w:t xml:space="preserve">Del Casale v </w:t>
      </w:r>
      <w:proofErr w:type="spellStart"/>
      <w:r w:rsidRPr="0053058E">
        <w:rPr>
          <w:rFonts w:eastAsia="Times New Roman"/>
          <w:i/>
          <w:iCs/>
        </w:rPr>
        <w:t>Artedomus</w:t>
      </w:r>
      <w:proofErr w:type="spellEnd"/>
      <w:r w:rsidRPr="0053058E">
        <w:rPr>
          <w:rFonts w:eastAsia="Times New Roman"/>
          <w:i/>
          <w:iCs/>
        </w:rPr>
        <w:t xml:space="preserve"> (Aust) Pty Ltd</w:t>
      </w:r>
      <w:r w:rsidRPr="0053058E">
        <w:rPr>
          <w:rFonts w:eastAsia="Times New Roman"/>
        </w:rPr>
        <w:t xml:space="preserve"> [2007] NSWCA 172, the Court of Appeal noted that ‘an employee’s general know-how, skill and experience’ does not capture the definition of confidential information. It cannot be restrained after termination merely because it was acquired during employment.</w:t>
      </w:r>
    </w:p>
    <w:p w14:paraId="2F9414F6" w14:textId="77777777" w:rsidR="0053058E" w:rsidRPr="0053058E" w:rsidRDefault="0053058E" w:rsidP="0053058E">
      <w:pPr>
        <w:rPr>
          <w:rFonts w:eastAsia="Times New Roman"/>
        </w:rPr>
      </w:pPr>
      <w:r w:rsidRPr="0053058E">
        <w:rPr>
          <w:rFonts w:eastAsia="Times New Roman"/>
          <w:vertAlign w:val="superscript"/>
        </w:rPr>
        <w:t>[7]</w:t>
      </w:r>
      <w:r w:rsidRPr="0053058E">
        <w:rPr>
          <w:rFonts w:eastAsia="Times New Roman"/>
        </w:rPr>
        <w:t xml:space="preserve"> </w:t>
      </w:r>
      <w:proofErr w:type="spellStart"/>
      <w:r w:rsidRPr="0053058E">
        <w:rPr>
          <w:rFonts w:eastAsia="Times New Roman"/>
          <w:i/>
          <w:iCs/>
        </w:rPr>
        <w:t>Cadgroup</w:t>
      </w:r>
      <w:proofErr w:type="spellEnd"/>
      <w:r w:rsidRPr="0053058E">
        <w:rPr>
          <w:rFonts w:eastAsia="Times New Roman"/>
          <w:i/>
          <w:iCs/>
        </w:rPr>
        <w:t xml:space="preserve"> Australia Pty Ltd v Snowball </w:t>
      </w:r>
      <w:r w:rsidRPr="0053058E">
        <w:rPr>
          <w:rFonts w:eastAsia="Times New Roman"/>
        </w:rPr>
        <w:t>[2016] NSWSC 22, [21].</w:t>
      </w:r>
    </w:p>
    <w:p w14:paraId="5EF4FFDA" w14:textId="77777777" w:rsidR="0053058E" w:rsidRPr="0053058E" w:rsidRDefault="0053058E" w:rsidP="0053058E">
      <w:pPr>
        <w:rPr>
          <w:rFonts w:eastAsia="Times New Roman"/>
        </w:rPr>
      </w:pPr>
      <w:r w:rsidRPr="0053058E">
        <w:rPr>
          <w:rFonts w:eastAsia="Times New Roman"/>
          <w:vertAlign w:val="superscript"/>
        </w:rPr>
        <w:t>[8]</w:t>
      </w:r>
      <w:r w:rsidRPr="0053058E">
        <w:rPr>
          <w:rFonts w:eastAsia="Times New Roman"/>
        </w:rPr>
        <w:t xml:space="preserve"> </w:t>
      </w:r>
      <w:r w:rsidRPr="0053058E">
        <w:rPr>
          <w:rFonts w:eastAsia="Times New Roman"/>
          <w:i/>
          <w:iCs/>
        </w:rPr>
        <w:t>OAMPS Insurance Brokers Ltd v Hanna</w:t>
      </w:r>
      <w:r w:rsidRPr="0053058E">
        <w:rPr>
          <w:rFonts w:eastAsia="Times New Roman"/>
        </w:rPr>
        <w:t xml:space="preserve"> NSWCA 781.</w:t>
      </w:r>
    </w:p>
    <w:p w14:paraId="780829E8" w14:textId="77777777" w:rsidR="0053058E" w:rsidRPr="0053058E" w:rsidRDefault="0053058E" w:rsidP="0053058E">
      <w:pPr>
        <w:rPr>
          <w:rFonts w:eastAsia="Times New Roman"/>
        </w:rPr>
      </w:pPr>
      <w:r w:rsidRPr="0053058E">
        <w:rPr>
          <w:rFonts w:eastAsia="Times New Roman"/>
          <w:vertAlign w:val="superscript"/>
        </w:rPr>
        <w:t>[9]</w:t>
      </w:r>
      <w:r w:rsidRPr="0053058E">
        <w:rPr>
          <w:rFonts w:eastAsia="Times New Roman"/>
        </w:rPr>
        <w:t xml:space="preserve"> </w:t>
      </w:r>
      <w:r w:rsidRPr="0053058E">
        <w:rPr>
          <w:rFonts w:eastAsia="Times New Roman"/>
          <w:i/>
          <w:iCs/>
        </w:rPr>
        <w:t>Pearson v HRX Holdings Pty Ltd</w:t>
      </w:r>
      <w:r w:rsidRPr="0053058E">
        <w:rPr>
          <w:rFonts w:eastAsia="Times New Roman"/>
        </w:rPr>
        <w:t xml:space="preserve"> FCAFC 111.</w:t>
      </w:r>
    </w:p>
    <w:p w14:paraId="6C3C8FB5" w14:textId="77777777" w:rsidR="0053058E" w:rsidRPr="0053058E" w:rsidRDefault="0053058E" w:rsidP="0053058E">
      <w:pPr>
        <w:rPr>
          <w:rFonts w:eastAsia="Times New Roman"/>
          <w:i/>
          <w:iCs/>
        </w:rPr>
      </w:pPr>
      <w:r w:rsidRPr="0053058E">
        <w:rPr>
          <w:rFonts w:eastAsia="Times New Roman"/>
          <w:vertAlign w:val="superscript"/>
        </w:rPr>
        <w:t>[10]</w:t>
      </w:r>
      <w:r w:rsidRPr="0053058E">
        <w:rPr>
          <w:rFonts w:eastAsia="Times New Roman"/>
        </w:rPr>
        <w:t xml:space="preserve"> </w:t>
      </w:r>
      <w:r w:rsidRPr="0053058E">
        <w:rPr>
          <w:rFonts w:eastAsia="Times New Roman"/>
          <w:i/>
          <w:iCs/>
        </w:rPr>
        <w:t xml:space="preserve">Pinnacle Hospital People Pty Ltd v Ramasamy </w:t>
      </w:r>
      <w:r w:rsidRPr="0053058E">
        <w:rPr>
          <w:rFonts w:eastAsia="Times New Roman"/>
        </w:rPr>
        <w:t>[2007] VSC 433 (Osborn J)</w:t>
      </w:r>
      <w:r w:rsidRPr="0053058E">
        <w:rPr>
          <w:rFonts w:eastAsia="Times New Roman"/>
          <w:i/>
          <w:iCs/>
        </w:rPr>
        <w:t>.</w:t>
      </w:r>
    </w:p>
    <w:p w14:paraId="6A61F848" w14:textId="77777777" w:rsidR="0053058E" w:rsidRPr="0053058E" w:rsidRDefault="0053058E" w:rsidP="0053058E">
      <w:pPr>
        <w:rPr>
          <w:rFonts w:eastAsia="Times New Roman"/>
        </w:rPr>
      </w:pPr>
      <w:r w:rsidRPr="0053058E">
        <w:rPr>
          <w:rFonts w:eastAsia="Times New Roman"/>
          <w:vertAlign w:val="superscript"/>
        </w:rPr>
        <w:t>[11]</w:t>
      </w:r>
      <w:r w:rsidRPr="0053058E">
        <w:rPr>
          <w:rFonts w:eastAsia="Times New Roman"/>
        </w:rPr>
        <w:t xml:space="preserve"> </w:t>
      </w:r>
      <w:r w:rsidRPr="0053058E">
        <w:rPr>
          <w:rFonts w:eastAsia="Times New Roman"/>
          <w:i/>
          <w:iCs/>
        </w:rPr>
        <w:t>Bond v Rees Corporate Advisory Pty Ltd</w:t>
      </w:r>
      <w:r w:rsidRPr="0053058E">
        <w:rPr>
          <w:rFonts w:eastAsia="Times New Roman"/>
        </w:rPr>
        <w:t xml:space="preserve"> [2013] VSCA 13 (Maxwell P and Tate JA).</w:t>
      </w:r>
    </w:p>
    <w:p w14:paraId="4B7EC0CA" w14:textId="77777777" w:rsidR="0053058E" w:rsidRPr="0053058E" w:rsidRDefault="0053058E" w:rsidP="0053058E">
      <w:pPr>
        <w:rPr>
          <w:rFonts w:eastAsia="Times New Roman"/>
        </w:rPr>
      </w:pPr>
      <w:r w:rsidRPr="0053058E">
        <w:rPr>
          <w:rFonts w:eastAsia="Times New Roman"/>
          <w:vertAlign w:val="superscript"/>
        </w:rPr>
        <w:t>[12]</w:t>
      </w:r>
      <w:r w:rsidRPr="0053058E">
        <w:rPr>
          <w:rFonts w:eastAsia="Times New Roman"/>
        </w:rPr>
        <w:t xml:space="preserve"> </w:t>
      </w:r>
      <w:r w:rsidRPr="0053058E">
        <w:rPr>
          <w:rFonts w:eastAsia="Times New Roman"/>
          <w:i/>
          <w:iCs/>
        </w:rPr>
        <w:t>Austra Tanks Pty Ltd v Commissioner of State Revenue</w:t>
      </w:r>
      <w:r w:rsidRPr="0053058E">
        <w:rPr>
          <w:rFonts w:eastAsia="Times New Roman"/>
        </w:rPr>
        <w:t xml:space="preserve"> [1982] 2 NSWLR 840.</w:t>
      </w:r>
    </w:p>
    <w:p w14:paraId="58B6EF08" w14:textId="77777777" w:rsidR="0053058E" w:rsidRPr="0053058E" w:rsidRDefault="0053058E" w:rsidP="0053058E">
      <w:pPr>
        <w:rPr>
          <w:rFonts w:eastAsia="Times New Roman"/>
        </w:rPr>
      </w:pPr>
      <w:r w:rsidRPr="0053058E">
        <w:rPr>
          <w:rFonts w:eastAsia="Times New Roman"/>
          <w:vertAlign w:val="superscript"/>
        </w:rPr>
        <w:t>[13]</w:t>
      </w:r>
      <w:r w:rsidRPr="0053058E">
        <w:rPr>
          <w:rFonts w:eastAsia="Times New Roman"/>
        </w:rPr>
        <w:t xml:space="preserve"> </w:t>
      </w:r>
      <w:r w:rsidRPr="0053058E">
        <w:rPr>
          <w:rFonts w:eastAsia="Times New Roman"/>
          <w:i/>
          <w:iCs/>
        </w:rPr>
        <w:t>Australian Consumer Law 2010</w:t>
      </w:r>
      <w:r w:rsidRPr="0053058E">
        <w:rPr>
          <w:rFonts w:eastAsia="Times New Roman"/>
        </w:rPr>
        <w:t xml:space="preserve"> (Cth) (ACL), s 18.</w:t>
      </w:r>
    </w:p>
    <w:p w14:paraId="7CFCE416" w14:textId="77777777" w:rsidR="0053058E" w:rsidRPr="0053058E" w:rsidRDefault="0053058E" w:rsidP="0053058E">
      <w:pPr>
        <w:rPr>
          <w:rFonts w:eastAsia="Times New Roman"/>
        </w:rPr>
      </w:pPr>
      <w:r w:rsidRPr="0053058E">
        <w:rPr>
          <w:rFonts w:eastAsia="Times New Roman"/>
          <w:vertAlign w:val="superscript"/>
        </w:rPr>
        <w:t>[14]</w:t>
      </w:r>
      <w:r w:rsidRPr="0053058E">
        <w:rPr>
          <w:rFonts w:eastAsia="Times New Roman"/>
        </w:rPr>
        <w:t xml:space="preserve"> </w:t>
      </w:r>
      <w:r w:rsidRPr="0053058E">
        <w:rPr>
          <w:rFonts w:eastAsia="Times New Roman"/>
          <w:i/>
          <w:iCs/>
        </w:rPr>
        <w:t>Maythorn v Palmer</w:t>
      </w:r>
      <w:r w:rsidRPr="0053058E">
        <w:rPr>
          <w:rFonts w:eastAsia="Times New Roman"/>
        </w:rPr>
        <w:t xml:space="preserve"> (1864) 11 LT 261.</w:t>
      </w:r>
    </w:p>
    <w:p w14:paraId="0CC72C90" w14:textId="77777777" w:rsidR="0053058E" w:rsidRPr="0053058E" w:rsidRDefault="0053058E" w:rsidP="0053058E">
      <w:pPr>
        <w:rPr>
          <w:rFonts w:eastAsia="Times New Roman"/>
        </w:rPr>
      </w:pPr>
      <w:r w:rsidRPr="0053058E">
        <w:rPr>
          <w:rFonts w:eastAsia="Times New Roman"/>
          <w:vertAlign w:val="superscript"/>
        </w:rPr>
        <w:t>[15]</w:t>
      </w:r>
      <w:r w:rsidRPr="0053058E">
        <w:rPr>
          <w:rFonts w:eastAsia="Times New Roman"/>
        </w:rPr>
        <w:t xml:space="preserve"> </w:t>
      </w:r>
      <w:r w:rsidRPr="0053058E">
        <w:rPr>
          <w:rFonts w:eastAsia="Times New Roman"/>
          <w:i/>
          <w:iCs/>
        </w:rPr>
        <w:t>Baker v McAuliffe Holdings Pty Ltd v Carey</w:t>
      </w:r>
      <w:r w:rsidRPr="0053058E">
        <w:rPr>
          <w:rFonts w:eastAsia="Times New Roman"/>
        </w:rPr>
        <w:t xml:space="preserve"> [2018] FCA 1972, [58].</w:t>
      </w:r>
    </w:p>
    <w:p w14:paraId="50053A7F" w14:textId="77777777" w:rsidR="0053058E" w:rsidRPr="0053058E" w:rsidRDefault="0053058E" w:rsidP="0053058E">
      <w:pPr>
        <w:rPr>
          <w:rFonts w:eastAsia="Times New Roman"/>
        </w:rPr>
      </w:pPr>
      <w:r w:rsidRPr="0053058E">
        <w:rPr>
          <w:rFonts w:eastAsia="Times New Roman"/>
          <w:vertAlign w:val="superscript"/>
        </w:rPr>
        <w:t>[16]</w:t>
      </w:r>
      <w:r w:rsidRPr="0053058E">
        <w:rPr>
          <w:rFonts w:eastAsia="Times New Roman"/>
        </w:rPr>
        <w:t xml:space="preserve"> </w:t>
      </w:r>
      <w:r w:rsidRPr="0053058E">
        <w:rPr>
          <w:rFonts w:eastAsia="Times New Roman"/>
          <w:i/>
          <w:iCs/>
        </w:rPr>
        <w:t xml:space="preserve">APT Technology Pty Ltd v </w:t>
      </w:r>
      <w:proofErr w:type="spellStart"/>
      <w:r w:rsidRPr="0053058E">
        <w:rPr>
          <w:rFonts w:eastAsia="Times New Roman"/>
          <w:i/>
          <w:iCs/>
        </w:rPr>
        <w:t>Aladesaye</w:t>
      </w:r>
      <w:proofErr w:type="spellEnd"/>
      <w:r w:rsidRPr="0053058E">
        <w:rPr>
          <w:rFonts w:eastAsia="Times New Roman"/>
          <w:i/>
          <w:iCs/>
        </w:rPr>
        <w:t xml:space="preserve"> (No 2)</w:t>
      </w:r>
      <w:r w:rsidRPr="0053058E">
        <w:rPr>
          <w:rFonts w:eastAsia="Times New Roman"/>
        </w:rPr>
        <w:t xml:space="preserve"> (2016) 259 IR 335, [147].</w:t>
      </w:r>
    </w:p>
    <w:p w14:paraId="73A1FE17" w14:textId="77777777" w:rsidR="0053058E" w:rsidRPr="0053058E" w:rsidRDefault="0053058E" w:rsidP="0053058E">
      <w:pPr>
        <w:rPr>
          <w:rFonts w:eastAsia="Times New Roman"/>
        </w:rPr>
      </w:pPr>
      <w:r w:rsidRPr="0053058E">
        <w:rPr>
          <w:rFonts w:eastAsia="Times New Roman"/>
          <w:vertAlign w:val="superscript"/>
        </w:rPr>
        <w:t>[17]</w:t>
      </w:r>
      <w:r w:rsidRPr="0053058E">
        <w:rPr>
          <w:rFonts w:eastAsia="Times New Roman"/>
        </w:rPr>
        <w:t xml:space="preserve"> </w:t>
      </w:r>
      <w:proofErr w:type="spellStart"/>
      <w:r w:rsidRPr="0053058E">
        <w:rPr>
          <w:rFonts w:eastAsia="Times New Roman"/>
          <w:i/>
          <w:iCs/>
        </w:rPr>
        <w:t>Zomojo</w:t>
      </w:r>
      <w:proofErr w:type="spellEnd"/>
      <w:r w:rsidRPr="0053058E">
        <w:rPr>
          <w:rFonts w:eastAsia="Times New Roman"/>
          <w:i/>
          <w:iCs/>
        </w:rPr>
        <w:t xml:space="preserve"> Pty Ltd v Hurd (No 2)</w:t>
      </w:r>
      <w:r w:rsidRPr="0053058E">
        <w:rPr>
          <w:rFonts w:eastAsia="Times New Roman"/>
        </w:rPr>
        <w:t xml:space="preserve"> (2012) 299 ALR 621, [395].</w:t>
      </w:r>
    </w:p>
    <w:p w14:paraId="289D9E09" w14:textId="77777777" w:rsidR="0053058E" w:rsidRPr="0053058E" w:rsidRDefault="0053058E" w:rsidP="0053058E">
      <w:pPr>
        <w:rPr>
          <w:rFonts w:eastAsia="Times New Roman"/>
        </w:rPr>
      </w:pPr>
      <w:r w:rsidRPr="0053058E">
        <w:rPr>
          <w:rFonts w:eastAsia="Times New Roman"/>
          <w:vertAlign w:val="superscript"/>
        </w:rPr>
        <w:t>[18]</w:t>
      </w:r>
      <w:r w:rsidRPr="0053058E">
        <w:rPr>
          <w:rFonts w:eastAsia="Times New Roman"/>
        </w:rPr>
        <w:t xml:space="preserve"> </w:t>
      </w:r>
      <w:r w:rsidRPr="0053058E">
        <w:rPr>
          <w:rFonts w:eastAsia="Times New Roman"/>
          <w:i/>
          <w:iCs/>
        </w:rPr>
        <w:t>Huhtamaki Australia Ltd v Botha</w:t>
      </w:r>
      <w:r w:rsidRPr="0053058E">
        <w:rPr>
          <w:rFonts w:eastAsia="Times New Roman"/>
        </w:rPr>
        <w:t xml:space="preserve"> [2004] NSWSC 386, [6] (Hamilton J).</w:t>
      </w:r>
    </w:p>
    <w:p w14:paraId="41C4857A" w14:textId="77777777" w:rsidR="0053058E" w:rsidRPr="0053058E" w:rsidRDefault="0053058E" w:rsidP="0053058E">
      <w:pPr>
        <w:rPr>
          <w:rFonts w:eastAsia="Times New Roman"/>
        </w:rPr>
      </w:pPr>
      <w:r w:rsidRPr="0053058E">
        <w:rPr>
          <w:rFonts w:eastAsia="Times New Roman"/>
          <w:vertAlign w:val="superscript"/>
        </w:rPr>
        <w:t>[19]</w:t>
      </w:r>
      <w:r w:rsidRPr="0053058E">
        <w:rPr>
          <w:rFonts w:eastAsia="Times New Roman"/>
        </w:rPr>
        <w:t xml:space="preserve"> (n 17), [385].</w:t>
      </w:r>
    </w:p>
    <w:p w14:paraId="2B417ABB" w14:textId="77777777" w:rsidR="0053058E" w:rsidRPr="0053058E" w:rsidRDefault="0053058E" w:rsidP="0053058E">
      <w:pPr>
        <w:rPr>
          <w:rFonts w:eastAsia="Times New Roman"/>
        </w:rPr>
      </w:pPr>
      <w:r w:rsidRPr="0053058E">
        <w:rPr>
          <w:rFonts w:eastAsia="Times New Roman"/>
          <w:vertAlign w:val="superscript"/>
        </w:rPr>
        <w:lastRenderedPageBreak/>
        <w:t>[20]</w:t>
      </w:r>
      <w:r w:rsidRPr="0053058E">
        <w:rPr>
          <w:rFonts w:eastAsia="Times New Roman"/>
        </w:rPr>
        <w:t xml:space="preserve"> Ibid, [377]. </w:t>
      </w:r>
    </w:p>
    <w:p w14:paraId="21B70BA4" w14:textId="556FED9E" w:rsidR="001F059D" w:rsidRPr="0053058E" w:rsidRDefault="0053058E" w:rsidP="0053058E">
      <w:pPr>
        <w:rPr>
          <w:rFonts w:eastAsia="Times New Roman"/>
        </w:rPr>
      </w:pPr>
      <w:r w:rsidRPr="0053058E">
        <w:rPr>
          <w:rFonts w:eastAsia="Times New Roman"/>
          <w:vertAlign w:val="superscript"/>
        </w:rPr>
        <w:t>[21]</w:t>
      </w:r>
      <w:r w:rsidRPr="0053058E">
        <w:rPr>
          <w:rFonts w:eastAsia="Times New Roman"/>
        </w:rPr>
        <w:t xml:space="preserve"> </w:t>
      </w:r>
      <w:r w:rsidRPr="0053058E">
        <w:rPr>
          <w:rFonts w:eastAsia="Times New Roman"/>
          <w:i/>
          <w:iCs/>
        </w:rPr>
        <w:t xml:space="preserve">Bayley &amp; </w:t>
      </w:r>
      <w:proofErr w:type="spellStart"/>
      <w:r w:rsidRPr="0053058E">
        <w:rPr>
          <w:rFonts w:eastAsia="Times New Roman"/>
          <w:i/>
          <w:iCs/>
        </w:rPr>
        <w:t>Assocs</w:t>
      </w:r>
      <w:proofErr w:type="spellEnd"/>
      <w:r w:rsidRPr="0053058E">
        <w:rPr>
          <w:rFonts w:eastAsia="Times New Roman"/>
          <w:i/>
          <w:iCs/>
        </w:rPr>
        <w:t xml:space="preserve"> Pty Ltd v DBR Australia Pty Ltd</w:t>
      </w:r>
      <w:r w:rsidRPr="0053058E">
        <w:rPr>
          <w:rFonts w:eastAsia="Times New Roman"/>
        </w:rPr>
        <w:t xml:space="preserve"> [2013] FCA 1341, [223].</w:t>
      </w:r>
    </w:p>
    <w:p w14:paraId="54B204E1" w14:textId="439C9867" w:rsidR="000F108B" w:rsidRPr="0053058E" w:rsidRDefault="000F108B" w:rsidP="0053058E">
      <w:r w:rsidRPr="0053058E">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7E16" w14:textId="77777777" w:rsidR="002A2C14" w:rsidRDefault="002A2C14" w:rsidP="00334ADB">
      <w:pPr>
        <w:spacing w:after="0" w:line="240" w:lineRule="auto"/>
      </w:pPr>
      <w:r>
        <w:separator/>
      </w:r>
    </w:p>
  </w:endnote>
  <w:endnote w:type="continuationSeparator" w:id="0">
    <w:p w14:paraId="47FACE3B" w14:textId="77777777" w:rsidR="002A2C14" w:rsidRDefault="002A2C14"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9442" w14:textId="77777777" w:rsidR="002A2C14" w:rsidRDefault="002A2C14" w:rsidP="00334ADB">
      <w:pPr>
        <w:spacing w:after="0" w:line="240" w:lineRule="auto"/>
      </w:pPr>
      <w:r>
        <w:separator/>
      </w:r>
    </w:p>
  </w:footnote>
  <w:footnote w:type="continuationSeparator" w:id="0">
    <w:p w14:paraId="275809E9" w14:textId="77777777" w:rsidR="002A2C14" w:rsidRDefault="002A2C14" w:rsidP="00334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005"/>
    <w:multiLevelType w:val="multilevel"/>
    <w:tmpl w:val="A558B7E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E76691"/>
    <w:multiLevelType w:val="multilevel"/>
    <w:tmpl w:val="15944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F66FE9"/>
    <w:multiLevelType w:val="multilevel"/>
    <w:tmpl w:val="27CE6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625772"/>
    <w:multiLevelType w:val="multilevel"/>
    <w:tmpl w:val="E1807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AE1F46"/>
    <w:multiLevelType w:val="multilevel"/>
    <w:tmpl w:val="D79E7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107888"/>
    <w:multiLevelType w:val="multilevel"/>
    <w:tmpl w:val="AE464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716306"/>
    <w:multiLevelType w:val="multilevel"/>
    <w:tmpl w:val="31828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1350351">
    <w:abstractNumId w:val="0"/>
  </w:num>
  <w:num w:numId="2" w16cid:durableId="2013217274">
    <w:abstractNumId w:val="5"/>
  </w:num>
  <w:num w:numId="3" w16cid:durableId="463037431">
    <w:abstractNumId w:val="1"/>
  </w:num>
  <w:num w:numId="4" w16cid:durableId="590238213">
    <w:abstractNumId w:val="6"/>
  </w:num>
  <w:num w:numId="5" w16cid:durableId="131757089">
    <w:abstractNumId w:val="2"/>
  </w:num>
  <w:num w:numId="6" w16cid:durableId="940451525">
    <w:abstractNumId w:val="3"/>
  </w:num>
  <w:num w:numId="7" w16cid:durableId="531235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A2C14"/>
    <w:rsid w:val="002F23C0"/>
    <w:rsid w:val="00300E0C"/>
    <w:rsid w:val="0032017D"/>
    <w:rsid w:val="00334ADB"/>
    <w:rsid w:val="00341B1E"/>
    <w:rsid w:val="00344A17"/>
    <w:rsid w:val="00356093"/>
    <w:rsid w:val="003A02E1"/>
    <w:rsid w:val="003A1CFB"/>
    <w:rsid w:val="003B7C76"/>
    <w:rsid w:val="003C2E5F"/>
    <w:rsid w:val="003C6009"/>
    <w:rsid w:val="003E43B4"/>
    <w:rsid w:val="003E7BC4"/>
    <w:rsid w:val="00405FCE"/>
    <w:rsid w:val="004428B7"/>
    <w:rsid w:val="00454AE5"/>
    <w:rsid w:val="0046317F"/>
    <w:rsid w:val="00464656"/>
    <w:rsid w:val="00464D45"/>
    <w:rsid w:val="0046610A"/>
    <w:rsid w:val="00480B5D"/>
    <w:rsid w:val="00482078"/>
    <w:rsid w:val="00483774"/>
    <w:rsid w:val="00483FDC"/>
    <w:rsid w:val="004B39DA"/>
    <w:rsid w:val="004D2AC4"/>
    <w:rsid w:val="004D4240"/>
    <w:rsid w:val="004E3D64"/>
    <w:rsid w:val="004E66C5"/>
    <w:rsid w:val="0053058E"/>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36B81"/>
    <w:rsid w:val="00691C4F"/>
    <w:rsid w:val="006B0791"/>
    <w:rsid w:val="006B7BEF"/>
    <w:rsid w:val="006C458F"/>
    <w:rsid w:val="00714231"/>
    <w:rsid w:val="00727A61"/>
    <w:rsid w:val="00740B37"/>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46E97"/>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53058E"/>
    <w:pPr>
      <w:outlineLvl w:val="1"/>
    </w:pPr>
    <w:rPr>
      <w:b/>
      <w:bCs/>
      <w:i/>
      <w:iCs/>
      <w:u w:val="single"/>
    </w:rPr>
  </w:style>
  <w:style w:type="paragraph" w:styleId="Heading3">
    <w:name w:val="heading 3"/>
    <w:basedOn w:val="Normal"/>
    <w:next w:val="Normal"/>
    <w:link w:val="Heading3Char"/>
    <w:uiPriority w:val="9"/>
    <w:unhideWhenUsed/>
    <w:qFormat/>
    <w:rsid w:val="0053058E"/>
    <w:pPr>
      <w:outlineLvl w:val="2"/>
    </w:pPr>
    <w:rPr>
      <w:i/>
      <w:iCs/>
      <w:u w:val="single"/>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53058E"/>
    <w:rPr>
      <w:rFonts w:ascii="Times New Roman" w:hAnsi="Times New Roman" w:cs="Times New Roman"/>
      <w:b/>
      <w:bCs/>
      <w:i/>
      <w:iCs/>
      <w:sz w:val="22"/>
      <w:szCs w:val="22"/>
      <w:u w:val="single"/>
    </w:rPr>
  </w:style>
  <w:style w:type="character" w:customStyle="1" w:styleId="Heading3Char">
    <w:name w:val="Heading 3 Char"/>
    <w:basedOn w:val="DefaultParagraphFont"/>
    <w:link w:val="Heading3"/>
    <w:uiPriority w:val="9"/>
    <w:rsid w:val="0053058E"/>
    <w:rPr>
      <w:rFonts w:ascii="Times New Roman" w:hAnsi="Times New Roman" w:cs="Times New Roman"/>
      <w:i/>
      <w:iCs/>
      <w:sz w:val="22"/>
      <w:szCs w:val="22"/>
      <w:u w:val="single"/>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1917</Words>
  <Characters>10089</Characters>
  <Application>Microsoft Office Word</Application>
  <DocSecurity>0</DocSecurity>
  <Lines>171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12</cp:revision>
  <dcterms:created xsi:type="dcterms:W3CDTF">2026-01-14T20:20:00Z</dcterms:created>
  <dcterms:modified xsi:type="dcterms:W3CDTF">2026-02-06T12:50:00Z</dcterms:modified>
</cp:coreProperties>
</file>