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57B91" w14:textId="3BA86C7C" w:rsidR="00354AA0" w:rsidRPr="0041414C" w:rsidRDefault="0052739C" w:rsidP="0041414C">
      <w:r>
        <w:rPr>
          <w:noProof/>
        </w:rPr>
        <mc:AlternateContent>
          <mc:Choice Requires="wpg">
            <w:drawing>
              <wp:anchor distT="0" distB="0" distL="114300" distR="114300" simplePos="0" relativeHeight="251658240" behindDoc="0" locked="0" layoutInCell="1" allowOverlap="1" wp14:anchorId="2B6E4E9D" wp14:editId="3B7BBFDB">
                <wp:simplePos x="0" y="0"/>
                <wp:positionH relativeFrom="column">
                  <wp:posOffset>-885092</wp:posOffset>
                </wp:positionH>
                <wp:positionV relativeFrom="paragraph">
                  <wp:posOffset>-1055077</wp:posOffset>
                </wp:positionV>
                <wp:extent cx="8671560" cy="11079040"/>
                <wp:effectExtent l="0" t="0" r="15240" b="8255"/>
                <wp:wrapNone/>
                <wp:docPr id="1521003895" name="Group 23"/>
                <wp:cNvGraphicFramePr/>
                <a:graphic xmlns:a="http://schemas.openxmlformats.org/drawingml/2006/main">
                  <a:graphicData uri="http://schemas.microsoft.com/office/word/2010/wordprocessingGroup">
                    <wpg:wgp>
                      <wpg:cNvGrpSpPr/>
                      <wpg:grpSpPr>
                        <a:xfrm>
                          <a:off x="0" y="0"/>
                          <a:ext cx="8671560" cy="11079040"/>
                          <a:chOff x="0" y="-57572"/>
                          <a:chExt cx="8672349" cy="10881970"/>
                        </a:xfrm>
                      </wpg:grpSpPr>
                      <wps:wsp>
                        <wps:cNvPr id="1472515651" name="Rectangle 15"/>
                        <wps:cNvSpPr/>
                        <wps:spPr>
                          <a:xfrm>
                            <a:off x="187586" y="-57572"/>
                            <a:ext cx="8484763" cy="10881970"/>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9"/>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447143" y="4537366"/>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C6F932" id="Group 23" o:spid="_x0000_s1026" style="position:absolute;margin-left:-69.7pt;margin-top:-83.1pt;width:682.8pt;height:872.35pt;z-index:251658240;mso-width-relative:margin;mso-height-relative:margin" coordorigin=",-575" coordsize="86723,1088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">
                <v:rect id="Rectangle 15" o:spid="_x0000_s1027" style="position:absolute;left:1875;top:-575;width:84848;height:108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5" type="#_x0000_t5" style="position:absolute;left:4447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6"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sidR="00224B45">
        <w:rPr>
          <w:noProof/>
        </w:rPr>
        <mc:AlternateContent>
          <mc:Choice Requires="wps">
            <w:drawing>
              <wp:anchor distT="0" distB="0" distL="114300" distR="114300" simplePos="0" relativeHeight="251658245" behindDoc="0" locked="0" layoutInCell="1" allowOverlap="1" wp14:anchorId="6666B828" wp14:editId="475697C7">
                <wp:simplePos x="0" y="0"/>
                <wp:positionH relativeFrom="column">
                  <wp:posOffset>-486410</wp:posOffset>
                </wp:positionH>
                <wp:positionV relativeFrom="paragraph">
                  <wp:posOffset>7230941</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B17B765" w14:textId="0E5566CE" w:rsidR="000F108B" w:rsidRPr="00843BB1" w:rsidRDefault="000F108B" w:rsidP="001F059D">
                            <w:pPr>
                              <w:rPr>
                                <w:color w:val="FFFFFF" w:themeColor="background1"/>
                                <w:sz w:val="32"/>
                                <w:szCs w:val="32"/>
                              </w:rPr>
                            </w:pPr>
                            <w:r w:rsidRPr="001F059D">
                              <w:rPr>
                                <w:color w:val="FFFFFF" w:themeColor="background1"/>
                                <w:sz w:val="32"/>
                                <w:szCs w:val="32"/>
                              </w:rPr>
                              <w:t xml:space="preserve">By </w:t>
                            </w:r>
                            <w:r w:rsidR="00216CEC">
                              <w:rPr>
                                <w:color w:val="FFFFFF" w:themeColor="background1"/>
                                <w:sz w:val="32"/>
                                <w:szCs w:val="32"/>
                              </w:rPr>
                              <w:t>Alliyah Gabreal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66B828" id="_x0000_t202" coordsize="21600,21600" o:spt="202" path="m,l,21600r21600,l21600,xe">
                <v:stroke joinstyle="miter"/>
                <v:path gradientshapeok="t" o:connecttype="rect"/>
              </v:shapetype>
              <v:shape id="Text Box 21" o:spid="_x0000_s1026" type="#_x0000_t202" style="position:absolute;margin-left:-38.3pt;margin-top:569.35pt;width:191.65pt;height:24.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" filled="f" stroked="f" strokeweight=".5pt">
                <v:textbox>
                  <w:txbxContent>
                    <w:p w14:paraId="3B17B765" w14:textId="0E5566CE" w:rsidR="000F108B" w:rsidRPr="00843BB1" w:rsidRDefault="000F108B" w:rsidP="001F059D">
                      <w:pPr>
                        <w:rPr>
                          <w:color w:val="FFFFFF" w:themeColor="background1"/>
                          <w:sz w:val="32"/>
                          <w:szCs w:val="32"/>
                        </w:rPr>
                      </w:pPr>
                      <w:r w:rsidRPr="001F059D">
                        <w:rPr>
                          <w:color w:val="FFFFFF" w:themeColor="background1"/>
                          <w:sz w:val="32"/>
                          <w:szCs w:val="32"/>
                        </w:rPr>
                        <w:t xml:space="preserve">By </w:t>
                      </w:r>
                      <w:r w:rsidR="00216CEC">
                        <w:rPr>
                          <w:color w:val="FFFFFF" w:themeColor="background1"/>
                          <w:sz w:val="32"/>
                          <w:szCs w:val="32"/>
                        </w:rPr>
                        <w:t>Alliyah Gabreal</w:t>
                      </w:r>
                    </w:p>
                  </w:txbxContent>
                </v:textbox>
              </v:shape>
            </w:pict>
          </mc:Fallback>
        </mc:AlternateContent>
      </w:r>
      <w:r w:rsidR="00E65FCD">
        <w:rPr>
          <w:noProof/>
        </w:rPr>
        <w:drawing>
          <wp:anchor distT="0" distB="0" distL="114300" distR="114300" simplePos="0" relativeHeight="251658241" behindDoc="1" locked="0" layoutInCell="1" allowOverlap="1" wp14:anchorId="6970AA97" wp14:editId="38D6E776">
            <wp:simplePos x="0" y="0"/>
            <wp:positionH relativeFrom="column">
              <wp:posOffset>-1515110</wp:posOffset>
            </wp:positionH>
            <wp:positionV relativeFrom="paragraph">
              <wp:posOffset>-907415</wp:posOffset>
            </wp:positionV>
            <wp:extent cx="12405360" cy="13564870"/>
            <wp:effectExtent l="0" t="0" r="2540" b="0"/>
            <wp:wrapNone/>
            <wp:docPr id="170123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37941" name="Picture 1701237941"/>
                    <pic:cNvPicPr/>
                  </pic:nvPicPr>
                  <pic:blipFill rotWithShape="1">
                    <a:blip r:embed="rId7">
                      <a:extLst>
                        <a:ext uri="{28A0092B-C50C-407E-A947-70E740481C1C}">
                          <a14:useLocalDpi xmlns:a14="http://schemas.microsoft.com/office/drawing/2010/main" val="0"/>
                        </a:ext>
                      </a:extLst>
                    </a:blip>
                    <a:srcRect t="2160"/>
                    <a:stretch>
                      <a:fillRect/>
                    </a:stretch>
                  </pic:blipFill>
                  <pic:spPr bwMode="auto">
                    <a:xfrm>
                      <a:off x="0" y="0"/>
                      <a:ext cx="12405360" cy="13564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0005">
        <w:rPr>
          <w:noProof/>
        </w:rPr>
        <mc:AlternateContent>
          <mc:Choice Requires="wps">
            <w:drawing>
              <wp:anchor distT="0" distB="0" distL="114300" distR="114300" simplePos="0" relativeHeight="251658244" behindDoc="0" locked="0" layoutInCell="1" allowOverlap="1" wp14:anchorId="4BE7ACF9" wp14:editId="613F0277">
                <wp:simplePos x="0" y="0"/>
                <wp:positionH relativeFrom="column">
                  <wp:posOffset>-495935</wp:posOffset>
                </wp:positionH>
                <wp:positionV relativeFrom="paragraph">
                  <wp:posOffset>5727065</wp:posOffset>
                </wp:positionV>
                <wp:extent cx="3616037" cy="1184563"/>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616037" cy="1184563"/>
                        </a:xfrm>
                        <a:prstGeom prst="rect">
                          <a:avLst/>
                        </a:prstGeom>
                        <a:noFill/>
                        <a:ln w="6350">
                          <a:noFill/>
                        </a:ln>
                      </wps:spPr>
                      <wps:txbx>
                        <w:txbxContent>
                          <w:p w14:paraId="0489C074" w14:textId="124454C7" w:rsidR="000F108B" w:rsidRPr="001F059D" w:rsidRDefault="00216CEC" w:rsidP="001F059D">
                            <w:pPr>
                              <w:pStyle w:val="Title"/>
                            </w:pPr>
                            <w:r>
                              <w:t>R v White</w:t>
                            </w:r>
                            <w:r w:rsidR="00D41414">
                              <w:t xml:space="preserve"> (2024)</w:t>
                            </w:r>
                          </w:p>
                          <w:p w14:paraId="33A8E14E" w14:textId="0D87737B" w:rsidR="000F108B" w:rsidRPr="001F059D" w:rsidRDefault="00216CEC" w:rsidP="001F059D">
                            <w:pPr>
                              <w:pStyle w:val="Subtitle"/>
                            </w:pPr>
                            <w:r>
                              <w:t xml:space="preserve">A </w:t>
                            </w:r>
                            <w:r w:rsidR="00AD2272">
                              <w:t>Case</w:t>
                            </w:r>
                            <w:r w:rsidR="007D6DEE">
                              <w:t xml:space="preserve"> </w:t>
                            </w:r>
                            <w:r w:rsidR="00AD2272">
                              <w:t>Summary</w:t>
                            </w:r>
                            <w:r w:rsidR="000F108B" w:rsidRPr="001F059D">
                              <w:t xml:space="preserve"> </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7" style="position:absolute;margin-left:-39.05pt;margin-top:450.95pt;width:284.75pt;height:9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JTGgIAADQ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" w14:anchorId="4BE7ACF9">
                <v:textbox>
                  <w:txbxContent>
                    <w:p w:rsidRPr="001F059D" w:rsidR="000F108B" w:rsidP="001F059D" w:rsidRDefault="00216CEC" w14:paraId="0489C074" w14:textId="124454C7">
                      <w:pPr>
                        <w:pStyle w:val="Title"/>
                      </w:pPr>
                      <w:r>
                        <w:t>R v White</w:t>
                      </w:r>
                      <w:r w:rsidR="00D41414">
                        <w:t xml:space="preserve"> (2024)</w:t>
                      </w:r>
                    </w:p>
                    <w:p w:rsidRPr="001F059D" w:rsidR="000F108B" w:rsidP="001F059D" w:rsidRDefault="00216CEC" w14:paraId="33A8E14E" w14:textId="0D87737B">
                      <w:pPr>
                        <w:pStyle w:val="Subtitle"/>
                      </w:pPr>
                      <w:r>
                        <w:t xml:space="preserve">A </w:t>
                      </w:r>
                      <w:r w:rsidR="00AD2272">
                        <w:t>Case</w:t>
                      </w:r>
                      <w:r w:rsidR="007D6DEE">
                        <w:t xml:space="preserve"> </w:t>
                      </w:r>
                      <w:r w:rsidR="00AD2272">
                        <w:t>Summary</w:t>
                      </w:r>
                      <w:r w:rsidRPr="001F059D" w:rsidR="000F108B">
                        <w:t xml:space="preserve"> </w:t>
                      </w:r>
                    </w:p>
                    <w:p w:rsidR="001F059D" w:rsidRDefault="001F059D" w14:paraId="0923727F" w14:textId="77777777"/>
                  </w:txbxContent>
                </v:textbox>
              </v:shape>
            </w:pict>
          </mc:Fallback>
        </mc:AlternateContent>
      </w:r>
      <w:r w:rsidR="000F108B">
        <w:br w:type="page"/>
      </w:r>
    </w:p>
    <w:p w14:paraId="6DB257D1" w14:textId="77777777" w:rsidR="00354AA0" w:rsidRPr="00FA7D97" w:rsidRDefault="00354AA0" w:rsidP="00224B45">
      <w:pPr>
        <w:pStyle w:val="Heading1"/>
      </w:pPr>
      <w:r w:rsidRPr="00FA7D97">
        <w:lastRenderedPageBreak/>
        <w:t>I FACTS OF THE CASE</w:t>
      </w:r>
    </w:p>
    <w:p w14:paraId="6DDFED93" w14:textId="77777777"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Clare Nowland was a 95-year-old resident of an aged care facility in regional NSW. Nowland utilised a 4-wheel walker for mobility and showed to have symptoms of dementia however was never diagnosed.</w:t>
      </w:r>
      <w:r w:rsidRPr="00354AA0">
        <w:rPr>
          <w:kern w:val="2"/>
          <w:sz w:val="24"/>
          <w:szCs w:val="24"/>
          <w:vertAlign w:val="superscript"/>
          <w14:ligatures w14:val="standardContextual"/>
        </w:rPr>
        <w:footnoteReference w:id="1"/>
      </w:r>
    </w:p>
    <w:p w14:paraId="42AA1BF6" w14:textId="77777777"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On the 17</w:t>
      </w:r>
      <w:r w:rsidRPr="00354AA0">
        <w:rPr>
          <w:kern w:val="2"/>
          <w:sz w:val="24"/>
          <w:szCs w:val="24"/>
          <w:vertAlign w:val="superscript"/>
          <w14:ligatures w14:val="standardContextual"/>
        </w:rPr>
        <w:t>th</w:t>
      </w:r>
      <w:r w:rsidRPr="00354AA0">
        <w:rPr>
          <w:kern w:val="2"/>
          <w:sz w:val="24"/>
          <w:szCs w:val="24"/>
          <w14:ligatures w14:val="standardContextual"/>
        </w:rPr>
        <w:t xml:space="preserve"> of May 2023 at around 2am, Nowland was found by the facility staff wandering the halls of the facility with her walker and two steak knives.</w:t>
      </w:r>
      <w:r w:rsidRPr="00354AA0">
        <w:rPr>
          <w:kern w:val="2"/>
          <w:sz w:val="24"/>
          <w:szCs w:val="24"/>
          <w:vertAlign w:val="superscript"/>
          <w14:ligatures w14:val="standardContextual"/>
        </w:rPr>
        <w:footnoteReference w:id="2"/>
      </w:r>
      <w:r w:rsidRPr="00354AA0">
        <w:rPr>
          <w:kern w:val="2"/>
          <w:sz w:val="24"/>
          <w:szCs w:val="24"/>
          <w14:ligatures w14:val="standardContextual"/>
        </w:rPr>
        <w:t xml:space="preserve"> After some time attending different areas of the facility, including the kitchen and rooms of some other residents, Mrs Nowland became seated in a nurse’s office in the administration area. Although, she was still in possession of one knife. </w:t>
      </w:r>
    </w:p>
    <w:p w14:paraId="12FF7414" w14:textId="77777777"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 xml:space="preserve">A registered nurse from the facility contacted emergency services for assistance with the situation. Two paramedics and two police officers responded to the scene, including Senior Constable Kristian White, a police officer with 12 years’ experience. The first responders encountered Mrs Nowland in the nurse’s room still allegedly holding the serrated steak knife. </w:t>
      </w:r>
    </w:p>
    <w:p w14:paraId="6D14D038" w14:textId="17932CED"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 xml:space="preserve">After approximately two hours of attempts by facility staff and further attempts by emergency services to convince her to relinquish the knife, Mrs Nowland refused. She began to walk slowly toward them using her walker with the knife, whereupon Senior Constable White then discharged his taser towards and on Mrs Nowland, causing her to fall backward, striking her head and causing a head injury. Approximately three minutes had elapsed between Constable White arriving at the scene and the discharge of his taser. </w:t>
      </w:r>
    </w:p>
    <w:p w14:paraId="07077B8B" w14:textId="4B2EA334"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Mrs Nowland passed away one week later the 24</w:t>
      </w:r>
      <w:r w:rsidRPr="00354AA0">
        <w:rPr>
          <w:kern w:val="2"/>
          <w:sz w:val="24"/>
          <w:szCs w:val="24"/>
          <w:vertAlign w:val="superscript"/>
          <w14:ligatures w14:val="standardContextual"/>
        </w:rPr>
        <w:t>th</w:t>
      </w:r>
      <w:r w:rsidRPr="00354AA0">
        <w:rPr>
          <w:kern w:val="2"/>
          <w:sz w:val="24"/>
          <w:szCs w:val="24"/>
          <w14:ligatures w14:val="standardContextual"/>
        </w:rPr>
        <w:t xml:space="preserve"> of May 2023 in Cooma Hospital due to the injury sustained as a result of the tasering. </w:t>
      </w:r>
    </w:p>
    <w:p w14:paraId="451B4A9A" w14:textId="77777777" w:rsidR="00354AA0" w:rsidRPr="00FA7D97" w:rsidRDefault="00354AA0" w:rsidP="00224B45">
      <w:pPr>
        <w:pStyle w:val="Heading1"/>
      </w:pPr>
      <w:r w:rsidRPr="00FA7D97">
        <w:t>II PROCEDURAL HISTORY</w:t>
      </w:r>
    </w:p>
    <w:p w14:paraId="4309DE3F" w14:textId="77777777"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In May 2023, upon Mrs Nowland’s death, initial charged were laid as Constable White was charged with three offences under the Crimes Act 1900 (NSW).</w:t>
      </w:r>
      <w:r w:rsidRPr="00354AA0">
        <w:rPr>
          <w:kern w:val="2"/>
          <w:sz w:val="24"/>
          <w:szCs w:val="24"/>
          <w:vertAlign w:val="superscript"/>
          <w14:ligatures w14:val="standardContextual"/>
        </w:rPr>
        <w:footnoteReference w:id="3"/>
      </w:r>
    </w:p>
    <w:p w14:paraId="6C9FEABB" w14:textId="77777777" w:rsidR="00354AA0" w:rsidRPr="00354AA0" w:rsidRDefault="00354AA0" w:rsidP="00224B45">
      <w:pPr>
        <w:numPr>
          <w:ilvl w:val="0"/>
          <w:numId w:val="1"/>
        </w:numPr>
        <w:spacing w:after="160"/>
        <w:contextualSpacing/>
        <w:rPr>
          <w:kern w:val="2"/>
          <w:sz w:val="24"/>
          <w:szCs w:val="24"/>
          <w14:ligatures w14:val="standardContextual"/>
        </w:rPr>
      </w:pPr>
      <w:r w:rsidRPr="00354AA0">
        <w:rPr>
          <w:kern w:val="2"/>
          <w:sz w:val="24"/>
          <w:szCs w:val="24"/>
          <w14:ligatures w14:val="standardContextual"/>
        </w:rPr>
        <w:t>Reckless grievous bodily harm (s35).</w:t>
      </w:r>
    </w:p>
    <w:p w14:paraId="4DFCEB96" w14:textId="77777777" w:rsidR="00354AA0" w:rsidRPr="00354AA0" w:rsidRDefault="00354AA0" w:rsidP="00224B45">
      <w:pPr>
        <w:numPr>
          <w:ilvl w:val="0"/>
          <w:numId w:val="1"/>
        </w:numPr>
        <w:spacing w:after="160"/>
        <w:contextualSpacing/>
        <w:rPr>
          <w:kern w:val="2"/>
          <w:sz w:val="24"/>
          <w:szCs w:val="24"/>
          <w14:ligatures w14:val="standardContextual"/>
        </w:rPr>
      </w:pPr>
      <w:r w:rsidRPr="00354AA0">
        <w:rPr>
          <w:kern w:val="2"/>
          <w:sz w:val="24"/>
          <w:szCs w:val="24"/>
          <w14:ligatures w14:val="standardContextual"/>
        </w:rPr>
        <w:t xml:space="preserve">Assault occasioning actual bodily harm (s59); and </w:t>
      </w:r>
    </w:p>
    <w:p w14:paraId="7AE6C9A8" w14:textId="77777777" w:rsidR="00354AA0" w:rsidRPr="00354AA0" w:rsidRDefault="00354AA0" w:rsidP="00224B45">
      <w:pPr>
        <w:numPr>
          <w:ilvl w:val="0"/>
          <w:numId w:val="1"/>
        </w:numPr>
        <w:spacing w:after="160"/>
        <w:contextualSpacing/>
        <w:rPr>
          <w:kern w:val="2"/>
          <w:sz w:val="24"/>
          <w:szCs w:val="24"/>
          <w14:ligatures w14:val="standardContextual"/>
        </w:rPr>
      </w:pPr>
      <w:r w:rsidRPr="00354AA0">
        <w:rPr>
          <w:kern w:val="2"/>
          <w:sz w:val="24"/>
          <w:szCs w:val="24"/>
          <w14:ligatures w14:val="standardContextual"/>
        </w:rPr>
        <w:lastRenderedPageBreak/>
        <w:t>Common assault (s61).</w:t>
      </w:r>
      <w:r w:rsidRPr="00354AA0">
        <w:rPr>
          <w:kern w:val="2"/>
          <w:sz w:val="24"/>
          <w:szCs w:val="24"/>
          <w:vertAlign w:val="superscript"/>
          <w14:ligatures w14:val="standardContextual"/>
        </w:rPr>
        <w:footnoteReference w:id="4"/>
      </w:r>
    </w:p>
    <w:p w14:paraId="02D32F04" w14:textId="77777777"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 xml:space="preserve">As a result, White was issued a separate Court Attendance Notice for each offence. No bail conditions were placed on him by police at the time the Court Attendance Notices were issued. </w:t>
      </w:r>
    </w:p>
    <w:p w14:paraId="7ABF5F07" w14:textId="77777777"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 xml:space="preserve">Following the issues of the Court Attendance Notice’s, in November 2023, the prosecution lodged a detention application in the Supreme Court under s50 of the Bial Act 2013 in order to have bail conditions imposed on Constable White. </w:t>
      </w:r>
    </w:p>
    <w:p w14:paraId="1AAD80B1" w14:textId="77777777"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 xml:space="preserve">In the application, the prosecution requested three bail conditions be imposed: </w:t>
      </w:r>
    </w:p>
    <w:p w14:paraId="0D2EB4FC" w14:textId="77777777" w:rsidR="00354AA0" w:rsidRPr="00354AA0" w:rsidRDefault="00354AA0" w:rsidP="00224B45">
      <w:pPr>
        <w:numPr>
          <w:ilvl w:val="0"/>
          <w:numId w:val="2"/>
        </w:numPr>
        <w:spacing w:after="160"/>
        <w:contextualSpacing/>
        <w:rPr>
          <w:kern w:val="2"/>
          <w:sz w:val="24"/>
          <w:szCs w:val="24"/>
          <w14:ligatures w14:val="standardContextual"/>
        </w:rPr>
      </w:pPr>
      <w:r w:rsidRPr="00354AA0">
        <w:rPr>
          <w:kern w:val="2"/>
          <w:sz w:val="24"/>
          <w:szCs w:val="24"/>
          <w14:ligatures w14:val="standardContextual"/>
        </w:rPr>
        <w:t xml:space="preserve">To be of good </w:t>
      </w:r>
      <w:proofErr w:type="gramStart"/>
      <w:r w:rsidRPr="00354AA0">
        <w:rPr>
          <w:kern w:val="2"/>
          <w:sz w:val="24"/>
          <w:szCs w:val="24"/>
          <w14:ligatures w14:val="standardContextual"/>
        </w:rPr>
        <w:t>behaviour;</w:t>
      </w:r>
      <w:proofErr w:type="gramEnd"/>
      <w:r w:rsidRPr="00354AA0">
        <w:rPr>
          <w:kern w:val="2"/>
          <w:sz w:val="24"/>
          <w:szCs w:val="24"/>
          <w14:ligatures w14:val="standardContextual"/>
        </w:rPr>
        <w:t xml:space="preserve"> </w:t>
      </w:r>
    </w:p>
    <w:p w14:paraId="53E1E13E" w14:textId="77777777" w:rsidR="00354AA0" w:rsidRPr="00354AA0" w:rsidRDefault="00354AA0" w:rsidP="00224B45">
      <w:pPr>
        <w:numPr>
          <w:ilvl w:val="0"/>
          <w:numId w:val="2"/>
        </w:numPr>
        <w:spacing w:after="160"/>
        <w:contextualSpacing/>
        <w:rPr>
          <w:kern w:val="2"/>
          <w:sz w:val="24"/>
          <w:szCs w:val="24"/>
          <w14:ligatures w14:val="standardContextual"/>
        </w:rPr>
      </w:pPr>
      <w:r w:rsidRPr="00354AA0">
        <w:rPr>
          <w:kern w:val="2"/>
          <w:sz w:val="24"/>
          <w:szCs w:val="24"/>
          <w14:ligatures w14:val="standardContextual"/>
        </w:rPr>
        <w:t xml:space="preserve">To appear at court as directed; and </w:t>
      </w:r>
    </w:p>
    <w:p w14:paraId="1B8ADC1F" w14:textId="77777777" w:rsidR="00354AA0" w:rsidRPr="00354AA0" w:rsidRDefault="00354AA0" w:rsidP="00224B45">
      <w:pPr>
        <w:numPr>
          <w:ilvl w:val="0"/>
          <w:numId w:val="2"/>
        </w:numPr>
        <w:spacing w:after="160"/>
        <w:contextualSpacing/>
        <w:rPr>
          <w:kern w:val="2"/>
          <w:sz w:val="24"/>
          <w:szCs w:val="24"/>
          <w14:ligatures w14:val="standardContextual"/>
        </w:rPr>
      </w:pPr>
      <w:r w:rsidRPr="00354AA0">
        <w:rPr>
          <w:kern w:val="2"/>
          <w:sz w:val="24"/>
          <w:szCs w:val="24"/>
          <w14:ligatures w14:val="standardContextual"/>
        </w:rPr>
        <w:t>Not to approach or communicate with the family of the deceased or any prosecution witness expect through a legal representative.</w:t>
      </w:r>
      <w:r w:rsidRPr="00354AA0">
        <w:rPr>
          <w:kern w:val="2"/>
          <w:sz w:val="24"/>
          <w:szCs w:val="24"/>
          <w:vertAlign w:val="superscript"/>
          <w14:ligatures w14:val="standardContextual"/>
        </w:rPr>
        <w:footnoteReference w:id="5"/>
      </w:r>
    </w:p>
    <w:p w14:paraId="392B4783" w14:textId="4B9CB41C"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Consequently, the presiding judge, Justice Robert Beech-Jones accept these conditions, and White was officially granted bail on July 18, 2023.</w:t>
      </w:r>
      <w:r w:rsidRPr="00354AA0">
        <w:rPr>
          <w:kern w:val="2"/>
          <w:sz w:val="24"/>
          <w:szCs w:val="24"/>
          <w:vertAlign w:val="superscript"/>
          <w14:ligatures w14:val="standardContextual"/>
        </w:rPr>
        <w:footnoteReference w:id="6"/>
      </w:r>
      <w:r w:rsidR="00F2907D" w:rsidRPr="00354AA0">
        <w:rPr>
          <w:kern w:val="2"/>
          <w:sz w:val="24"/>
          <w:szCs w:val="24"/>
          <w14:ligatures w14:val="standardContextual"/>
        </w:rPr>
        <w:t xml:space="preserve"> </w:t>
      </w:r>
      <w:r w:rsidRPr="00354AA0">
        <w:rPr>
          <w:kern w:val="2"/>
          <w:sz w:val="24"/>
          <w:szCs w:val="24"/>
          <w14:ligatures w14:val="standardContextual"/>
        </w:rPr>
        <w:t xml:space="preserve">Consequently, the charges against White were upgraded to manslaughter on 29 November 2023 on the advice of the Office of the Director of the Public Prosecutions (ODPP). However, White pleaded not guilty. </w:t>
      </w:r>
    </w:p>
    <w:p w14:paraId="4C63338C" w14:textId="77777777"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 xml:space="preserve">Moreover, Whites defence ream made an application to the court seeking permission for a judge alone trial on October 14, 2024. The application was made on two grounds. </w:t>
      </w:r>
    </w:p>
    <w:p w14:paraId="14BD5C3A" w14:textId="77777777" w:rsidR="00354AA0" w:rsidRPr="00354AA0" w:rsidRDefault="00354AA0" w:rsidP="00224B45">
      <w:pPr>
        <w:numPr>
          <w:ilvl w:val="0"/>
          <w:numId w:val="3"/>
        </w:numPr>
        <w:spacing w:after="160"/>
        <w:contextualSpacing/>
        <w:rPr>
          <w:kern w:val="2"/>
          <w:sz w:val="24"/>
          <w:szCs w:val="24"/>
          <w14:ligatures w14:val="standardContextual"/>
        </w:rPr>
      </w:pPr>
      <w:r w:rsidRPr="00354AA0">
        <w:rPr>
          <w:kern w:val="2"/>
          <w:sz w:val="24"/>
          <w:szCs w:val="24"/>
          <w14:ligatures w14:val="standardContextual"/>
        </w:rPr>
        <w:t>That members of a potential jury would have been influenced by adverse publicity from the vast media coverage the case had received, and that judicial directions could not mitigate the prejudice; and</w:t>
      </w:r>
      <w:r w:rsidRPr="00354AA0">
        <w:rPr>
          <w:kern w:val="2"/>
          <w:sz w:val="24"/>
          <w:szCs w:val="24"/>
          <w:vertAlign w:val="superscript"/>
          <w14:ligatures w14:val="standardContextual"/>
        </w:rPr>
        <w:footnoteReference w:id="7"/>
      </w:r>
    </w:p>
    <w:p w14:paraId="3F87D2CB" w14:textId="77777777" w:rsidR="00354AA0" w:rsidRPr="00354AA0" w:rsidRDefault="00354AA0" w:rsidP="00224B45">
      <w:pPr>
        <w:numPr>
          <w:ilvl w:val="0"/>
          <w:numId w:val="3"/>
        </w:numPr>
        <w:spacing w:after="160"/>
        <w:contextualSpacing/>
        <w:rPr>
          <w:kern w:val="2"/>
          <w:sz w:val="24"/>
          <w:szCs w:val="24"/>
          <w14:ligatures w14:val="standardContextual"/>
        </w:rPr>
      </w:pPr>
      <w:r w:rsidRPr="00354AA0">
        <w:rPr>
          <w:kern w:val="2"/>
          <w:sz w:val="24"/>
          <w:szCs w:val="24"/>
          <w14:ligatures w14:val="standardContextual"/>
        </w:rPr>
        <w:t>The complex nature of the legal issues required in legislation to prove the two bases for liability of involuntary manslaughter- criminal negligence or unlawful and dangerous act.</w:t>
      </w:r>
      <w:r w:rsidRPr="00354AA0">
        <w:rPr>
          <w:kern w:val="2"/>
          <w:sz w:val="24"/>
          <w:szCs w:val="24"/>
          <w:vertAlign w:val="superscript"/>
          <w14:ligatures w14:val="standardContextual"/>
        </w:rPr>
        <w:footnoteReference w:id="8"/>
      </w:r>
    </w:p>
    <w:p w14:paraId="58AE98A6" w14:textId="69682DA3"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On October 15, 2024, Justic Yehia of the NSW Supreme Court refused Whites request for a judge-alone trial, ruling that the negative publicity was not viewed enough by a large population, therefore ruling there was no unreasonable risk to potential jurors. Thus, Her Honour ruling that that “the issues in the trial involve a level of complexity mitigating in favour of a judge alone trial</w:t>
      </w:r>
      <w:r w:rsidR="68FFE55C" w:rsidRPr="00354AA0">
        <w:rPr>
          <w:kern w:val="2"/>
          <w:sz w:val="24"/>
          <w:szCs w:val="24"/>
          <w14:ligatures w14:val="standardContextual"/>
        </w:rPr>
        <w:t>”.</w:t>
      </w:r>
      <w:r w:rsidRPr="00354AA0">
        <w:rPr>
          <w:kern w:val="2"/>
          <w:sz w:val="24"/>
          <w:szCs w:val="24"/>
          <w:vertAlign w:val="superscript"/>
          <w14:ligatures w14:val="standardContextual"/>
        </w:rPr>
        <w:footnoteReference w:id="9"/>
      </w:r>
    </w:p>
    <w:p w14:paraId="492DD99B" w14:textId="277F0306" w:rsidR="0041414C" w:rsidRPr="00354AA0" w:rsidRDefault="00354AA0" w:rsidP="00224B45">
      <w:pPr>
        <w:spacing w:after="160"/>
        <w:rPr>
          <w:kern w:val="2"/>
          <w:sz w:val="24"/>
          <w:szCs w:val="24"/>
          <w14:ligatures w14:val="standardContextual"/>
        </w:rPr>
      </w:pPr>
      <w:r w:rsidRPr="00354AA0">
        <w:rPr>
          <w:kern w:val="2"/>
          <w:sz w:val="24"/>
          <w:szCs w:val="24"/>
          <w14:ligatures w14:val="standardContextual"/>
        </w:rPr>
        <w:lastRenderedPageBreak/>
        <w:t xml:space="preserve">Whites trial began on 11 November 2024 in the Supreme Court of NSW. Presided over by Justice Ian Harisson and had a 12-person jury. The trial went on for 8 days, with the jury deliberating for 5 days before reaching a verdict. </w:t>
      </w:r>
    </w:p>
    <w:p w14:paraId="7745C095" w14:textId="77777777" w:rsidR="00354AA0" w:rsidRPr="00FA7D97" w:rsidRDefault="00354AA0" w:rsidP="00224B45">
      <w:pPr>
        <w:pStyle w:val="Heading1"/>
      </w:pPr>
      <w:r w:rsidRPr="00FA7D97">
        <w:t>III SENTENCING</w:t>
      </w:r>
    </w:p>
    <w:p w14:paraId="41F1CB6E" w14:textId="60FF5E72" w:rsidR="00C75DF6" w:rsidRPr="00224B45" w:rsidRDefault="00354AA0" w:rsidP="00224B45">
      <w:pPr>
        <w:spacing w:after="160"/>
        <w:rPr>
          <w:kern w:val="2"/>
          <w:sz w:val="24"/>
          <w:szCs w:val="24"/>
          <w14:ligatures w14:val="standardContextual"/>
        </w:rPr>
      </w:pPr>
      <w:r w:rsidRPr="00354AA0">
        <w:rPr>
          <w:kern w:val="2"/>
          <w:sz w:val="24"/>
          <w:szCs w:val="24"/>
          <w14:ligatures w14:val="standardContextual"/>
        </w:rPr>
        <w:t>After receiving sentencing submissions on February 7, 2025, Justice Harrison delivered his sentencing decision on March 28, 2025.</w:t>
      </w:r>
      <w:r w:rsidRPr="00354AA0">
        <w:rPr>
          <w:kern w:val="2"/>
          <w:sz w:val="24"/>
          <w:szCs w:val="24"/>
          <w:vertAlign w:val="superscript"/>
          <w14:ligatures w14:val="standardContextual"/>
        </w:rPr>
        <w:footnoteReference w:id="10"/>
      </w:r>
      <w:r w:rsidRPr="00354AA0">
        <w:rPr>
          <w:kern w:val="2"/>
          <w:sz w:val="24"/>
          <w:szCs w:val="24"/>
          <w14:ligatures w14:val="standardContextual"/>
        </w:rPr>
        <w:t xml:space="preserve"> Justice Harrison sentenced Constable White to a 2-year Community Correction Order (CCO) commencing the day of the sentencing.</w:t>
      </w:r>
      <w:r w:rsidRPr="00354AA0">
        <w:rPr>
          <w:kern w:val="2"/>
          <w:sz w:val="24"/>
          <w:szCs w:val="24"/>
          <w:vertAlign w:val="superscript"/>
          <w14:ligatures w14:val="standardContextual"/>
        </w:rPr>
        <w:footnoteReference w:id="11"/>
      </w:r>
      <w:r w:rsidR="2B211D84" w:rsidRPr="00354AA0">
        <w:rPr>
          <w:kern w:val="2"/>
          <w:sz w:val="24"/>
          <w:szCs w:val="24"/>
          <w14:ligatures w14:val="standardContextual"/>
        </w:rPr>
        <w:t xml:space="preserve"> </w:t>
      </w:r>
      <w:r w:rsidRPr="00354AA0">
        <w:rPr>
          <w:kern w:val="2"/>
          <w:sz w:val="24"/>
          <w:szCs w:val="24"/>
          <w14:ligatures w14:val="standardContextual"/>
        </w:rPr>
        <w:t>He also added that White completed 425 hours of community service</w:t>
      </w:r>
      <w:r w:rsidRPr="00354AA0">
        <w:rPr>
          <w:kern w:val="2"/>
          <w:sz w:val="24"/>
          <w:szCs w:val="24"/>
          <w:vertAlign w:val="superscript"/>
          <w14:ligatures w14:val="standardContextual"/>
        </w:rPr>
        <w:footnoteReference w:id="12"/>
      </w:r>
      <w:r w:rsidR="0273DB25" w:rsidRPr="00354AA0">
        <w:rPr>
          <w:kern w:val="2"/>
          <w:sz w:val="24"/>
          <w:szCs w:val="24"/>
          <w14:ligatures w14:val="standardContextual"/>
        </w:rPr>
        <w:t xml:space="preserve"> </w:t>
      </w:r>
      <w:r w:rsidRPr="00354AA0">
        <w:rPr>
          <w:kern w:val="2"/>
          <w:sz w:val="24"/>
          <w:szCs w:val="24"/>
          <w14:ligatures w14:val="standardContextual"/>
        </w:rPr>
        <w:t>work for the manslaughter of Clare Nowland.</w:t>
      </w:r>
      <w:r w:rsidRPr="00354AA0">
        <w:rPr>
          <w:kern w:val="2"/>
          <w:sz w:val="24"/>
          <w:szCs w:val="24"/>
          <w:vertAlign w:val="superscript"/>
          <w14:ligatures w14:val="standardContextual"/>
        </w:rPr>
        <w:footnoteReference w:id="13"/>
      </w:r>
    </w:p>
    <w:p w14:paraId="5F230CFE" w14:textId="1FF981B5" w:rsidR="00354AA0" w:rsidRPr="00FA7D97" w:rsidRDefault="00354AA0" w:rsidP="00224B45">
      <w:pPr>
        <w:pStyle w:val="Heading1"/>
      </w:pPr>
      <w:r w:rsidRPr="00FA7D97">
        <w:t>IV LEGAL ISSUES</w:t>
      </w:r>
    </w:p>
    <w:p w14:paraId="5EB6559F" w14:textId="77777777"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 xml:space="preserve">The issue of bail following a conviction of manslaughter highlights the tensions between the rights of the victim and offender. Following his conviction of manslaughter, Justice Harrison ruled to continue White’s bail until sentencing occurred in early 2025. This decision sparked widespread debate given the strong public sentient regarding the death of Mrs Nowland. </w:t>
      </w:r>
    </w:p>
    <w:p w14:paraId="13FF9D71" w14:textId="77777777" w:rsidR="00354AA0" w:rsidRPr="00354AA0" w:rsidRDefault="00354AA0" w:rsidP="00224B45">
      <w:pPr>
        <w:spacing w:after="160"/>
        <w:rPr>
          <w:kern w:val="2"/>
          <w:sz w:val="24"/>
          <w:szCs w:val="24"/>
          <w14:ligatures w14:val="standardContextual"/>
        </w:rPr>
      </w:pPr>
      <w:r w:rsidRPr="00354AA0">
        <w:rPr>
          <w:kern w:val="2"/>
          <w:sz w:val="24"/>
          <w:szCs w:val="24"/>
          <w14:ligatures w14:val="standardContextual"/>
        </w:rPr>
        <w:t xml:space="preserve">His Honour noted several reasons for this decision: </w:t>
      </w:r>
    </w:p>
    <w:p w14:paraId="5047A203" w14:textId="77777777" w:rsidR="00354AA0" w:rsidRPr="00354AA0" w:rsidRDefault="00354AA0" w:rsidP="00224B45">
      <w:pPr>
        <w:numPr>
          <w:ilvl w:val="0"/>
          <w:numId w:val="4"/>
        </w:numPr>
        <w:spacing w:after="160"/>
        <w:contextualSpacing/>
        <w:rPr>
          <w:kern w:val="2"/>
          <w:sz w:val="24"/>
          <w:szCs w:val="24"/>
          <w14:ligatures w14:val="standardContextual"/>
        </w:rPr>
      </w:pPr>
      <w:r w:rsidRPr="00354AA0">
        <w:rPr>
          <w:kern w:val="2"/>
          <w:sz w:val="24"/>
          <w:szCs w:val="24"/>
          <w14:ligatures w14:val="standardContextual"/>
        </w:rPr>
        <w:t>There is no automatic jail sentence for manslaughter, which means judged must carefully consider all factors before deciding on a sentence.</w:t>
      </w:r>
      <w:r w:rsidRPr="00354AA0">
        <w:rPr>
          <w:kern w:val="2"/>
          <w:sz w:val="24"/>
          <w:szCs w:val="24"/>
          <w:vertAlign w:val="superscript"/>
          <w14:ligatures w14:val="standardContextual"/>
        </w:rPr>
        <w:footnoteReference w:id="14"/>
      </w:r>
    </w:p>
    <w:p w14:paraId="671F1C23" w14:textId="77777777" w:rsidR="00354AA0" w:rsidRPr="00354AA0" w:rsidRDefault="00354AA0" w:rsidP="00224B45">
      <w:pPr>
        <w:numPr>
          <w:ilvl w:val="0"/>
          <w:numId w:val="4"/>
        </w:numPr>
        <w:spacing w:after="160"/>
        <w:contextualSpacing/>
        <w:rPr>
          <w:kern w:val="2"/>
          <w:sz w:val="24"/>
          <w:szCs w:val="24"/>
          <w14:ligatures w14:val="standardContextual"/>
        </w:rPr>
      </w:pPr>
      <w:r w:rsidRPr="00354AA0">
        <w:rPr>
          <w:kern w:val="2"/>
          <w:sz w:val="24"/>
          <w:szCs w:val="24"/>
          <w14:ligatures w14:val="standardContextual"/>
        </w:rPr>
        <w:t xml:space="preserve">Given Constable Whites status as a former police officer, there were detrimental risks to his safety posed by other inmates should he be sent to a correctional facility while awaiting sentence. </w:t>
      </w:r>
    </w:p>
    <w:p w14:paraId="2F875CC2" w14:textId="77777777" w:rsidR="00354AA0" w:rsidRPr="00354AA0" w:rsidRDefault="00354AA0" w:rsidP="00224B45">
      <w:pPr>
        <w:numPr>
          <w:ilvl w:val="0"/>
          <w:numId w:val="4"/>
        </w:numPr>
        <w:spacing w:after="160"/>
        <w:contextualSpacing/>
        <w:rPr>
          <w:kern w:val="2"/>
          <w:sz w:val="24"/>
          <w:szCs w:val="24"/>
          <w14:ligatures w14:val="standardContextual"/>
        </w:rPr>
      </w:pPr>
      <w:r w:rsidRPr="00354AA0">
        <w:rPr>
          <w:kern w:val="2"/>
          <w:sz w:val="24"/>
          <w:szCs w:val="24"/>
          <w14:ligatures w14:val="standardContextual"/>
        </w:rPr>
        <w:t>White had complied with all his bail conditions prior to the verdict</w:t>
      </w:r>
    </w:p>
    <w:p w14:paraId="76FE437C" w14:textId="77777777" w:rsidR="00354AA0" w:rsidRPr="00354AA0" w:rsidRDefault="00354AA0" w:rsidP="00224B45">
      <w:pPr>
        <w:numPr>
          <w:ilvl w:val="0"/>
          <w:numId w:val="4"/>
        </w:numPr>
        <w:spacing w:after="160"/>
        <w:contextualSpacing/>
        <w:rPr>
          <w:kern w:val="2"/>
          <w:sz w:val="24"/>
          <w:szCs w:val="24"/>
          <w14:ligatures w14:val="standardContextual"/>
        </w:rPr>
      </w:pPr>
      <w:r w:rsidRPr="00354AA0">
        <w:rPr>
          <w:kern w:val="2"/>
          <w:sz w:val="24"/>
          <w:szCs w:val="24"/>
          <w14:ligatures w14:val="standardContextual"/>
        </w:rPr>
        <w:t>He had no prior criminal record.</w:t>
      </w:r>
    </w:p>
    <w:p w14:paraId="136FD10E" w14:textId="77777777" w:rsidR="00354AA0" w:rsidRPr="00354AA0" w:rsidRDefault="00354AA0" w:rsidP="00354AA0">
      <w:pPr>
        <w:spacing w:after="160" w:line="278" w:lineRule="auto"/>
        <w:rPr>
          <w:kern w:val="2"/>
          <w:sz w:val="24"/>
          <w:szCs w:val="24"/>
          <w14:ligatures w14:val="standardContextual"/>
        </w:rPr>
      </w:pPr>
    </w:p>
    <w:p w14:paraId="5C8A716C" w14:textId="77777777" w:rsidR="00DB34F8" w:rsidRDefault="00DB34F8" w:rsidP="00224B45">
      <w:pPr>
        <w:pStyle w:val="Heading1"/>
      </w:pPr>
    </w:p>
    <w:p w14:paraId="7145663E" w14:textId="77777777" w:rsidR="00DB34F8" w:rsidRDefault="00DB34F8" w:rsidP="00224B45">
      <w:pPr>
        <w:pStyle w:val="Heading1"/>
      </w:pPr>
    </w:p>
    <w:p w14:paraId="43B3B3DE" w14:textId="462E176C" w:rsidR="00354AA0" w:rsidRPr="0041414C" w:rsidRDefault="00354AA0" w:rsidP="00224B45">
      <w:pPr>
        <w:pStyle w:val="Heading1"/>
      </w:pPr>
      <w:r w:rsidRPr="0041414C">
        <w:lastRenderedPageBreak/>
        <w:t>V IMPLICATIONS OF THE COURTS DECISION</w:t>
      </w:r>
    </w:p>
    <w:p w14:paraId="600824D0" w14:textId="3BD6C6B5" w:rsidR="00354AA0" w:rsidRPr="00354AA0" w:rsidRDefault="00354AA0" w:rsidP="00224B45">
      <w:r w:rsidRPr="00354AA0">
        <w:t>However, this outcome was deeply troubling for many members of the public, especially Clare Nowland’s family.</w:t>
      </w:r>
      <w:r w:rsidRPr="00354AA0">
        <w:rPr>
          <w:vertAlign w:val="superscript"/>
        </w:rPr>
        <w:footnoteReference w:id="15"/>
      </w:r>
      <w:r w:rsidR="07488931" w:rsidRPr="00354AA0">
        <w:t xml:space="preserve"> O</w:t>
      </w:r>
      <w:r w:rsidRPr="00354AA0">
        <w:t xml:space="preserve">thers felt that allowing White to remain free whilst awaiting his sentence downplayed the seriousness of the offense and associated conviction and reflected unfair treatment as a result of White’s status as a police officer.      </w:t>
      </w:r>
    </w:p>
    <w:p w14:paraId="33791F3F" w14:textId="77777777" w:rsidR="00354AA0" w:rsidRPr="00354AA0" w:rsidRDefault="00354AA0" w:rsidP="00224B45">
      <w:pPr>
        <w:rPr>
          <w:rFonts w:asciiTheme="minorHAnsi" w:hAnsiTheme="minorHAnsi" w:cstheme="minorBidi"/>
        </w:rPr>
      </w:pPr>
      <w:r w:rsidRPr="00354AA0">
        <w:t>The long gap between the conviction in November 2024 and the sentencing in March 2025 added to these concerns. Although such delays are common in complex cases, to allow time for the court to properly assess all relevant sentencing factors,</w:t>
      </w:r>
      <w:r w:rsidRPr="00354AA0">
        <w:rPr>
          <w:vertAlign w:val="superscript"/>
        </w:rPr>
        <w:footnoteReference w:id="16"/>
      </w:r>
      <w:r w:rsidRPr="00354AA0">
        <w:t xml:space="preserve"> to some-justice is being postponed ad can cause frustration for those seeking closure or accountability.             </w:t>
      </w:r>
      <w:r w:rsidRPr="20A415F4">
        <w:rPr>
          <w:rFonts w:asciiTheme="minorHAnsi" w:hAnsiTheme="minorHAnsi" w:cstheme="minorBidi"/>
        </w:rPr>
        <w:t xml:space="preserve">                                  </w:t>
      </w:r>
    </w:p>
    <w:p w14:paraId="48B08C01" w14:textId="77777777" w:rsidR="00354AA0" w:rsidRPr="00354AA0" w:rsidRDefault="00354AA0" w:rsidP="00354AA0">
      <w:pPr>
        <w:spacing w:after="160" w:line="278" w:lineRule="auto"/>
        <w:rPr>
          <w:rFonts w:asciiTheme="minorHAnsi" w:hAnsiTheme="minorHAnsi" w:cstheme="minorBidi"/>
          <w:kern w:val="2"/>
          <w:sz w:val="24"/>
          <w:szCs w:val="24"/>
          <w14:ligatures w14:val="standardContextual"/>
        </w:rPr>
      </w:pPr>
    </w:p>
    <w:p w14:paraId="48AFEFDE" w14:textId="33CCC19F" w:rsidR="003478EF" w:rsidRPr="00D363DC" w:rsidRDefault="003478EF" w:rsidP="00842C5E">
      <w:pPr>
        <w:spacing w:after="160"/>
        <w:rPr>
          <w:kern w:val="2"/>
          <w:sz w:val="24"/>
          <w:szCs w:val="24"/>
          <w14:ligatures w14:val="standardContextual"/>
        </w:rPr>
      </w:pPr>
      <w:r w:rsidRPr="00D363DC">
        <w:rPr>
          <w:kern w:val="2"/>
          <w:sz w:val="24"/>
          <w:szCs w:val="24"/>
          <w14:ligatures w14:val="standardContextual"/>
        </w:rPr>
        <w:t xml:space="preserve">                            </w:t>
      </w:r>
    </w:p>
    <w:p w14:paraId="2091F78F" w14:textId="77777777" w:rsidR="003478EF" w:rsidRPr="00D363DC" w:rsidRDefault="003478EF" w:rsidP="00842C5E">
      <w:pPr>
        <w:spacing w:after="160"/>
        <w:rPr>
          <w:kern w:val="2"/>
          <w:sz w:val="24"/>
          <w:szCs w:val="24"/>
          <w14:ligatures w14:val="standardContextual"/>
        </w:rPr>
      </w:pPr>
    </w:p>
    <w:p w14:paraId="1AD2EF9C" w14:textId="77777777" w:rsidR="003478EF" w:rsidRPr="00D363DC" w:rsidRDefault="003478EF" w:rsidP="00842C5E">
      <w:pPr>
        <w:spacing w:after="160"/>
        <w:rPr>
          <w:kern w:val="2"/>
          <w:sz w:val="24"/>
          <w:szCs w:val="24"/>
          <w14:ligatures w14:val="standardContextual"/>
        </w:rPr>
      </w:pPr>
    </w:p>
    <w:p w14:paraId="21B70BA4" w14:textId="77777777" w:rsidR="001F059D" w:rsidRPr="00D363DC" w:rsidRDefault="001F059D" w:rsidP="00842C5E"/>
    <w:p w14:paraId="54B204E1" w14:textId="439C9867" w:rsidR="000F108B" w:rsidRDefault="000F108B" w:rsidP="00842C5E">
      <w:r>
        <w:br w:type="page"/>
      </w:r>
    </w:p>
    <w:p w14:paraId="698F75F1" w14:textId="43415FF4" w:rsidR="000F108B" w:rsidRDefault="0008172E" w:rsidP="00842C5E">
      <w:r>
        <w:rPr>
          <w:noProof/>
        </w:rPr>
        <w:lastRenderedPageBreak/>
        <mc:AlternateContent>
          <mc:Choice Requires="wpg">
            <w:drawing>
              <wp:anchor distT="0" distB="0" distL="114300" distR="114300" simplePos="0" relativeHeight="251658243" behindDoc="0" locked="0" layoutInCell="1" allowOverlap="1" wp14:anchorId="3E0AF44C" wp14:editId="3947D9A0">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23" style="position:absolute;margin-left:-54.8pt;margin-top:-1in;width:611.8pt;height:856.65pt;z-index:251666432;mso-height-relative:margin" coordsize="77699,106848" o:spid="_x0000_s1026" w14:anchorId="151F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">
                <v:rect id="Rectangle 15" style="position:absolute;width:77662;height:106817;visibility:visible;mso-wrap-style:square;v-text-anchor:middle" o:spid="_x0000_s1027" fillcolor="black [3213]" strokecolor="white [3212]"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">
                  <v:fill type="gradient" opacity="7864f" color2="black [3213]" focus="100%" o:opacity2="4587f" rotate="t">
                    <o:fill v:ext="view" type="gradientUnscaled"/>
                  </v:fill>
                </v:rect>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16" style="position:absolute;left:26427;top:61202;width:49986;height:45646;visibility:visible;mso-wrap-style:square;v-text-anchor:middle" o:spid="_x0000_s1028" fillcolor="#d8d8d8 [2732]" stroked="f" strokeweight=".5pt" type="#_x0000_t5" adj="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">
                  <v:fill type="gradient" opacity="19005f" color2="#f2f2f2 [3052]" colors="0 #d9d9d9;3932f #d9d9d9" focus="100%" o:opacity2="7208f" rotate="t">
                    <o:fill v:ext="view" type="gradientUnscaled"/>
                  </v:fill>
                </v:shape>
                <v:line id="Straight Connector 17" style="position:absolute;flip:x;visibility:visible;mso-wrap-style:square" o:spid="_x0000_s1029" strokecolor="white [3212]" strokeweight="1pt" o:connectortype="straight" from="22467,127" to="77698,1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">
                  <v:stroke joinstyle="miter"/>
                </v:line>
                <v:line id="Straight Connector 18" style="position:absolute;visibility:visible;mso-wrap-style:square" o:spid="_x0000_s1030" strokecolor="white [3212]" strokeweight="1pt" o:connectortype="straight" from="51042,51354" to="77699,10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">
                  <v:stroke joinstyle="miter"/>
                </v:line>
                <v:shape id="Triangle 16" style="position:absolute;left:34971;top:74918;width:33606;height:31211;visibility:visible;mso-wrap-style:square;v-text-anchor:middle" o:spid="_x0000_s1031" fillcolor="#d8d8d8 [2732]" stroked="f" strokeweight=".5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">
                  <v:fill type="gradient" opacity="26214f" color2="#f2f2f2 [3052]" colors="0 #d9d9d9;3932f #d9d9d9" focus="100%" o:opacity2="7208f" rotate="t">
                    <o:fill v:ext="view" type="gradientUnscaled"/>
                  </v:fill>
                </v:shape>
                <v:shape id="Triangle 16" style="position:absolute;left:12734;top:103;width:59579;height:58759;flip:y;visibility:visible;mso-wrap-style:square;v-text-anchor:middle" o:spid="_x0000_s1032" fillcolor="#d8d8d8 [2732]" stroked="f" strokeweight=".5pt" type="#_x0000_t5" adj="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">
                  <v:fill type="gradient" opacity="19005f" color2="#f2f2f2 [3052]" colors="0 #d9d9d9;3932f #d9d9d9" focus="100%" o:opacity2="7208f" rotate="t">
                    <o:fill v:ext="view" type="gradientUnscaled"/>
                  </v:fill>
                </v:shape>
                <v:line id="Straight Connector 19" style="position:absolute;flip:x y;visibility:visible;mso-wrap-style:square" o:spid="_x0000_s1033" strokecolor="white [3212]" strokeweight="1pt" o:connectortype="straight" from="6153,127" to="42463,6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">
                  <v:stroke joinstyle="miter"/>
                </v:line>
                <v:shape id="Triangle 16" style="position:absolute;left:20862;width:42977;height:41742;flip:y;visibility:visible;mso-wrap-style:square;v-text-anchor:middle" o:spid="_x0000_s1034" fillcolor="#f2f2f2 [3052]" stroked="f" strokeweight=".5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">
                  <v:fill type="gradient" opacity="22282f" color2="white [3212]" colors="0 #f2f2f2;3932f #f2f2f2" focus="100%" o:opacity2="3932f" rotate="t">
                    <o:fill v:ext="view" type="gradientUnscaled"/>
                  </v:fill>
                </v:shape>
                <v:shape id="Triangle 16" style="position:absolute;left:43814;top:45373;width:54063;height:12393;rotation:-90;flip:y;visibility:visible;mso-wrap-style:square;v-text-anchor:middle" o:spid="_x0000_s1035" fillcolor="#f2f2f2 [3052]" stroked="f" strokeweight=".5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">
                  <v:fill type="gradient" opacity="27525f" color2="white [3212]" colors="0 #f2f2f2;3932f #f2f2f2" focus="100%" o:opacity2="11796f" rotate="t">
                    <o:fill v:ext="view" type="gradientUnscaled"/>
                  </v:fill>
                </v:shape>
              </v:group>
            </w:pict>
          </mc:Fallback>
        </mc:AlternateContent>
      </w:r>
      <w:r>
        <w:rPr>
          <w:noProof/>
        </w:rPr>
        <w:drawing>
          <wp:anchor distT="0" distB="0" distL="114300" distR="114300" simplePos="0" relativeHeight="251658242"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5B65E" w14:textId="77777777" w:rsidR="00D663C1" w:rsidRDefault="00D663C1" w:rsidP="00334ADB">
      <w:pPr>
        <w:spacing w:after="0" w:line="240" w:lineRule="auto"/>
      </w:pPr>
      <w:r>
        <w:separator/>
      </w:r>
    </w:p>
  </w:endnote>
  <w:endnote w:type="continuationSeparator" w:id="0">
    <w:p w14:paraId="46325A9B" w14:textId="77777777" w:rsidR="00D663C1" w:rsidRDefault="00D663C1"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EndPr>
      <w:rPr>
        <w:rStyle w:val="PageNumber"/>
      </w:rPr>
    </w:sdtEnd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EndPr>
      <w:rPr>
        <w:rStyle w:val="PageNumber"/>
      </w:rPr>
    </w:sdtEnd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BBDF2" w14:textId="77777777" w:rsidR="00D663C1" w:rsidRDefault="00D663C1" w:rsidP="00334ADB">
      <w:pPr>
        <w:spacing w:after="0" w:line="240" w:lineRule="auto"/>
      </w:pPr>
      <w:r>
        <w:separator/>
      </w:r>
    </w:p>
  </w:footnote>
  <w:footnote w:type="continuationSeparator" w:id="0">
    <w:p w14:paraId="376AF55B" w14:textId="77777777" w:rsidR="00D663C1" w:rsidRDefault="00D663C1" w:rsidP="00334ADB">
      <w:pPr>
        <w:spacing w:after="0" w:line="240" w:lineRule="auto"/>
      </w:pPr>
      <w:r>
        <w:continuationSeparator/>
      </w:r>
    </w:p>
  </w:footnote>
  <w:footnote w:id="1">
    <w:p w14:paraId="37F7CD38" w14:textId="7709CCD4" w:rsidR="00354AA0" w:rsidRPr="00B06A12" w:rsidRDefault="00354AA0">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NSW Courts, ‘NSW police officer who fatally tasered great-grandmother avoids prison: the reasoning’ (Web Page, 2025</w:t>
      </w:r>
      <w:r w:rsidR="30047F6C" w:rsidRPr="00B06A12">
        <w:rPr>
          <w:rFonts w:ascii="Times New Roman" w:hAnsi="Times New Roman" w:cs="Times New Roman"/>
        </w:rPr>
        <w:t>).</w:t>
      </w:r>
      <w:r w:rsidRPr="00B06A12">
        <w:rPr>
          <w:rFonts w:ascii="Times New Roman" w:hAnsi="Times New Roman" w:cs="Times New Roman"/>
        </w:rPr>
        <w:t xml:space="preserve"> </w:t>
      </w:r>
    </w:p>
  </w:footnote>
  <w:footnote w:id="2">
    <w:p w14:paraId="3888A26E" w14:textId="05BD841F" w:rsidR="00354AA0" w:rsidRPr="00B06A12" w:rsidRDefault="00354AA0">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Rule of Law Education Centre, ‘Kristian White and Clare Nowland’ (Web Page, 2025</w:t>
      </w:r>
      <w:r w:rsidR="30047F6C" w:rsidRPr="00B06A12">
        <w:rPr>
          <w:rFonts w:ascii="Times New Roman" w:hAnsi="Times New Roman" w:cs="Times New Roman"/>
        </w:rPr>
        <w:t>).</w:t>
      </w:r>
    </w:p>
  </w:footnote>
  <w:footnote w:id="3">
    <w:p w14:paraId="6D4A800F" w14:textId="3816DF93" w:rsidR="00354AA0" w:rsidRPr="00B06A12" w:rsidRDefault="00354AA0">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Sydney Criminal Lawyers, ‘Sentence for officer who killed great-grandmother by taser is manifestly inadequate’ (Web Page, 2025</w:t>
      </w:r>
      <w:r w:rsidR="30047F6C" w:rsidRPr="00B06A12">
        <w:rPr>
          <w:rFonts w:ascii="Times New Roman" w:hAnsi="Times New Roman" w:cs="Times New Roman"/>
        </w:rPr>
        <w:t>).</w:t>
      </w:r>
    </w:p>
  </w:footnote>
  <w:footnote w:id="4">
    <w:p w14:paraId="5E1FBF5A" w14:textId="10C19689" w:rsidR="00354AA0" w:rsidRPr="00B06A12" w:rsidRDefault="00354AA0">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w:t>
      </w:r>
      <w:r w:rsidRPr="00B06A12">
        <w:rPr>
          <w:rStyle w:val="Emphasis"/>
          <w:rFonts w:ascii="Times New Roman" w:hAnsi="Times New Roman" w:cs="Times New Roman"/>
        </w:rPr>
        <w:t>Crimes Act 1900</w:t>
      </w:r>
      <w:r w:rsidRPr="00B06A12">
        <w:rPr>
          <w:rFonts w:ascii="Times New Roman" w:hAnsi="Times New Roman" w:cs="Times New Roman"/>
        </w:rPr>
        <w:t xml:space="preserve"> (NSW) s 43B</w:t>
      </w:r>
      <w:r w:rsidR="30047F6C" w:rsidRPr="00B06A12">
        <w:rPr>
          <w:rFonts w:ascii="Times New Roman" w:hAnsi="Times New Roman" w:cs="Times New Roman"/>
        </w:rPr>
        <w:t>.</w:t>
      </w:r>
    </w:p>
  </w:footnote>
  <w:footnote w:id="5">
    <w:p w14:paraId="02FCBBF0" w14:textId="77777777" w:rsidR="00354AA0" w:rsidRPr="00B06A12" w:rsidRDefault="00354AA0" w:rsidP="00224B45">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w:t>
      </w:r>
      <w:r w:rsidRPr="00B06A12">
        <w:rPr>
          <w:rStyle w:val="Emphasis"/>
          <w:rFonts w:ascii="Times New Roman" w:hAnsi="Times New Roman" w:cs="Times New Roman"/>
        </w:rPr>
        <w:t>Bail Act 2013</w:t>
      </w:r>
      <w:r w:rsidRPr="00B06A12">
        <w:rPr>
          <w:rFonts w:ascii="Times New Roman" w:hAnsi="Times New Roman" w:cs="Times New Roman"/>
        </w:rPr>
        <w:t xml:space="preserve"> (NSW) ss 16A, 17, 50.</w:t>
      </w:r>
    </w:p>
  </w:footnote>
  <w:footnote w:id="6">
    <w:p w14:paraId="34C28A4E" w14:textId="79D2D377" w:rsidR="00354AA0" w:rsidRPr="00B06A12" w:rsidRDefault="00354AA0" w:rsidP="00224B45">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9News, ‘Clare Nowland updates: Trial of NSW police officer enters last stage’ (Web Page, 2024</w:t>
      </w:r>
      <w:r w:rsidR="30047F6C" w:rsidRPr="00B06A12">
        <w:rPr>
          <w:rFonts w:ascii="Times New Roman" w:hAnsi="Times New Roman" w:cs="Times New Roman"/>
        </w:rPr>
        <w:t>).</w:t>
      </w:r>
    </w:p>
  </w:footnote>
  <w:footnote w:id="7">
    <w:p w14:paraId="26409AF2" w14:textId="1EAC1408" w:rsidR="00354AA0" w:rsidRPr="00B06A12" w:rsidRDefault="00354AA0" w:rsidP="00224B45">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w:t>
      </w:r>
      <w:r w:rsidRPr="00B06A12">
        <w:rPr>
          <w:rStyle w:val="Emphasis"/>
          <w:rFonts w:ascii="Times New Roman" w:hAnsi="Times New Roman" w:cs="Times New Roman"/>
        </w:rPr>
        <w:t>Evidence Act 1995</w:t>
      </w:r>
      <w:r w:rsidRPr="00B06A12">
        <w:rPr>
          <w:rFonts w:ascii="Times New Roman" w:hAnsi="Times New Roman" w:cs="Times New Roman"/>
        </w:rPr>
        <w:t xml:space="preserve"> (NSW) pt 3.11 (jury directions and prejudice</w:t>
      </w:r>
      <w:r w:rsidR="30047F6C" w:rsidRPr="00B06A12">
        <w:rPr>
          <w:rFonts w:ascii="Times New Roman" w:hAnsi="Times New Roman" w:cs="Times New Roman"/>
        </w:rPr>
        <w:t>).</w:t>
      </w:r>
    </w:p>
  </w:footnote>
  <w:footnote w:id="8">
    <w:p w14:paraId="178500C5" w14:textId="77777777" w:rsidR="00354AA0" w:rsidRPr="00B06A12" w:rsidRDefault="00354AA0" w:rsidP="00224B45">
      <w:pPr>
        <w:pStyle w:val="NormalWeb"/>
        <w:spacing w:before="0" w:beforeAutospacing="0" w:after="0" w:afterAutospacing="0"/>
        <w:rPr>
          <w:sz w:val="20"/>
          <w:szCs w:val="20"/>
        </w:rPr>
      </w:pPr>
      <w:r w:rsidRPr="00B06A12">
        <w:rPr>
          <w:rStyle w:val="FootnoteReference"/>
          <w:sz w:val="20"/>
          <w:szCs w:val="20"/>
        </w:rPr>
        <w:footnoteRef/>
      </w:r>
      <w:r w:rsidRPr="00B06A12">
        <w:rPr>
          <w:sz w:val="20"/>
          <w:szCs w:val="20"/>
        </w:rPr>
        <w:t xml:space="preserve"> </w:t>
      </w:r>
      <w:r w:rsidRPr="00B06A12">
        <w:rPr>
          <w:rStyle w:val="Emphasis"/>
          <w:rFonts w:eastAsiaTheme="majorEastAsia"/>
          <w:sz w:val="20"/>
          <w:szCs w:val="20"/>
        </w:rPr>
        <w:t>Burns v The Queen</w:t>
      </w:r>
      <w:r w:rsidRPr="00B06A12">
        <w:rPr>
          <w:sz w:val="20"/>
          <w:szCs w:val="20"/>
        </w:rPr>
        <w:t xml:space="preserve"> (2012) 246 CLR 334.</w:t>
      </w:r>
    </w:p>
  </w:footnote>
  <w:footnote w:id="9">
    <w:p w14:paraId="647B4AA6" w14:textId="6B37D14E" w:rsidR="00354AA0" w:rsidRPr="00B06A12" w:rsidRDefault="00354AA0" w:rsidP="00224B45">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Australian Broadcasting Corporation, ‘NSW Kristian White judge-alone trial Clare Nowland death court’ (11 September 2024</w:t>
      </w:r>
      <w:r w:rsidR="30047F6C" w:rsidRPr="00B06A12">
        <w:rPr>
          <w:rFonts w:ascii="Times New Roman" w:hAnsi="Times New Roman" w:cs="Times New Roman"/>
        </w:rPr>
        <w:t>).</w:t>
      </w:r>
    </w:p>
  </w:footnote>
  <w:footnote w:id="10">
    <w:p w14:paraId="68EBAE46" w14:textId="26A5EA9C" w:rsidR="00354AA0" w:rsidRPr="00B06A12" w:rsidRDefault="00354AA0" w:rsidP="00224B45">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Australian Broadcasting Corporation, ‘Clare Nowland death examined by NSW Coroners Court’ (9 December 2025</w:t>
      </w:r>
      <w:r w:rsidR="30047F6C" w:rsidRPr="00B06A12">
        <w:rPr>
          <w:rFonts w:ascii="Times New Roman" w:hAnsi="Times New Roman" w:cs="Times New Roman"/>
        </w:rPr>
        <w:t>).</w:t>
      </w:r>
    </w:p>
  </w:footnote>
  <w:footnote w:id="11">
    <w:p w14:paraId="3489A9D1" w14:textId="20C528EA" w:rsidR="00354AA0" w:rsidRPr="00B06A12" w:rsidRDefault="00354AA0">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Sydney Criminal Lawyers, ‘Sentence for officer who killed great-grandmother by taser is manifestly inadequate’ (Web Page, 2025</w:t>
      </w:r>
      <w:r w:rsidR="30047F6C" w:rsidRPr="00B06A12">
        <w:rPr>
          <w:rFonts w:ascii="Times New Roman" w:hAnsi="Times New Roman" w:cs="Times New Roman"/>
        </w:rPr>
        <w:t>).</w:t>
      </w:r>
    </w:p>
  </w:footnote>
  <w:footnote w:id="12">
    <w:p w14:paraId="20449078" w14:textId="77777777" w:rsidR="00354AA0" w:rsidRPr="00B06A12" w:rsidRDefault="00354AA0">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w:t>
      </w:r>
      <w:r w:rsidRPr="00B06A12">
        <w:rPr>
          <w:rStyle w:val="Emphasis"/>
          <w:rFonts w:ascii="Times New Roman" w:hAnsi="Times New Roman" w:cs="Times New Roman"/>
        </w:rPr>
        <w:t>Crimes (Sentencing Procedure) Act 1999</w:t>
      </w:r>
      <w:r w:rsidRPr="00B06A12">
        <w:rPr>
          <w:rFonts w:ascii="Times New Roman" w:hAnsi="Times New Roman" w:cs="Times New Roman"/>
        </w:rPr>
        <w:t xml:space="preserve"> (NSW) pts 2, 3; s 8 (Community Correction Orders).</w:t>
      </w:r>
    </w:p>
  </w:footnote>
  <w:footnote w:id="13">
    <w:p w14:paraId="01670165" w14:textId="5CB376DC" w:rsidR="00354AA0" w:rsidRPr="00B06A12" w:rsidRDefault="00354AA0">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Australian Broadcasting Corporation, ‘Prosecutors to appeal Kristian White sentence woman tasered’ (2 April 2025</w:t>
      </w:r>
      <w:r w:rsidR="30047F6C" w:rsidRPr="00B06A12">
        <w:rPr>
          <w:rFonts w:ascii="Times New Roman" w:hAnsi="Times New Roman" w:cs="Times New Roman"/>
        </w:rPr>
        <w:t>).</w:t>
      </w:r>
    </w:p>
  </w:footnote>
  <w:footnote w:id="14">
    <w:p w14:paraId="67AD4333" w14:textId="5206DF7D" w:rsidR="00354AA0" w:rsidRPr="00B06A12" w:rsidRDefault="00354AA0">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Law Society Journal, ‘No jail for ex-police officer who tasered 95-year-old woman’ (Web Page, 2025</w:t>
      </w:r>
      <w:r w:rsidR="30047F6C" w:rsidRPr="00B06A12">
        <w:rPr>
          <w:rFonts w:ascii="Times New Roman" w:hAnsi="Times New Roman" w:cs="Times New Roman"/>
        </w:rPr>
        <w:t>).</w:t>
      </w:r>
    </w:p>
  </w:footnote>
  <w:footnote w:id="15">
    <w:p w14:paraId="7CF7EE9D" w14:textId="1D6CA5BF" w:rsidR="00354AA0" w:rsidRPr="00B06A12" w:rsidRDefault="00354AA0">
      <w:pPr>
        <w:pStyle w:val="FootnoteText"/>
        <w:rPr>
          <w:rFonts w:ascii="Times New Roman" w:hAnsi="Times New Roman" w:cs="Times New Roman"/>
        </w:rPr>
      </w:pPr>
      <w:r w:rsidRPr="00B06A12">
        <w:rPr>
          <w:rStyle w:val="FootnoteReference"/>
          <w:rFonts w:ascii="Times New Roman" w:hAnsi="Times New Roman" w:cs="Times New Roman"/>
        </w:rPr>
        <w:footnoteRef/>
      </w:r>
      <w:r w:rsidRPr="00B06A12">
        <w:rPr>
          <w:rFonts w:ascii="Times New Roman" w:hAnsi="Times New Roman" w:cs="Times New Roman"/>
        </w:rPr>
        <w:t xml:space="preserve"> The Conversation, ‘How should police officers use force? The Kristian White case is an insight into what the community thinks’ (Web Page, 2025</w:t>
      </w:r>
      <w:r w:rsidR="30047F6C" w:rsidRPr="00B06A12">
        <w:rPr>
          <w:rFonts w:ascii="Times New Roman" w:hAnsi="Times New Roman" w:cs="Times New Roman"/>
        </w:rPr>
        <w:t>).</w:t>
      </w:r>
    </w:p>
  </w:footnote>
  <w:footnote w:id="16">
    <w:p w14:paraId="4E8A08B3" w14:textId="3C1E4B49" w:rsidR="00354AA0" w:rsidRDefault="00354AA0">
      <w:pPr>
        <w:pStyle w:val="FootnoteText"/>
      </w:pPr>
      <w:r w:rsidRPr="00B06A12">
        <w:rPr>
          <w:rStyle w:val="FootnoteReference"/>
          <w:rFonts w:ascii="Times New Roman" w:hAnsi="Times New Roman" w:cs="Times New Roman"/>
        </w:rPr>
        <w:footnoteRef/>
      </w:r>
      <w:r w:rsidRPr="00B06A12">
        <w:rPr>
          <w:rFonts w:ascii="Times New Roman" w:hAnsi="Times New Roman" w:cs="Times New Roman"/>
        </w:rPr>
        <w:t xml:space="preserve"> Bronitt S and McSherry B, </w:t>
      </w:r>
      <w:r w:rsidRPr="00B06A12">
        <w:rPr>
          <w:rStyle w:val="Emphasis"/>
          <w:rFonts w:ascii="Times New Roman" w:hAnsi="Times New Roman" w:cs="Times New Roman"/>
        </w:rPr>
        <w:t>Principles of Criminal Law</w:t>
      </w:r>
      <w:r w:rsidRPr="00B06A12">
        <w:rPr>
          <w:rFonts w:ascii="Times New Roman" w:hAnsi="Times New Roman" w:cs="Times New Roman"/>
        </w:rPr>
        <w:t xml:space="preserve"> (4th ed, Thomson Reuters, 2017) ch 12S</w:t>
      </w:r>
      <w:r w:rsidR="30047F6C" w:rsidRPr="00B06A12">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607B"/>
    <w:multiLevelType w:val="hybridMultilevel"/>
    <w:tmpl w:val="F2DEB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06AEE"/>
    <w:multiLevelType w:val="hybridMultilevel"/>
    <w:tmpl w:val="5B58C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155B1F"/>
    <w:multiLevelType w:val="hybridMultilevel"/>
    <w:tmpl w:val="D4C63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5351BA"/>
    <w:multiLevelType w:val="hybridMultilevel"/>
    <w:tmpl w:val="6A965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2363611">
    <w:abstractNumId w:val="1"/>
  </w:num>
  <w:num w:numId="2" w16cid:durableId="1091318029">
    <w:abstractNumId w:val="2"/>
  </w:num>
  <w:num w:numId="3" w16cid:durableId="200872606">
    <w:abstractNumId w:val="0"/>
  </w:num>
  <w:num w:numId="4" w16cid:durableId="9995081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35AB7"/>
    <w:rsid w:val="000361E5"/>
    <w:rsid w:val="000426DD"/>
    <w:rsid w:val="0007301A"/>
    <w:rsid w:val="000736E2"/>
    <w:rsid w:val="000737DC"/>
    <w:rsid w:val="0008172E"/>
    <w:rsid w:val="00086F42"/>
    <w:rsid w:val="00087AFE"/>
    <w:rsid w:val="000A4193"/>
    <w:rsid w:val="000A7F76"/>
    <w:rsid w:val="000B2023"/>
    <w:rsid w:val="000D128E"/>
    <w:rsid w:val="000E072D"/>
    <w:rsid w:val="000F108B"/>
    <w:rsid w:val="00111C95"/>
    <w:rsid w:val="00134090"/>
    <w:rsid w:val="00147DC9"/>
    <w:rsid w:val="00175486"/>
    <w:rsid w:val="00187C8B"/>
    <w:rsid w:val="001A3BD0"/>
    <w:rsid w:val="001B6707"/>
    <w:rsid w:val="001B7DFD"/>
    <w:rsid w:val="001C7D31"/>
    <w:rsid w:val="001E5072"/>
    <w:rsid w:val="001E741F"/>
    <w:rsid w:val="001F059D"/>
    <w:rsid w:val="001F7F8C"/>
    <w:rsid w:val="0021596B"/>
    <w:rsid w:val="00216CEC"/>
    <w:rsid w:val="00220042"/>
    <w:rsid w:val="00224B45"/>
    <w:rsid w:val="0023078B"/>
    <w:rsid w:val="00240E95"/>
    <w:rsid w:val="00285268"/>
    <w:rsid w:val="00294CA4"/>
    <w:rsid w:val="002B71FE"/>
    <w:rsid w:val="002D36C3"/>
    <w:rsid w:val="002F23C0"/>
    <w:rsid w:val="00300E0C"/>
    <w:rsid w:val="0032017D"/>
    <w:rsid w:val="003243C1"/>
    <w:rsid w:val="00334ADB"/>
    <w:rsid w:val="00341B1E"/>
    <w:rsid w:val="00344A17"/>
    <w:rsid w:val="003478EF"/>
    <w:rsid w:val="00354AA0"/>
    <w:rsid w:val="00356093"/>
    <w:rsid w:val="0036656B"/>
    <w:rsid w:val="003802EF"/>
    <w:rsid w:val="003A02E1"/>
    <w:rsid w:val="003A1CFB"/>
    <w:rsid w:val="003B7C76"/>
    <w:rsid w:val="003C2E5F"/>
    <w:rsid w:val="003C645D"/>
    <w:rsid w:val="003D31A8"/>
    <w:rsid w:val="003E43B4"/>
    <w:rsid w:val="003E677B"/>
    <w:rsid w:val="003E7BC4"/>
    <w:rsid w:val="00405FCE"/>
    <w:rsid w:val="0041414C"/>
    <w:rsid w:val="004364CB"/>
    <w:rsid w:val="004428B7"/>
    <w:rsid w:val="00454AE5"/>
    <w:rsid w:val="0046317F"/>
    <w:rsid w:val="004631F8"/>
    <w:rsid w:val="00464656"/>
    <w:rsid w:val="0046610A"/>
    <w:rsid w:val="00480B5D"/>
    <w:rsid w:val="00482078"/>
    <w:rsid w:val="00483774"/>
    <w:rsid w:val="00483FDC"/>
    <w:rsid w:val="004D2AC4"/>
    <w:rsid w:val="004D4240"/>
    <w:rsid w:val="004E0628"/>
    <w:rsid w:val="004E2903"/>
    <w:rsid w:val="004E3D64"/>
    <w:rsid w:val="004E66C5"/>
    <w:rsid w:val="005163E0"/>
    <w:rsid w:val="0052739C"/>
    <w:rsid w:val="00531BB6"/>
    <w:rsid w:val="00553DD0"/>
    <w:rsid w:val="00564DFA"/>
    <w:rsid w:val="00571DCD"/>
    <w:rsid w:val="00580005"/>
    <w:rsid w:val="00580B86"/>
    <w:rsid w:val="0058507A"/>
    <w:rsid w:val="00596E11"/>
    <w:rsid w:val="005A6F4D"/>
    <w:rsid w:val="005D092F"/>
    <w:rsid w:val="005E1FFE"/>
    <w:rsid w:val="005E3980"/>
    <w:rsid w:val="00601F4E"/>
    <w:rsid w:val="00602F53"/>
    <w:rsid w:val="006059CA"/>
    <w:rsid w:val="00610E85"/>
    <w:rsid w:val="006137B4"/>
    <w:rsid w:val="00617F15"/>
    <w:rsid w:val="00621706"/>
    <w:rsid w:val="00630EB4"/>
    <w:rsid w:val="00634D86"/>
    <w:rsid w:val="00691C4F"/>
    <w:rsid w:val="00696E5F"/>
    <w:rsid w:val="006B0791"/>
    <w:rsid w:val="006B7BEF"/>
    <w:rsid w:val="006C458F"/>
    <w:rsid w:val="006F60E7"/>
    <w:rsid w:val="006F651C"/>
    <w:rsid w:val="00714231"/>
    <w:rsid w:val="00727A61"/>
    <w:rsid w:val="0076135F"/>
    <w:rsid w:val="0076785F"/>
    <w:rsid w:val="007769FF"/>
    <w:rsid w:val="007969BD"/>
    <w:rsid w:val="007B1D20"/>
    <w:rsid w:val="007B71B0"/>
    <w:rsid w:val="007C4F96"/>
    <w:rsid w:val="007D2217"/>
    <w:rsid w:val="007D6DEE"/>
    <w:rsid w:val="007E5CE7"/>
    <w:rsid w:val="007F17E8"/>
    <w:rsid w:val="00806120"/>
    <w:rsid w:val="0080654C"/>
    <w:rsid w:val="008132C3"/>
    <w:rsid w:val="00815A12"/>
    <w:rsid w:val="008215DC"/>
    <w:rsid w:val="00840943"/>
    <w:rsid w:val="00842C5E"/>
    <w:rsid w:val="00843BB1"/>
    <w:rsid w:val="00843BE6"/>
    <w:rsid w:val="0085433B"/>
    <w:rsid w:val="00874D79"/>
    <w:rsid w:val="00893441"/>
    <w:rsid w:val="008A6E53"/>
    <w:rsid w:val="008B7194"/>
    <w:rsid w:val="008B7902"/>
    <w:rsid w:val="008D7272"/>
    <w:rsid w:val="008F361D"/>
    <w:rsid w:val="008F57CF"/>
    <w:rsid w:val="009035F2"/>
    <w:rsid w:val="009142C9"/>
    <w:rsid w:val="00924A66"/>
    <w:rsid w:val="00930211"/>
    <w:rsid w:val="0093046D"/>
    <w:rsid w:val="00944B71"/>
    <w:rsid w:val="00962EBB"/>
    <w:rsid w:val="009821E6"/>
    <w:rsid w:val="00987B8E"/>
    <w:rsid w:val="009929D2"/>
    <w:rsid w:val="00997C34"/>
    <w:rsid w:val="009C531C"/>
    <w:rsid w:val="009D06C6"/>
    <w:rsid w:val="009E1A7D"/>
    <w:rsid w:val="00A01517"/>
    <w:rsid w:val="00A03A12"/>
    <w:rsid w:val="00A0638E"/>
    <w:rsid w:val="00A13977"/>
    <w:rsid w:val="00A16EDD"/>
    <w:rsid w:val="00A239C8"/>
    <w:rsid w:val="00A46597"/>
    <w:rsid w:val="00A502FB"/>
    <w:rsid w:val="00A540EA"/>
    <w:rsid w:val="00A54793"/>
    <w:rsid w:val="00A82B82"/>
    <w:rsid w:val="00A830C0"/>
    <w:rsid w:val="00A9380E"/>
    <w:rsid w:val="00A97FC9"/>
    <w:rsid w:val="00AA3387"/>
    <w:rsid w:val="00AA3760"/>
    <w:rsid w:val="00AA67FB"/>
    <w:rsid w:val="00AD2272"/>
    <w:rsid w:val="00AD2504"/>
    <w:rsid w:val="00B02D14"/>
    <w:rsid w:val="00B06A12"/>
    <w:rsid w:val="00B15DDE"/>
    <w:rsid w:val="00B33213"/>
    <w:rsid w:val="00B338CA"/>
    <w:rsid w:val="00B46C49"/>
    <w:rsid w:val="00B832BA"/>
    <w:rsid w:val="00B868C3"/>
    <w:rsid w:val="00B97C02"/>
    <w:rsid w:val="00BA00F7"/>
    <w:rsid w:val="00BB66EB"/>
    <w:rsid w:val="00BC443F"/>
    <w:rsid w:val="00BC6547"/>
    <w:rsid w:val="00BD0D10"/>
    <w:rsid w:val="00BD62C4"/>
    <w:rsid w:val="00BE5553"/>
    <w:rsid w:val="00C00C1E"/>
    <w:rsid w:val="00C35E72"/>
    <w:rsid w:val="00C41993"/>
    <w:rsid w:val="00C65049"/>
    <w:rsid w:val="00C75DF6"/>
    <w:rsid w:val="00C8782D"/>
    <w:rsid w:val="00CB7B0F"/>
    <w:rsid w:val="00CE2659"/>
    <w:rsid w:val="00CF1136"/>
    <w:rsid w:val="00D02BC9"/>
    <w:rsid w:val="00D1061C"/>
    <w:rsid w:val="00D27414"/>
    <w:rsid w:val="00D30760"/>
    <w:rsid w:val="00D363DC"/>
    <w:rsid w:val="00D36D53"/>
    <w:rsid w:val="00D41414"/>
    <w:rsid w:val="00D5782C"/>
    <w:rsid w:val="00D663C1"/>
    <w:rsid w:val="00D67988"/>
    <w:rsid w:val="00D75D0F"/>
    <w:rsid w:val="00D774EF"/>
    <w:rsid w:val="00D91A76"/>
    <w:rsid w:val="00D94C07"/>
    <w:rsid w:val="00DB34F8"/>
    <w:rsid w:val="00DB6B27"/>
    <w:rsid w:val="00DC1F28"/>
    <w:rsid w:val="00DE365C"/>
    <w:rsid w:val="00DE7698"/>
    <w:rsid w:val="00DF314C"/>
    <w:rsid w:val="00DF54A5"/>
    <w:rsid w:val="00DF68BA"/>
    <w:rsid w:val="00E00CF1"/>
    <w:rsid w:val="00E030D6"/>
    <w:rsid w:val="00E160C6"/>
    <w:rsid w:val="00E179B4"/>
    <w:rsid w:val="00E25C30"/>
    <w:rsid w:val="00E35F81"/>
    <w:rsid w:val="00E45958"/>
    <w:rsid w:val="00E6116E"/>
    <w:rsid w:val="00E6236F"/>
    <w:rsid w:val="00E65FCD"/>
    <w:rsid w:val="00E660C7"/>
    <w:rsid w:val="00E817F0"/>
    <w:rsid w:val="00E87226"/>
    <w:rsid w:val="00E914B5"/>
    <w:rsid w:val="00E95486"/>
    <w:rsid w:val="00EC40F3"/>
    <w:rsid w:val="00EC44FB"/>
    <w:rsid w:val="00EF7F99"/>
    <w:rsid w:val="00F05EA0"/>
    <w:rsid w:val="00F1081F"/>
    <w:rsid w:val="00F166DC"/>
    <w:rsid w:val="00F22977"/>
    <w:rsid w:val="00F2907D"/>
    <w:rsid w:val="00F3602A"/>
    <w:rsid w:val="00F52A96"/>
    <w:rsid w:val="00F6794E"/>
    <w:rsid w:val="00F74AD5"/>
    <w:rsid w:val="00F772BB"/>
    <w:rsid w:val="00F81255"/>
    <w:rsid w:val="00F972AD"/>
    <w:rsid w:val="00FA4E12"/>
    <w:rsid w:val="00FA7D97"/>
    <w:rsid w:val="00FB2581"/>
    <w:rsid w:val="00FB5B18"/>
    <w:rsid w:val="00FD42E0"/>
    <w:rsid w:val="00FD531E"/>
    <w:rsid w:val="00FE034A"/>
    <w:rsid w:val="00FE6217"/>
    <w:rsid w:val="00FF568B"/>
    <w:rsid w:val="0273DB25"/>
    <w:rsid w:val="07488931"/>
    <w:rsid w:val="20A415F4"/>
    <w:rsid w:val="2B211D84"/>
    <w:rsid w:val="30047F6C"/>
    <w:rsid w:val="4D06D59F"/>
    <w:rsid w:val="68FFE55C"/>
    <w:rsid w:val="6D43E8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C9DE6E67-978D-2441-8E1F-CFB3B9E61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354AA0"/>
    <w:pPr>
      <w:spacing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354AA0"/>
    <w:rPr>
      <w:kern w:val="2"/>
      <w:sz w:val="20"/>
      <w:szCs w:val="20"/>
      <w14:ligatures w14:val="standardContextual"/>
    </w:rPr>
  </w:style>
  <w:style w:type="character" w:styleId="FootnoteReference">
    <w:name w:val="footnote reference"/>
    <w:basedOn w:val="DefaultParagraphFont"/>
    <w:uiPriority w:val="99"/>
    <w:semiHidden/>
    <w:unhideWhenUsed/>
    <w:rsid w:val="00354AA0"/>
    <w:rPr>
      <w:vertAlign w:val="superscript"/>
    </w:rPr>
  </w:style>
  <w:style w:type="character" w:styleId="Emphasis">
    <w:name w:val="Emphasis"/>
    <w:basedOn w:val="DefaultParagraphFont"/>
    <w:uiPriority w:val="20"/>
    <w:qFormat/>
    <w:rsid w:val="00354AA0"/>
    <w:rPr>
      <w:i/>
      <w:iCs/>
    </w:rPr>
  </w:style>
  <w:style w:type="paragraph" w:styleId="NormalWeb">
    <w:name w:val="Normal (Web)"/>
    <w:basedOn w:val="Normal"/>
    <w:uiPriority w:val="99"/>
    <w:unhideWhenUsed/>
    <w:rsid w:val="00354AA0"/>
    <w:pPr>
      <w:spacing w:before="100" w:beforeAutospacing="1" w:after="100" w:afterAutospacing="1" w:line="240" w:lineRule="auto"/>
    </w:pPr>
    <w:rPr>
      <w:rFonts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996</Words>
  <Characters>5220</Characters>
  <Application>Microsoft Office Word</Application>
  <DocSecurity>0</DocSecurity>
  <Lines>91</Lines>
  <Paragraphs>41</Paragraphs>
  <ScaleCrop>false</ScaleCrop>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7</cp:revision>
  <dcterms:created xsi:type="dcterms:W3CDTF">2026-02-20T10:12:00Z</dcterms:created>
  <dcterms:modified xsi:type="dcterms:W3CDTF">2026-03-14T04:05:00Z</dcterms:modified>
</cp:coreProperties>
</file>