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1B40B" w14:textId="448704B2" w:rsidR="00141361" w:rsidRPr="00D04B2A" w:rsidRDefault="00141361" w:rsidP="00D04B2A">
      <w:pPr>
        <w:pStyle w:val="Title"/>
        <w:rPr>
          <w:sz w:val="28"/>
          <w:szCs w:val="28"/>
        </w:rPr>
      </w:pPr>
      <w:bookmarkStart w:id="0" w:name="_Hlk186838387"/>
      <w:bookmarkStart w:id="1" w:name="_Hlk186882183"/>
      <w:r w:rsidRPr="00D04B2A">
        <w:rPr>
          <w:sz w:val="28"/>
          <w:szCs w:val="28"/>
        </w:rPr>
        <w:t xml:space="preserve">SMB LAW GROUP </w:t>
      </w:r>
      <w:r w:rsidR="00D04B2A" w:rsidRPr="00D04B2A">
        <w:rPr>
          <w:sz w:val="28"/>
          <w:szCs w:val="28"/>
        </w:rPr>
        <w:t>2026 LOI</w:t>
      </w:r>
      <w:r w:rsidRPr="00D04B2A">
        <w:rPr>
          <w:sz w:val="28"/>
          <w:szCs w:val="28"/>
        </w:rPr>
        <w:t xml:space="preserve"> TEMPLATE</w:t>
      </w:r>
      <w:r w:rsidRPr="00D04B2A">
        <w:rPr>
          <w:sz w:val="28"/>
          <w:szCs w:val="28"/>
        </w:rPr>
        <w:br/>
      </w:r>
      <w:r w:rsidRPr="00D04B2A">
        <w:rPr>
          <w:rStyle w:val="SubtitleChar"/>
          <w:color w:val="B86A4A" w:themeColor="accent2"/>
          <w:sz w:val="28"/>
          <w:szCs w:val="28"/>
        </w:rPr>
        <w:t>(ASSET ACQUISITION)</w:t>
      </w:r>
    </w:p>
    <w:p w14:paraId="1EC4F093" w14:textId="0396598A" w:rsidR="00141361" w:rsidRPr="00D04B2A" w:rsidRDefault="00141361" w:rsidP="002C0AB2">
      <w:pPr>
        <w:spacing w:before="100" w:beforeAutospacing="1" w:after="120"/>
        <w:rPr>
          <w:rFonts w:asciiTheme="minorHAnsi" w:hAnsiTheme="minorHAnsi"/>
          <w:sz w:val="21"/>
          <w:szCs w:val="21"/>
        </w:rPr>
      </w:pPr>
      <w:r w:rsidRPr="00D04B2A">
        <w:rPr>
          <w:rFonts w:asciiTheme="minorHAnsi" w:hAnsiTheme="minorHAnsi"/>
          <w:b/>
          <w:bCs/>
          <w:sz w:val="21"/>
          <w:szCs w:val="21"/>
        </w:rPr>
        <w:t>Important:</w:t>
      </w:r>
      <w:r w:rsidRPr="00D04B2A">
        <w:rPr>
          <w:rFonts w:asciiTheme="minorHAnsi" w:hAnsiTheme="minorHAnsi"/>
          <w:sz w:val="21"/>
          <w:szCs w:val="21"/>
        </w:rPr>
        <w:t xml:space="preserve"> This template is designed exclusively for </w:t>
      </w:r>
      <w:r w:rsidRPr="00D04B2A">
        <w:rPr>
          <w:rFonts w:asciiTheme="minorHAnsi" w:hAnsiTheme="minorHAnsi"/>
          <w:b/>
          <w:bCs/>
          <w:sz w:val="21"/>
          <w:szCs w:val="21"/>
        </w:rPr>
        <w:t>asset acquisitions</w:t>
      </w:r>
      <w:r w:rsidRPr="00D04B2A">
        <w:rPr>
          <w:rFonts w:asciiTheme="minorHAnsi" w:hAnsiTheme="minorHAnsi"/>
          <w:sz w:val="21"/>
          <w:szCs w:val="21"/>
        </w:rPr>
        <w:t xml:space="preserve">. If you are pursuing an equity (stock) acquisition, please contact SMB Law Group LLP at </w:t>
      </w:r>
      <w:proofErr w:type="spellStart"/>
      <w:r w:rsidRPr="00D04B2A">
        <w:rPr>
          <w:rFonts w:asciiTheme="minorHAnsi" w:hAnsiTheme="minorHAnsi"/>
          <w:sz w:val="21"/>
          <w:szCs w:val="21"/>
        </w:rPr>
        <w:t>info@smblaw.group</w:t>
      </w:r>
      <w:proofErr w:type="spellEnd"/>
      <w:r w:rsidRPr="00D04B2A">
        <w:rPr>
          <w:rFonts w:asciiTheme="minorHAnsi" w:hAnsiTheme="minorHAnsi"/>
          <w:sz w:val="21"/>
          <w:szCs w:val="21"/>
        </w:rPr>
        <w:t xml:space="preserve"> to request the appropriate form.</w:t>
      </w:r>
    </w:p>
    <w:p w14:paraId="400CBF4F" w14:textId="32007FE9" w:rsidR="00141361" w:rsidRPr="00D04B2A" w:rsidRDefault="00141361" w:rsidP="00C85ACB">
      <w:pPr>
        <w:pStyle w:val="Heading1"/>
        <w:numPr>
          <w:ilvl w:val="0"/>
          <w:numId w:val="0"/>
        </w:numPr>
        <w:ind w:left="720" w:hanging="720"/>
        <w:rPr>
          <w:sz w:val="21"/>
          <w:szCs w:val="21"/>
          <w:u w:val="single"/>
        </w:rPr>
      </w:pPr>
      <w:r w:rsidRPr="00D04B2A">
        <w:rPr>
          <w:sz w:val="21"/>
          <w:szCs w:val="21"/>
          <w:u w:val="single"/>
        </w:rPr>
        <w:t>How to Use This Template</w:t>
      </w:r>
    </w:p>
    <w:p w14:paraId="44142140" w14:textId="77777777" w:rsidR="00141361" w:rsidRPr="00D04B2A" w:rsidRDefault="00141361" w:rsidP="00141361">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This Letter of Intent (LOI) template has been developed and refined through </w:t>
      </w:r>
      <w:r w:rsidRPr="00D04B2A">
        <w:rPr>
          <w:rFonts w:asciiTheme="minorHAnsi" w:hAnsiTheme="minorHAnsi"/>
          <w:b/>
          <w:bCs/>
          <w:sz w:val="21"/>
          <w:szCs w:val="21"/>
        </w:rPr>
        <w:t>four years of active use across 500+ lower-middle-market transactions</w:t>
      </w:r>
      <w:r w:rsidRPr="00D04B2A">
        <w:rPr>
          <w:rFonts w:asciiTheme="minorHAnsi" w:hAnsiTheme="minorHAnsi"/>
          <w:sz w:val="21"/>
          <w:szCs w:val="21"/>
        </w:rPr>
        <w:t xml:space="preserve">, representing </w:t>
      </w:r>
      <w:r w:rsidRPr="00D04B2A">
        <w:rPr>
          <w:rFonts w:asciiTheme="minorHAnsi" w:hAnsiTheme="minorHAnsi"/>
          <w:b/>
          <w:bCs/>
          <w:sz w:val="21"/>
          <w:szCs w:val="21"/>
        </w:rPr>
        <w:t>more than $1.6 billion in closed deal volume</w:t>
      </w:r>
      <w:r w:rsidRPr="00D04B2A">
        <w:rPr>
          <w:rFonts w:asciiTheme="minorHAnsi" w:hAnsiTheme="minorHAnsi"/>
          <w:sz w:val="21"/>
          <w:szCs w:val="21"/>
        </w:rPr>
        <w:t xml:space="preserve"> since SMB Law Group LLP’s founding in 2022.</w:t>
      </w:r>
    </w:p>
    <w:p w14:paraId="534C6F23" w14:textId="77777777" w:rsidR="00141361" w:rsidRPr="00D04B2A" w:rsidRDefault="00141361" w:rsidP="00141361">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This template is intentionally designed to do more than state price and structure. It is built </w:t>
      </w:r>
      <w:proofErr w:type="gramStart"/>
      <w:r w:rsidRPr="00D04B2A">
        <w:rPr>
          <w:rFonts w:asciiTheme="minorHAnsi" w:hAnsiTheme="minorHAnsi"/>
          <w:sz w:val="21"/>
          <w:szCs w:val="21"/>
        </w:rPr>
        <w:t>to</w:t>
      </w:r>
      <w:proofErr w:type="gramEnd"/>
      <w:r w:rsidRPr="00D04B2A">
        <w:rPr>
          <w:rFonts w:asciiTheme="minorHAnsi" w:hAnsiTheme="minorHAnsi"/>
          <w:sz w:val="21"/>
          <w:szCs w:val="21"/>
        </w:rPr>
        <w:t>:</w:t>
      </w:r>
    </w:p>
    <w:tbl>
      <w:tblPr>
        <w:tblStyle w:val="TableGrid"/>
        <w:tblW w:w="0" w:type="auto"/>
        <w:tblInd w:w="265" w:type="dxa"/>
        <w:tblBorders>
          <w:top w:val="single" w:sz="4" w:space="0" w:color="206273" w:themeColor="accent1"/>
          <w:left w:val="single" w:sz="4" w:space="0" w:color="206273" w:themeColor="accent1"/>
          <w:bottom w:val="single" w:sz="4" w:space="0" w:color="206273" w:themeColor="accent1"/>
          <w:right w:val="single" w:sz="4" w:space="0" w:color="206273" w:themeColor="accent1"/>
          <w:insideH w:val="single" w:sz="4" w:space="0" w:color="206273" w:themeColor="accent1"/>
          <w:insideV w:val="single" w:sz="4" w:space="0" w:color="206273" w:themeColor="accent1"/>
        </w:tblBorders>
        <w:shd w:val="clear" w:color="auto" w:fill="F2F2F2" w:themeFill="background1" w:themeFillShade="F2"/>
        <w:tblLook w:val="04A0" w:firstRow="1" w:lastRow="0" w:firstColumn="1" w:lastColumn="0" w:noHBand="0" w:noVBand="1"/>
      </w:tblPr>
      <w:tblGrid>
        <w:gridCol w:w="6840"/>
      </w:tblGrid>
      <w:tr w:rsidR="002C0AB2" w:rsidRPr="00D04B2A" w14:paraId="4426BCB1" w14:textId="77777777" w:rsidTr="002C0AB2">
        <w:tc>
          <w:tcPr>
            <w:tcW w:w="6840" w:type="dxa"/>
            <w:shd w:val="clear" w:color="auto" w:fill="F2F2F2" w:themeFill="background1" w:themeFillShade="F2"/>
          </w:tcPr>
          <w:p w14:paraId="4CC62CBA" w14:textId="77777777"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Surface critical issues earlier in the process</w:t>
            </w:r>
          </w:p>
          <w:p w14:paraId="69AECC69" w14:textId="41396F4C"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Reduce post-LOI surprises and re</w:t>
            </w:r>
            <w:r w:rsidR="00681845">
              <w:rPr>
                <w:rFonts w:asciiTheme="minorHAnsi" w:hAnsiTheme="minorHAnsi"/>
                <w:sz w:val="21"/>
                <w:szCs w:val="21"/>
              </w:rPr>
              <w:t>-</w:t>
            </w:r>
            <w:r w:rsidRPr="00D04B2A">
              <w:rPr>
                <w:rFonts w:asciiTheme="minorHAnsi" w:hAnsiTheme="minorHAnsi"/>
                <w:sz w:val="21"/>
                <w:szCs w:val="21"/>
              </w:rPr>
              <w:t>trades</w:t>
            </w:r>
          </w:p>
          <w:p w14:paraId="71E4C71C" w14:textId="3930829E"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 xml:space="preserve">Align expectations around </w:t>
            </w:r>
            <w:r w:rsidR="00681845">
              <w:rPr>
                <w:rFonts w:asciiTheme="minorHAnsi" w:hAnsiTheme="minorHAnsi"/>
                <w:sz w:val="21"/>
                <w:szCs w:val="21"/>
              </w:rPr>
              <w:t xml:space="preserve">due </w:t>
            </w:r>
            <w:r w:rsidRPr="00D04B2A">
              <w:rPr>
                <w:rFonts w:asciiTheme="minorHAnsi" w:hAnsiTheme="minorHAnsi"/>
                <w:sz w:val="21"/>
                <w:szCs w:val="21"/>
              </w:rPr>
              <w:t>diligence, financing, and structure</w:t>
            </w:r>
          </w:p>
          <w:p w14:paraId="16CCA6C6" w14:textId="44D4CB93" w:rsidR="002C0AB2" w:rsidRPr="00D04B2A" w:rsidRDefault="002C0AB2" w:rsidP="002C0AB2">
            <w:pPr>
              <w:numPr>
                <w:ilvl w:val="0"/>
                <w:numId w:val="25"/>
              </w:numPr>
              <w:spacing w:before="100" w:beforeAutospacing="1" w:after="60"/>
              <w:rPr>
                <w:rFonts w:asciiTheme="minorHAnsi" w:hAnsiTheme="minorHAnsi"/>
                <w:sz w:val="21"/>
                <w:szCs w:val="21"/>
              </w:rPr>
            </w:pPr>
            <w:r w:rsidRPr="00D04B2A">
              <w:rPr>
                <w:rFonts w:asciiTheme="minorHAnsi" w:hAnsiTheme="minorHAnsi"/>
                <w:sz w:val="21"/>
                <w:szCs w:val="21"/>
              </w:rPr>
              <w:t>Create terms that translate cleanly into definitive agreements</w:t>
            </w:r>
          </w:p>
        </w:tc>
      </w:tr>
    </w:tbl>
    <w:p w14:paraId="3C306CFD" w14:textId="2D90775C" w:rsidR="00141361" w:rsidRPr="00D04B2A" w:rsidRDefault="00141361" w:rsidP="002C0AB2">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When used properly, this LOI helps serious buyers and sellers move efficiently toward closing, while filtering out transactions that are unlikely to survive </w:t>
      </w:r>
      <w:r w:rsidR="000D1171">
        <w:rPr>
          <w:rFonts w:asciiTheme="minorHAnsi" w:hAnsiTheme="minorHAnsi"/>
          <w:sz w:val="21"/>
          <w:szCs w:val="21"/>
        </w:rPr>
        <w:t xml:space="preserve">due </w:t>
      </w:r>
      <w:r w:rsidRPr="00D04B2A">
        <w:rPr>
          <w:rFonts w:asciiTheme="minorHAnsi" w:hAnsiTheme="minorHAnsi"/>
          <w:sz w:val="21"/>
          <w:szCs w:val="21"/>
        </w:rPr>
        <w:t>diligence, financing, or execution.</w:t>
      </w:r>
    </w:p>
    <w:p w14:paraId="28D1FAA8" w14:textId="77777777" w:rsidR="00141361" w:rsidRPr="00D04B2A" w:rsidRDefault="00141361" w:rsidP="002C0AB2">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 xml:space="preserve">If you have questions, want assistance customizing this LOI, or would like SMB Law Group LLP to represent you in negotiating or closing your transaction, please contact us at </w:t>
      </w:r>
      <w:hyperlink r:id="rId12" w:history="1">
        <w:r w:rsidRPr="00D04B2A">
          <w:rPr>
            <w:rFonts w:asciiTheme="minorHAnsi" w:hAnsiTheme="minorHAnsi"/>
            <w:sz w:val="21"/>
            <w:szCs w:val="21"/>
          </w:rPr>
          <w:t>info@smblaw.group</w:t>
        </w:r>
      </w:hyperlink>
      <w:r w:rsidRPr="00D04B2A">
        <w:rPr>
          <w:rFonts w:asciiTheme="minorHAnsi" w:hAnsiTheme="minorHAnsi"/>
          <w:sz w:val="21"/>
          <w:szCs w:val="21"/>
        </w:rPr>
        <w:t>.</w:t>
      </w:r>
    </w:p>
    <w:p w14:paraId="3212FA0F" w14:textId="77777777" w:rsidR="00141361" w:rsidRPr="00D04B2A" w:rsidRDefault="00141361" w:rsidP="00C85ACB">
      <w:pPr>
        <w:pStyle w:val="Heading1"/>
        <w:numPr>
          <w:ilvl w:val="0"/>
          <w:numId w:val="0"/>
        </w:numPr>
        <w:ind w:left="720" w:hanging="720"/>
        <w:rPr>
          <w:sz w:val="21"/>
          <w:szCs w:val="21"/>
          <w:u w:val="single"/>
        </w:rPr>
      </w:pPr>
      <w:r w:rsidRPr="00D04B2A">
        <w:rPr>
          <w:sz w:val="21"/>
          <w:szCs w:val="21"/>
          <w:u w:val="single"/>
        </w:rPr>
        <w:t>Instructions for Customization</w:t>
      </w:r>
    </w:p>
    <w:p w14:paraId="1D0FEC91" w14:textId="6DDC2458"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Complete all bracketed fields.</w:t>
      </w:r>
      <w:r w:rsidRPr="00D04B2A">
        <w:rPr>
          <w:rFonts w:asciiTheme="minorHAnsi" w:hAnsiTheme="minorHAnsi"/>
          <w:sz w:val="21"/>
          <w:szCs w:val="21"/>
        </w:rPr>
        <w:t xml:space="preserve"> Replace each bracketed placeholder (for example, </w:t>
      </w:r>
      <w:r w:rsidRPr="008D36E9">
        <w:rPr>
          <w:rFonts w:asciiTheme="minorHAnsi" w:hAnsiTheme="minorHAnsi"/>
          <w:sz w:val="21"/>
          <w:szCs w:val="21"/>
          <w:highlight w:val="yellow"/>
        </w:rPr>
        <w:t>[Buyer’s Name]</w:t>
      </w:r>
      <w:r w:rsidRPr="00D04B2A">
        <w:rPr>
          <w:rFonts w:asciiTheme="minorHAnsi" w:hAnsiTheme="minorHAnsi"/>
          <w:sz w:val="21"/>
          <w:szCs w:val="21"/>
        </w:rPr>
        <w:t>) with transaction-specific information.</w:t>
      </w:r>
      <w:r w:rsidR="008D36E9">
        <w:rPr>
          <w:rFonts w:asciiTheme="minorHAnsi" w:hAnsiTheme="minorHAnsi"/>
          <w:sz w:val="21"/>
          <w:szCs w:val="21"/>
        </w:rPr>
        <w:t xml:space="preserve"> They are highlighted</w:t>
      </w:r>
      <w:r w:rsidR="00E44D08">
        <w:rPr>
          <w:rFonts w:asciiTheme="minorHAnsi" w:hAnsiTheme="minorHAnsi"/>
          <w:sz w:val="21"/>
          <w:szCs w:val="21"/>
        </w:rPr>
        <w:t xml:space="preserve"> yellow</w:t>
      </w:r>
      <w:r w:rsidR="008D36E9">
        <w:rPr>
          <w:rFonts w:asciiTheme="minorHAnsi" w:hAnsiTheme="minorHAnsi"/>
          <w:sz w:val="21"/>
          <w:szCs w:val="21"/>
        </w:rPr>
        <w:t xml:space="preserve"> for ease of reference.</w:t>
      </w:r>
      <w:r w:rsidRPr="00D04B2A">
        <w:rPr>
          <w:rFonts w:asciiTheme="minorHAnsi" w:hAnsiTheme="minorHAnsi"/>
          <w:sz w:val="21"/>
          <w:szCs w:val="21"/>
        </w:rPr>
        <w:t xml:space="preserve"> Footnotes</w:t>
      </w:r>
      <w:r w:rsidR="00E44D08">
        <w:rPr>
          <w:rFonts w:asciiTheme="minorHAnsi" w:hAnsiTheme="minorHAnsi"/>
          <w:sz w:val="21"/>
          <w:szCs w:val="21"/>
        </w:rPr>
        <w:t xml:space="preserve"> (for example, </w:t>
      </w:r>
      <w:r w:rsidR="00E44D08" w:rsidRPr="00E44D08">
        <w:rPr>
          <w:rFonts w:asciiTheme="minorHAnsi" w:hAnsiTheme="minorHAnsi"/>
          <w:sz w:val="21"/>
          <w:szCs w:val="21"/>
          <w:highlight w:val="green"/>
          <w:vertAlign w:val="superscript"/>
        </w:rPr>
        <w:t>1</w:t>
      </w:r>
      <w:r w:rsidR="00E44D08">
        <w:rPr>
          <w:rFonts w:asciiTheme="minorHAnsi" w:hAnsiTheme="minorHAnsi"/>
          <w:sz w:val="21"/>
          <w:szCs w:val="21"/>
        </w:rPr>
        <w:t>)</w:t>
      </w:r>
      <w:r w:rsidRPr="00D04B2A">
        <w:rPr>
          <w:rFonts w:asciiTheme="minorHAnsi" w:hAnsiTheme="minorHAnsi"/>
          <w:sz w:val="21"/>
          <w:szCs w:val="21"/>
        </w:rPr>
        <w:t xml:space="preserve"> are included to provide context and guidance where judgment or customization is required.</w:t>
      </w:r>
      <w:r w:rsidR="00E44D08">
        <w:rPr>
          <w:rFonts w:asciiTheme="minorHAnsi" w:hAnsiTheme="minorHAnsi"/>
          <w:sz w:val="21"/>
          <w:szCs w:val="21"/>
        </w:rPr>
        <w:t xml:space="preserve"> They are highlighted green for ease of reference. </w:t>
      </w:r>
    </w:p>
    <w:p w14:paraId="06F3255C" w14:textId="088069D9"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Remove all brackets and footnotes.</w:t>
      </w:r>
      <w:r w:rsidRPr="00D04B2A">
        <w:rPr>
          <w:rFonts w:asciiTheme="minorHAnsi" w:hAnsiTheme="minorHAnsi"/>
          <w:sz w:val="21"/>
          <w:szCs w:val="21"/>
        </w:rPr>
        <w:t xml:space="preserve"> After completing the template, delete all brackets and footnotes. Use the search function (Ctrl + F on PC or </w:t>
      </w:r>
      <w:proofErr w:type="spellStart"/>
      <w:r w:rsidRPr="00D04B2A">
        <w:rPr>
          <w:rFonts w:asciiTheme="minorHAnsi" w:hAnsiTheme="minorHAnsi"/>
          <w:sz w:val="21"/>
          <w:szCs w:val="21"/>
        </w:rPr>
        <w:t>Cmd</w:t>
      </w:r>
      <w:proofErr w:type="spellEnd"/>
      <w:r w:rsidRPr="00D04B2A">
        <w:rPr>
          <w:rFonts w:asciiTheme="minorHAnsi" w:hAnsiTheme="minorHAnsi"/>
          <w:sz w:val="21"/>
          <w:szCs w:val="21"/>
        </w:rPr>
        <w:t xml:space="preserve"> + F on Mac) to confirm that no placeholders remain.</w:t>
      </w:r>
    </w:p>
    <w:p w14:paraId="38ECF41E" w14:textId="7FC92CEA"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Customize thoughtfully.</w:t>
      </w:r>
      <w:r w:rsidRPr="00D04B2A">
        <w:rPr>
          <w:rFonts w:asciiTheme="minorHAnsi" w:hAnsiTheme="minorHAnsi"/>
          <w:sz w:val="21"/>
          <w:szCs w:val="21"/>
        </w:rPr>
        <w:t xml:space="preserve"> This template may be tailored to fit the specifics of your transaction, but it may not be distributed, reproduced, or shared without prior written consent from SMB Law Group LLP.</w:t>
      </w:r>
    </w:p>
    <w:p w14:paraId="755DF77D" w14:textId="4BC00AF4"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Confirm legal and regulatory compliance.</w:t>
      </w:r>
      <w:r w:rsidRPr="00D04B2A">
        <w:rPr>
          <w:rFonts w:asciiTheme="minorHAnsi" w:hAnsiTheme="minorHAnsi"/>
          <w:sz w:val="21"/>
          <w:szCs w:val="21"/>
        </w:rPr>
        <w:t xml:space="preserve"> Ensure that any modifications comply with applicable laws, financing requirements, and deal-specific constraints. Consult legal, tax, and financial advisors as appropriate.</w:t>
      </w:r>
    </w:p>
    <w:p w14:paraId="30EC7963" w14:textId="0A09B013" w:rsidR="00141361" w:rsidRPr="00D04B2A" w:rsidRDefault="00141361" w:rsidP="002C0AB2">
      <w:pPr>
        <w:numPr>
          <w:ilvl w:val="0"/>
          <w:numId w:val="26"/>
        </w:numPr>
        <w:spacing w:before="100" w:beforeAutospacing="1" w:after="120"/>
        <w:jc w:val="both"/>
        <w:rPr>
          <w:rFonts w:asciiTheme="minorHAnsi" w:hAnsiTheme="minorHAnsi"/>
          <w:sz w:val="21"/>
          <w:szCs w:val="21"/>
        </w:rPr>
      </w:pPr>
      <w:r w:rsidRPr="00D04B2A">
        <w:rPr>
          <w:rFonts w:asciiTheme="minorHAnsi" w:hAnsiTheme="minorHAnsi"/>
          <w:b/>
          <w:bCs/>
          <w:sz w:val="21"/>
          <w:szCs w:val="21"/>
        </w:rPr>
        <w:t>Remove this instruction page before execution.</w:t>
      </w:r>
      <w:r w:rsidRPr="00D04B2A">
        <w:rPr>
          <w:rFonts w:asciiTheme="minorHAnsi" w:hAnsiTheme="minorHAnsi"/>
          <w:sz w:val="21"/>
          <w:szCs w:val="21"/>
        </w:rPr>
        <w:t xml:space="preserve"> Delete this instructional cover page before finalizing and delivering the LOI.</w:t>
      </w:r>
    </w:p>
    <w:p w14:paraId="5D3FB349" w14:textId="77777777" w:rsidR="00D04B2A" w:rsidRDefault="00D04B2A" w:rsidP="00C85ACB">
      <w:pPr>
        <w:pStyle w:val="Heading1"/>
        <w:numPr>
          <w:ilvl w:val="0"/>
          <w:numId w:val="0"/>
        </w:numPr>
        <w:ind w:left="720" w:hanging="720"/>
        <w:rPr>
          <w:sz w:val="21"/>
          <w:szCs w:val="21"/>
          <w:u w:val="single"/>
        </w:rPr>
      </w:pPr>
      <w:bookmarkStart w:id="2" w:name="_heading=h.2edm2gdtlbbt" w:colFirst="0" w:colLast="0"/>
      <w:bookmarkEnd w:id="0"/>
      <w:bookmarkEnd w:id="1"/>
      <w:bookmarkEnd w:id="2"/>
    </w:p>
    <w:p w14:paraId="24660389" w14:textId="7944BE26" w:rsidR="00641FE6" w:rsidRPr="00D04B2A" w:rsidRDefault="00641FE6" w:rsidP="00C85ACB">
      <w:pPr>
        <w:pStyle w:val="Heading1"/>
        <w:numPr>
          <w:ilvl w:val="0"/>
          <w:numId w:val="0"/>
        </w:numPr>
        <w:ind w:left="720" w:hanging="720"/>
        <w:rPr>
          <w:sz w:val="21"/>
          <w:szCs w:val="21"/>
          <w:u w:val="single"/>
        </w:rPr>
      </w:pPr>
      <w:r w:rsidRPr="00D04B2A">
        <w:rPr>
          <w:sz w:val="21"/>
          <w:szCs w:val="21"/>
          <w:u w:val="single"/>
        </w:rPr>
        <w:t>Disclaimers</w:t>
      </w:r>
    </w:p>
    <w:p w14:paraId="78A274DC" w14:textId="77777777" w:rsidR="00641FE6" w:rsidRPr="00D04B2A" w:rsidRDefault="00641FE6" w:rsidP="00641FE6">
      <w:pPr>
        <w:spacing w:before="100" w:beforeAutospacing="1" w:after="100" w:afterAutospacing="1"/>
        <w:jc w:val="both"/>
        <w:rPr>
          <w:rFonts w:asciiTheme="minorHAnsi" w:hAnsiTheme="minorHAnsi"/>
          <w:sz w:val="21"/>
          <w:szCs w:val="21"/>
        </w:rPr>
      </w:pPr>
      <w:r w:rsidRPr="00D04B2A">
        <w:rPr>
          <w:rFonts w:asciiTheme="minorHAnsi" w:hAnsiTheme="minorHAnsi"/>
          <w:sz w:val="21"/>
          <w:szCs w:val="21"/>
        </w:rPr>
        <w:t>By using this template, you acknowledge and agree to the following terms and disclaimers:</w:t>
      </w:r>
    </w:p>
    <w:p w14:paraId="0B6A10D0" w14:textId="50D1C890"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Legal or Professional Advice.</w:t>
      </w:r>
      <w:r w:rsidRPr="00D04B2A">
        <w:rPr>
          <w:rFonts w:asciiTheme="minorHAnsi" w:hAnsiTheme="minorHAnsi"/>
          <w:sz w:val="21"/>
          <w:szCs w:val="21"/>
        </w:rPr>
        <w:t xml:space="preserve"> This document is provided solely for informational and educational purposes and does not constitute legal, financial, tax, accounting, or investment advice.</w:t>
      </w:r>
    </w:p>
    <w:p w14:paraId="7F13BCD2" w14:textId="2349052F"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Confidential and Proprietary.</w:t>
      </w:r>
      <w:r w:rsidRPr="00D04B2A">
        <w:rPr>
          <w:rFonts w:asciiTheme="minorHAnsi" w:hAnsiTheme="minorHAnsi"/>
          <w:sz w:val="21"/>
          <w:szCs w:val="21"/>
        </w:rPr>
        <w:t xml:space="preserve"> This document is confidential and proprietary to SMB Law Group LLP and is intended solely for use by the original recipient. Unauthorized reproduction, distribution, or sharing is strictly prohibited.</w:t>
      </w:r>
    </w:p>
    <w:p w14:paraId="333FCC83" w14:textId="14AD260A"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Intellectual Property.</w:t>
      </w:r>
      <w:r w:rsidRPr="00D04B2A">
        <w:rPr>
          <w:rFonts w:asciiTheme="minorHAnsi" w:hAnsiTheme="minorHAnsi"/>
          <w:sz w:val="21"/>
          <w:szCs w:val="21"/>
        </w:rPr>
        <w:t xml:space="preserve"> SMB Law Group LLP retains all intellectual property rights in and to this document. Use of this document for commercial purposes, or in connection with transactions for third parties, without prior written consent is prohibited.</w:t>
      </w:r>
    </w:p>
    <w:p w14:paraId="319579C2" w14:textId="77590EFE"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Attorney-Client Relationship.</w:t>
      </w:r>
      <w:r w:rsidRPr="00D04B2A">
        <w:rPr>
          <w:rFonts w:asciiTheme="minorHAnsi" w:hAnsiTheme="minorHAnsi"/>
          <w:sz w:val="21"/>
          <w:szCs w:val="21"/>
        </w:rPr>
        <w:t xml:space="preserve"> Use of this template does not create an attorney-client relationship. SMB Law Group LLP is not your lawyer unless and until a written engagement letter has been executed by all parties.</w:t>
      </w:r>
    </w:p>
    <w:p w14:paraId="4E6CDBD8" w14:textId="783F5D33"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No Warranties.</w:t>
      </w:r>
      <w:r w:rsidRPr="00D04B2A">
        <w:rPr>
          <w:rFonts w:asciiTheme="minorHAnsi" w:hAnsiTheme="minorHAnsi"/>
          <w:sz w:val="21"/>
          <w:szCs w:val="21"/>
        </w:rPr>
        <w:t xml:space="preserve"> This document is provided “as is,” without any representations or warranties of any kind, express or implied, including as to accuracy, completeness, or suitability for any particular purpose.</w:t>
      </w:r>
    </w:p>
    <w:p w14:paraId="413ADB8A" w14:textId="1741070F" w:rsidR="00641FE6" w:rsidRPr="00D04B2A" w:rsidRDefault="00641FE6" w:rsidP="00641FE6">
      <w:pPr>
        <w:numPr>
          <w:ilvl w:val="0"/>
          <w:numId w:val="28"/>
        </w:numPr>
        <w:spacing w:before="100" w:beforeAutospacing="1" w:after="120"/>
        <w:jc w:val="both"/>
        <w:rPr>
          <w:rFonts w:asciiTheme="minorHAnsi" w:hAnsiTheme="minorHAnsi"/>
          <w:sz w:val="21"/>
          <w:szCs w:val="21"/>
        </w:rPr>
      </w:pPr>
      <w:r w:rsidRPr="00D04B2A">
        <w:rPr>
          <w:rFonts w:asciiTheme="minorHAnsi" w:hAnsiTheme="minorHAnsi"/>
          <w:b/>
          <w:bCs/>
          <w:sz w:val="21"/>
          <w:szCs w:val="21"/>
        </w:rPr>
        <w:t>Limitation of Liability.</w:t>
      </w:r>
      <w:r w:rsidRPr="00D04B2A">
        <w:rPr>
          <w:rFonts w:asciiTheme="minorHAnsi" w:hAnsiTheme="minorHAnsi"/>
          <w:sz w:val="21"/>
          <w:szCs w:val="21"/>
        </w:rPr>
        <w:t xml:space="preserve"> To the fullest extent permitted by law, SMB Law Group LLP and its attorneys disclaim any liability for losses or damages arising from reliance on or use of this document.</w:t>
      </w:r>
    </w:p>
    <w:p w14:paraId="0A051075" w14:textId="04A217F8" w:rsidR="00641FE6" w:rsidRPr="00641FE6" w:rsidRDefault="006731B4" w:rsidP="00641FE6">
      <w:pPr>
        <w:rPr>
          <w:sz w:val="22"/>
          <w:szCs w:val="22"/>
        </w:rPr>
      </w:pPr>
      <w:r>
        <w:rPr>
          <w:noProof/>
          <w:sz w:val="22"/>
          <w:szCs w:val="22"/>
        </w:rPr>
        <w:pict w14:anchorId="5FB16BCD">
          <v:rect id="_x0000_i1025" alt="" style="width:468pt;height:.05pt;mso-width-percent:0;mso-height-percent:0;mso-width-percent:0;mso-height-percent:0" o:hrstd="t" o:hr="t" fillcolor="#a0a0a0" stroked="f"/>
        </w:pict>
      </w:r>
    </w:p>
    <w:p w14:paraId="0192F702" w14:textId="77777777" w:rsidR="00D04B2A" w:rsidRDefault="00D04B2A">
      <w:pPr>
        <w:rPr>
          <w:sz w:val="22"/>
          <w:szCs w:val="22"/>
        </w:rPr>
        <w:sectPr w:rsidR="00D04B2A" w:rsidSect="002C0AB2">
          <w:headerReference w:type="default" r:id="rId13"/>
          <w:headerReference w:type="first" r:id="rId14"/>
          <w:footerReference w:type="first" r:id="rId15"/>
          <w:pgSz w:w="12240" w:h="15840"/>
          <w:pgMar w:top="1440" w:right="1440" w:bottom="1440" w:left="1440" w:header="720" w:footer="720" w:gutter="0"/>
          <w:pgNumType w:start="0"/>
          <w:cols w:space="720"/>
          <w:titlePg/>
          <w:docGrid w:linePitch="326"/>
        </w:sectPr>
      </w:pPr>
    </w:p>
    <w:p w14:paraId="0000000D" w14:textId="458FAFA3" w:rsidR="000E1858" w:rsidRPr="00641FE6" w:rsidRDefault="0081637B" w:rsidP="000113C9">
      <w:pPr>
        <w:pBdr>
          <w:top w:val="nil"/>
          <w:left w:val="nil"/>
          <w:bottom w:val="nil"/>
          <w:right w:val="nil"/>
          <w:between w:val="nil"/>
        </w:pBdr>
        <w:tabs>
          <w:tab w:val="center" w:pos="4680"/>
        </w:tabs>
        <w:spacing w:before="720"/>
        <w:rPr>
          <w:b/>
          <w:color w:val="000000"/>
          <w:sz w:val="22"/>
          <w:szCs w:val="22"/>
          <w:u w:val="single"/>
        </w:rPr>
      </w:pPr>
      <w:r w:rsidRPr="00641FE6">
        <w:rPr>
          <w:b/>
          <w:color w:val="000000"/>
          <w:sz w:val="22"/>
          <w:szCs w:val="22"/>
          <w:u w:val="single"/>
        </w:rPr>
        <w:lastRenderedPageBreak/>
        <w:t>CONFIDENTIAL</w:t>
      </w:r>
    </w:p>
    <w:p w14:paraId="4A4A5A52" w14:textId="77777777" w:rsidR="00347D3B" w:rsidRDefault="0081637B" w:rsidP="00347D3B">
      <w:pPr>
        <w:keepLines/>
        <w:pBdr>
          <w:top w:val="nil"/>
          <w:left w:val="nil"/>
          <w:bottom w:val="nil"/>
          <w:right w:val="nil"/>
          <w:between w:val="nil"/>
        </w:pBdr>
        <w:tabs>
          <w:tab w:val="right" w:pos="9360"/>
        </w:tabs>
        <w:spacing w:before="720"/>
        <w:jc w:val="both"/>
        <w:rPr>
          <w:color w:val="000000"/>
          <w:sz w:val="22"/>
          <w:szCs w:val="22"/>
          <w:highlight w:val="yellow"/>
        </w:rPr>
      </w:pPr>
      <w:r w:rsidRPr="00641FE6">
        <w:rPr>
          <w:color w:val="000000"/>
          <w:sz w:val="22"/>
          <w:szCs w:val="22"/>
          <w:highlight w:val="yellow"/>
        </w:rPr>
        <w:t>[Date]</w:t>
      </w:r>
    </w:p>
    <w:p w14:paraId="0000000F" w14:textId="10C0AA1A" w:rsidR="000E1858" w:rsidRPr="00641FE6" w:rsidRDefault="0081637B" w:rsidP="00347D3B">
      <w:pPr>
        <w:keepLines/>
        <w:pBdr>
          <w:top w:val="nil"/>
          <w:left w:val="nil"/>
          <w:bottom w:val="nil"/>
          <w:right w:val="nil"/>
          <w:between w:val="nil"/>
        </w:pBdr>
        <w:tabs>
          <w:tab w:val="right" w:pos="9360"/>
        </w:tabs>
        <w:spacing w:before="240"/>
        <w:rPr>
          <w:color w:val="000000"/>
          <w:sz w:val="22"/>
          <w:szCs w:val="22"/>
        </w:rPr>
      </w:pPr>
      <w:r w:rsidRPr="00641FE6">
        <w:rPr>
          <w:color w:val="000000"/>
          <w:sz w:val="22"/>
          <w:szCs w:val="22"/>
          <w:highlight w:val="yellow"/>
        </w:rPr>
        <w:t>[Name of Recipient]</w:t>
      </w:r>
      <w:r w:rsidRPr="00641FE6">
        <w:rPr>
          <w:color w:val="000000"/>
          <w:sz w:val="22"/>
          <w:szCs w:val="22"/>
          <w:highlight w:val="yellow"/>
        </w:rPr>
        <w:br/>
        <w:t>[Seller]</w:t>
      </w:r>
      <w:r w:rsidRPr="00641FE6">
        <w:rPr>
          <w:color w:val="000000"/>
          <w:sz w:val="22"/>
          <w:szCs w:val="22"/>
          <w:highlight w:val="yellow"/>
        </w:rPr>
        <w:br/>
        <w:t>[Address]</w:t>
      </w:r>
    </w:p>
    <w:p w14:paraId="00000010" w14:textId="7452936D" w:rsidR="000E1858" w:rsidRPr="00D04B2A" w:rsidRDefault="0081637B" w:rsidP="00347D3B">
      <w:pPr>
        <w:pBdr>
          <w:top w:val="nil"/>
          <w:left w:val="nil"/>
          <w:bottom w:val="nil"/>
          <w:right w:val="nil"/>
          <w:between w:val="nil"/>
        </w:pBdr>
        <w:spacing w:before="240"/>
        <w:rPr>
          <w:sz w:val="22"/>
          <w:szCs w:val="22"/>
        </w:rPr>
      </w:pPr>
      <w:r w:rsidRPr="00D04B2A">
        <w:rPr>
          <w:sz w:val="22"/>
          <w:szCs w:val="22"/>
        </w:rPr>
        <w:t>Re:</w:t>
      </w:r>
      <w:r w:rsidRPr="00D04B2A">
        <w:rPr>
          <w:sz w:val="22"/>
          <w:szCs w:val="22"/>
        </w:rPr>
        <w:tab/>
      </w:r>
      <w:r w:rsidRPr="00D04B2A">
        <w:rPr>
          <w:sz w:val="22"/>
          <w:szCs w:val="22"/>
          <w:u w:val="single"/>
        </w:rPr>
        <w:t>Letter of Intent</w:t>
      </w:r>
    </w:p>
    <w:p w14:paraId="00000011" w14:textId="4A663A1A" w:rsidR="000E1858" w:rsidRPr="00D04B2A" w:rsidRDefault="0081637B">
      <w:pPr>
        <w:pBdr>
          <w:top w:val="nil"/>
          <w:left w:val="nil"/>
          <w:bottom w:val="nil"/>
          <w:right w:val="nil"/>
          <w:between w:val="nil"/>
        </w:pBdr>
        <w:spacing w:before="240"/>
        <w:rPr>
          <w:sz w:val="22"/>
          <w:szCs w:val="22"/>
        </w:rPr>
      </w:pPr>
      <w:r w:rsidRPr="00D04B2A">
        <w:rPr>
          <w:sz w:val="22"/>
          <w:szCs w:val="22"/>
        </w:rPr>
        <w:t xml:space="preserve">Dear </w:t>
      </w:r>
      <w:r w:rsidR="00F443E4" w:rsidRPr="00D04B2A">
        <w:rPr>
          <w:sz w:val="22"/>
          <w:szCs w:val="22"/>
          <w:highlight w:val="yellow"/>
        </w:rPr>
        <w:t>[Mr./Ms. Name]</w:t>
      </w:r>
      <w:r w:rsidRPr="00D04B2A">
        <w:rPr>
          <w:sz w:val="22"/>
          <w:szCs w:val="22"/>
        </w:rPr>
        <w:t>:</w:t>
      </w:r>
    </w:p>
    <w:p w14:paraId="1017F35A" w14:textId="0A0CA7DB" w:rsidR="0098300E" w:rsidRPr="00D04B2A" w:rsidRDefault="0098300E" w:rsidP="007F3FB9">
      <w:pPr>
        <w:spacing w:before="100" w:beforeAutospacing="1" w:after="100" w:afterAutospacing="1"/>
        <w:jc w:val="both"/>
        <w:rPr>
          <w:sz w:val="22"/>
          <w:szCs w:val="22"/>
        </w:rPr>
      </w:pPr>
      <w:r w:rsidRPr="00347D3B">
        <w:rPr>
          <w:sz w:val="22"/>
          <w:szCs w:val="22"/>
          <w:highlight w:val="yellow"/>
        </w:rPr>
        <w:t>[</w:t>
      </w:r>
      <w:r w:rsidR="00347D3B" w:rsidRPr="00347D3B">
        <w:rPr>
          <w:sz w:val="22"/>
          <w:szCs w:val="22"/>
          <w:highlight w:val="yellow"/>
        </w:rPr>
        <w:t>Optional Opening (Customize or Delete): Add 1–2 sentences that sound like you. Reference something specific about the Business, the Seller, or the process (for example: years in operation, reputation, customer base, location, or how the opportunity came to you). Avoid generic compliments. If you are not going to personalize this, delete this paragraph entirely.</w:t>
      </w:r>
      <w:r w:rsidRPr="00347D3B">
        <w:rPr>
          <w:sz w:val="22"/>
          <w:szCs w:val="22"/>
          <w:highlight w:val="yellow"/>
        </w:rPr>
        <w:t>]</w:t>
      </w:r>
      <w:r w:rsidRPr="009A4FEB">
        <w:rPr>
          <w:rStyle w:val="FootnoteReference"/>
          <w:sz w:val="22"/>
          <w:szCs w:val="22"/>
          <w:highlight w:val="green"/>
        </w:rPr>
        <w:footnoteReference w:id="1"/>
      </w:r>
    </w:p>
    <w:p w14:paraId="3F413301" w14:textId="60FC7BE6" w:rsidR="00347D3B" w:rsidRPr="00347D3B" w:rsidRDefault="00347D3B" w:rsidP="00347D3B">
      <w:pPr>
        <w:spacing w:before="100" w:beforeAutospacing="1" w:after="100" w:afterAutospacing="1"/>
        <w:jc w:val="both"/>
        <w:rPr>
          <w:sz w:val="22"/>
          <w:szCs w:val="22"/>
        </w:rPr>
      </w:pPr>
      <w:r w:rsidRPr="00347D3B">
        <w:rPr>
          <w:sz w:val="22"/>
          <w:szCs w:val="22"/>
        </w:rPr>
        <w:t xml:space="preserve">This letter </w:t>
      </w:r>
      <w:r w:rsidR="00F3372E">
        <w:rPr>
          <w:sz w:val="22"/>
          <w:szCs w:val="22"/>
        </w:rPr>
        <w:t xml:space="preserve">of intent </w:t>
      </w:r>
      <w:r w:rsidRPr="00347D3B">
        <w:rPr>
          <w:sz w:val="22"/>
          <w:szCs w:val="22"/>
        </w:rPr>
        <w:t xml:space="preserve">outlines the principal terms under which </w:t>
      </w:r>
      <w:r w:rsidRPr="00347D3B">
        <w:rPr>
          <w:sz w:val="22"/>
          <w:szCs w:val="22"/>
          <w:highlight w:val="yellow"/>
        </w:rPr>
        <w:t>[Buyer’s Name]</w:t>
      </w:r>
      <w:r w:rsidRPr="009A4FEB">
        <w:rPr>
          <w:rStyle w:val="FootnoteReference"/>
          <w:szCs w:val="22"/>
          <w:highlight w:val="green"/>
        </w:rPr>
        <w:footnoteReference w:id="2"/>
      </w:r>
      <w:r w:rsidRPr="00347D3B">
        <w:rPr>
          <w:sz w:val="22"/>
          <w:szCs w:val="22"/>
        </w:rPr>
        <w:t>, acting directly or through one or more affiliates (the “</w:t>
      </w:r>
      <w:r w:rsidRPr="00347D3B">
        <w:rPr>
          <w:b/>
          <w:bCs/>
          <w:sz w:val="22"/>
          <w:szCs w:val="22"/>
        </w:rPr>
        <w:t>Buyer</w:t>
      </w:r>
      <w:r w:rsidRPr="00347D3B">
        <w:rPr>
          <w:sz w:val="22"/>
          <w:szCs w:val="22"/>
        </w:rPr>
        <w:t xml:space="preserve">”), proposes to acquire </w:t>
      </w:r>
      <w:r w:rsidRPr="00347D3B">
        <w:rPr>
          <w:sz w:val="22"/>
          <w:szCs w:val="22"/>
          <w:highlight w:val="yellow"/>
        </w:rPr>
        <w:t>[Description of Business]</w:t>
      </w:r>
      <w:r w:rsidRPr="00347D3B">
        <w:rPr>
          <w:sz w:val="22"/>
          <w:szCs w:val="22"/>
        </w:rPr>
        <w:t xml:space="preserve"> (the “</w:t>
      </w:r>
      <w:r w:rsidRPr="00347D3B">
        <w:rPr>
          <w:b/>
          <w:bCs/>
          <w:sz w:val="22"/>
          <w:szCs w:val="22"/>
        </w:rPr>
        <w:t>Business</w:t>
      </w:r>
      <w:r w:rsidRPr="00347D3B">
        <w:rPr>
          <w:sz w:val="22"/>
          <w:szCs w:val="22"/>
        </w:rPr>
        <w:t xml:space="preserve">”) from </w:t>
      </w:r>
      <w:r w:rsidRPr="00347D3B">
        <w:rPr>
          <w:sz w:val="22"/>
          <w:szCs w:val="22"/>
          <w:highlight w:val="yellow"/>
        </w:rPr>
        <w:t>[Selling Entity’s Name]</w:t>
      </w:r>
      <w:r w:rsidRPr="00347D3B">
        <w:rPr>
          <w:sz w:val="22"/>
          <w:szCs w:val="22"/>
        </w:rPr>
        <w:t xml:space="preserve">, a </w:t>
      </w:r>
      <w:r w:rsidRPr="00347D3B">
        <w:rPr>
          <w:sz w:val="22"/>
          <w:szCs w:val="22"/>
          <w:highlight w:val="yellow"/>
        </w:rPr>
        <w:t>[State of Formation]</w:t>
      </w:r>
      <w:r w:rsidRPr="00347D3B">
        <w:rPr>
          <w:sz w:val="22"/>
          <w:szCs w:val="22"/>
        </w:rPr>
        <w:t xml:space="preserve"> </w:t>
      </w:r>
      <w:r w:rsidRPr="00347D3B">
        <w:rPr>
          <w:sz w:val="22"/>
          <w:szCs w:val="22"/>
          <w:highlight w:val="yellow"/>
        </w:rPr>
        <w:t>[Entity Type]</w:t>
      </w:r>
      <w:r w:rsidRPr="00347D3B">
        <w:rPr>
          <w:sz w:val="22"/>
          <w:szCs w:val="22"/>
        </w:rPr>
        <w:t xml:space="preserve"> (the “</w:t>
      </w:r>
      <w:r w:rsidRPr="00347D3B">
        <w:rPr>
          <w:b/>
          <w:bCs/>
          <w:sz w:val="22"/>
          <w:szCs w:val="22"/>
        </w:rPr>
        <w:t>Seller</w:t>
      </w:r>
      <w:r w:rsidRPr="00347D3B">
        <w:rPr>
          <w:sz w:val="22"/>
          <w:szCs w:val="22"/>
        </w:rPr>
        <w:t>”), and you, as the owner of the Business (the “</w:t>
      </w:r>
      <w:r w:rsidRPr="00347D3B">
        <w:rPr>
          <w:b/>
          <w:bCs/>
          <w:sz w:val="22"/>
          <w:szCs w:val="22"/>
        </w:rPr>
        <w:t>Owner</w:t>
      </w:r>
      <w:r w:rsidRPr="00347D3B">
        <w:rPr>
          <w:sz w:val="22"/>
          <w:szCs w:val="22"/>
        </w:rPr>
        <w:t>”).</w:t>
      </w:r>
    </w:p>
    <w:p w14:paraId="1EDDC247" w14:textId="2721EDB4" w:rsidR="007F3FB9" w:rsidRPr="00D04B2A" w:rsidRDefault="00347D3B" w:rsidP="0069538E">
      <w:pPr>
        <w:spacing w:before="100" w:beforeAutospacing="1" w:after="100" w:afterAutospacing="1"/>
        <w:jc w:val="both"/>
        <w:rPr>
          <w:sz w:val="22"/>
          <w:szCs w:val="22"/>
        </w:rPr>
      </w:pPr>
      <w:r w:rsidRPr="00347D3B">
        <w:rPr>
          <w:sz w:val="22"/>
          <w:szCs w:val="22"/>
        </w:rPr>
        <w:t>The proposed transaction (the “</w:t>
      </w:r>
      <w:r w:rsidRPr="00347D3B">
        <w:rPr>
          <w:b/>
          <w:bCs/>
          <w:sz w:val="22"/>
          <w:szCs w:val="22"/>
        </w:rPr>
        <w:t>Acquisition</w:t>
      </w:r>
      <w:r w:rsidRPr="00347D3B">
        <w:rPr>
          <w:sz w:val="22"/>
          <w:szCs w:val="22"/>
        </w:rPr>
        <w:t>”) is subject to, among other things, satisfactory completion of financial, legal, operational, and other customary due diligence, confirmation of financing, and the negotiation and execution of mutually acceptable definitive agreements (the “</w:t>
      </w:r>
      <w:r w:rsidRPr="00347D3B">
        <w:rPr>
          <w:b/>
          <w:bCs/>
          <w:sz w:val="22"/>
          <w:szCs w:val="22"/>
        </w:rPr>
        <w:t>Definitive Agreements</w:t>
      </w:r>
      <w:r w:rsidRPr="00347D3B">
        <w:rPr>
          <w:sz w:val="22"/>
          <w:szCs w:val="22"/>
        </w:rPr>
        <w:t>”).</w:t>
      </w:r>
    </w:p>
    <w:p w14:paraId="09C0C527" w14:textId="4DEF3BA8" w:rsidR="007F3FB9" w:rsidRPr="00D04B2A" w:rsidRDefault="00347D3B" w:rsidP="0069538E">
      <w:pPr>
        <w:spacing w:before="100" w:beforeAutospacing="1" w:after="100" w:afterAutospacing="1"/>
        <w:jc w:val="both"/>
        <w:rPr>
          <w:sz w:val="22"/>
          <w:szCs w:val="22"/>
        </w:rPr>
      </w:pPr>
      <w:r w:rsidRPr="00347D3B">
        <w:rPr>
          <w:sz w:val="22"/>
          <w:szCs w:val="22"/>
        </w:rPr>
        <w:t xml:space="preserve">Except as expressly set forth in </w:t>
      </w:r>
      <w:r w:rsidRPr="00347D3B">
        <w:rPr>
          <w:sz w:val="22"/>
          <w:szCs w:val="22"/>
          <w:u w:val="single"/>
        </w:rPr>
        <w:t xml:space="preserve">Section </w:t>
      </w:r>
      <w:r w:rsidR="00410238" w:rsidRPr="00410238">
        <w:rPr>
          <w:sz w:val="22"/>
          <w:szCs w:val="22"/>
          <w:highlight w:val="yellow"/>
          <w:u w:val="single"/>
        </w:rPr>
        <w:t>[</w:t>
      </w:r>
      <w:r w:rsidRPr="00410238">
        <w:rPr>
          <w:sz w:val="22"/>
          <w:szCs w:val="22"/>
          <w:highlight w:val="yellow"/>
          <w:u w:val="single"/>
        </w:rPr>
        <w:t>14</w:t>
      </w:r>
      <w:r w:rsidR="00410238" w:rsidRPr="00410238">
        <w:rPr>
          <w:sz w:val="22"/>
          <w:szCs w:val="22"/>
          <w:highlight w:val="yellow"/>
          <w:u w:val="single"/>
        </w:rPr>
        <w:t>]</w:t>
      </w:r>
      <w:r w:rsidRPr="009A4FEB">
        <w:rPr>
          <w:rStyle w:val="FootnoteReference"/>
          <w:szCs w:val="22"/>
          <w:highlight w:val="green"/>
        </w:rPr>
        <w:footnoteReference w:id="3"/>
      </w:r>
      <w:r w:rsidRPr="009A4FEB">
        <w:rPr>
          <w:sz w:val="22"/>
          <w:szCs w:val="22"/>
        </w:rPr>
        <w:t>,</w:t>
      </w:r>
      <w:r w:rsidRPr="00347D3B">
        <w:rPr>
          <w:sz w:val="22"/>
          <w:szCs w:val="22"/>
        </w:rPr>
        <w:t xml:space="preserve"> this letter is intended solely as a non-binding expression of interest. Assuming timely cooperation and responsiveness by all parties, the Buyer’s objective is to complete due diligence, finalize the Definitive Agreements, and close the Acquisition on or before </w:t>
      </w:r>
      <w:r w:rsidRPr="00347D3B">
        <w:rPr>
          <w:sz w:val="22"/>
          <w:szCs w:val="22"/>
          <w:highlight w:val="yellow"/>
        </w:rPr>
        <w:t xml:space="preserve">[Projected Closing </w:t>
      </w:r>
      <w:proofErr w:type="gramStart"/>
      <w:r w:rsidRPr="00347D3B">
        <w:rPr>
          <w:sz w:val="22"/>
          <w:szCs w:val="22"/>
          <w:highlight w:val="yellow"/>
        </w:rPr>
        <w:t>Date]</w:t>
      </w:r>
      <w:r w:rsidRPr="00347D3B">
        <w:rPr>
          <w:sz w:val="22"/>
          <w:szCs w:val="22"/>
        </w:rPr>
        <w:t>.</w:t>
      </w:r>
      <w:proofErr w:type="gramEnd"/>
    </w:p>
    <w:p w14:paraId="00000013" w14:textId="79AA3B6B" w:rsidR="000E1858" w:rsidRPr="00347D3B" w:rsidRDefault="0081637B">
      <w:pPr>
        <w:pStyle w:val="Heading1"/>
        <w:numPr>
          <w:ilvl w:val="0"/>
          <w:numId w:val="2"/>
        </w:numPr>
        <w:jc w:val="both"/>
        <w:rPr>
          <w:b w:val="0"/>
          <w:bCs w:val="0"/>
          <w:color w:val="auto"/>
          <w:sz w:val="22"/>
          <w:szCs w:val="22"/>
        </w:rPr>
      </w:pPr>
      <w:r w:rsidRPr="00D04B2A">
        <w:rPr>
          <w:color w:val="auto"/>
          <w:sz w:val="22"/>
          <w:szCs w:val="22"/>
          <w:u w:val="single"/>
        </w:rPr>
        <w:t>The Acquisition</w:t>
      </w:r>
      <w:r w:rsidRPr="00D04B2A">
        <w:rPr>
          <w:color w:val="auto"/>
          <w:sz w:val="22"/>
          <w:szCs w:val="22"/>
        </w:rPr>
        <w:t xml:space="preserve">.  </w:t>
      </w:r>
      <w:r w:rsidR="00347D3B" w:rsidRPr="00347D3B">
        <w:rPr>
          <w:b w:val="0"/>
          <w:bCs w:val="0"/>
          <w:color w:val="auto"/>
          <w:sz w:val="22"/>
          <w:szCs w:val="22"/>
        </w:rPr>
        <w:t>At the closing of the Acquisition (the “</w:t>
      </w:r>
      <w:r w:rsidR="00347D3B" w:rsidRPr="00347D3B">
        <w:rPr>
          <w:color w:val="auto"/>
          <w:sz w:val="22"/>
          <w:szCs w:val="22"/>
        </w:rPr>
        <w:t>Closing</w:t>
      </w:r>
      <w:r w:rsidR="00347D3B" w:rsidRPr="00347D3B">
        <w:rPr>
          <w:b w:val="0"/>
          <w:bCs w:val="0"/>
          <w:color w:val="auto"/>
          <w:sz w:val="22"/>
          <w:szCs w:val="22"/>
        </w:rPr>
        <w:t>”), the Buyer will purchase from the Seller, and the Seller will sell to the Buyer, all assets, properties, rights, and goodwill of the Business as a going concern (collectively, the “</w:t>
      </w:r>
      <w:r w:rsidR="00347D3B" w:rsidRPr="00347D3B">
        <w:rPr>
          <w:color w:val="auto"/>
          <w:sz w:val="22"/>
          <w:szCs w:val="22"/>
        </w:rPr>
        <w:t>Purchased Assets</w:t>
      </w:r>
      <w:r w:rsidR="00347D3B" w:rsidRPr="00347D3B">
        <w:rPr>
          <w:b w:val="0"/>
          <w:bCs w:val="0"/>
          <w:color w:val="auto"/>
          <w:sz w:val="22"/>
          <w:szCs w:val="22"/>
        </w:rPr>
        <w:t xml:space="preserve">”), other than assets specifically </w:t>
      </w:r>
      <w:r w:rsidR="00347D3B" w:rsidRPr="00347D3B">
        <w:rPr>
          <w:b w:val="0"/>
          <w:bCs w:val="0"/>
          <w:color w:val="auto"/>
          <w:sz w:val="22"/>
          <w:szCs w:val="22"/>
        </w:rPr>
        <w:lastRenderedPageBreak/>
        <w:t>identified as excluded in the Definitive Agreements.</w:t>
      </w:r>
      <w:r w:rsidR="00347D3B">
        <w:rPr>
          <w:b w:val="0"/>
          <w:bCs w:val="0"/>
          <w:color w:val="auto"/>
          <w:sz w:val="22"/>
          <w:szCs w:val="22"/>
        </w:rPr>
        <w:t xml:space="preserve"> </w:t>
      </w:r>
      <w:r w:rsidR="00347D3B" w:rsidRPr="00347D3B">
        <w:rPr>
          <w:b w:val="0"/>
          <w:bCs w:val="0"/>
          <w:color w:val="auto"/>
          <w:sz w:val="22"/>
          <w:szCs w:val="22"/>
        </w:rPr>
        <w:t>The Acquisition is intended to be structured as an asset purchase on a debt-free, cash-free basis. At the Closing, the Purchased Assets will be transferred free and clear of all liens, security interests, and encumbrances, other than immaterial encumbrances approved by the Buyer or required to remain in place pursuant to financing or applicable law.</w:t>
      </w:r>
      <w:r w:rsidR="00347D3B">
        <w:rPr>
          <w:b w:val="0"/>
          <w:bCs w:val="0"/>
          <w:color w:val="auto"/>
          <w:sz w:val="22"/>
          <w:szCs w:val="22"/>
        </w:rPr>
        <w:t xml:space="preserve"> </w:t>
      </w:r>
      <w:r w:rsidR="00347D3B" w:rsidRPr="00347D3B">
        <w:rPr>
          <w:b w:val="0"/>
          <w:bCs w:val="0"/>
          <w:color w:val="auto"/>
          <w:sz w:val="22"/>
          <w:szCs w:val="22"/>
        </w:rPr>
        <w:t>Except as otherwise expressly set forth in the Definitive Agreements, the Buyer will assume only those operating liabilities of the Business that arise in the ordinary course and relate solely to periods following the Closing.</w:t>
      </w:r>
    </w:p>
    <w:p w14:paraId="00000014" w14:textId="77777777" w:rsidR="000E1858" w:rsidRPr="00D04B2A" w:rsidRDefault="0081637B">
      <w:pPr>
        <w:pStyle w:val="Heading1"/>
        <w:keepNext/>
        <w:numPr>
          <w:ilvl w:val="0"/>
          <w:numId w:val="2"/>
        </w:numPr>
        <w:rPr>
          <w:b w:val="0"/>
          <w:color w:val="auto"/>
          <w:sz w:val="22"/>
          <w:szCs w:val="22"/>
        </w:rPr>
      </w:pPr>
      <w:r w:rsidRPr="00D04B2A">
        <w:rPr>
          <w:color w:val="auto"/>
          <w:sz w:val="22"/>
          <w:szCs w:val="22"/>
          <w:u w:val="single"/>
        </w:rPr>
        <w:t>Purchase Price</w:t>
      </w:r>
      <w:r w:rsidRPr="00D04B2A">
        <w:rPr>
          <w:color w:val="auto"/>
          <w:sz w:val="22"/>
          <w:szCs w:val="22"/>
        </w:rPr>
        <w:t>.</w:t>
      </w:r>
    </w:p>
    <w:p w14:paraId="4392C717" w14:textId="4AC707DE" w:rsidR="000113C9" w:rsidRPr="00FE695E" w:rsidRDefault="00FE695E" w:rsidP="00FE695E">
      <w:pPr>
        <w:pStyle w:val="Heading2"/>
        <w:numPr>
          <w:ilvl w:val="1"/>
          <w:numId w:val="2"/>
        </w:numPr>
        <w:jc w:val="both"/>
        <w:rPr>
          <w:sz w:val="22"/>
          <w:szCs w:val="22"/>
        </w:rPr>
      </w:pPr>
      <w:r w:rsidRPr="00FE695E">
        <w:rPr>
          <w:color w:val="auto"/>
          <w:sz w:val="22"/>
          <w:szCs w:val="22"/>
        </w:rPr>
        <w:t>The purchase price for the Purchased Assets is $</w:t>
      </w:r>
      <w:r w:rsidRPr="00FE695E">
        <w:rPr>
          <w:color w:val="auto"/>
          <w:sz w:val="22"/>
          <w:szCs w:val="22"/>
          <w:highlight w:val="yellow"/>
        </w:rPr>
        <w:t>[Total Purchase Price]</w:t>
      </w:r>
      <w:r w:rsidRPr="00FE695E">
        <w:rPr>
          <w:color w:val="auto"/>
          <w:sz w:val="22"/>
          <w:szCs w:val="22"/>
        </w:rPr>
        <w:t xml:space="preserve"> (the “</w:t>
      </w:r>
      <w:r w:rsidRPr="00FE695E">
        <w:rPr>
          <w:b/>
          <w:bCs w:val="0"/>
          <w:color w:val="auto"/>
          <w:sz w:val="22"/>
          <w:szCs w:val="22"/>
        </w:rPr>
        <w:t>Purchase Price</w:t>
      </w:r>
      <w:r w:rsidRPr="00FE695E">
        <w:rPr>
          <w:color w:val="auto"/>
          <w:sz w:val="22"/>
          <w:szCs w:val="22"/>
        </w:rPr>
        <w:t>”), based on the parties’ current understanding of the Business’s historical and expected financial performance, including normalized earnings of approximately $</w:t>
      </w:r>
      <w:r w:rsidRPr="00FE695E">
        <w:rPr>
          <w:color w:val="auto"/>
          <w:sz w:val="22"/>
          <w:szCs w:val="22"/>
          <w:highlight w:val="yellow"/>
        </w:rPr>
        <w:t>[Earnings Amount]</w:t>
      </w:r>
      <w:r w:rsidRPr="00FE695E">
        <w:rPr>
          <w:color w:val="auto"/>
          <w:sz w:val="22"/>
          <w:szCs w:val="22"/>
        </w:rPr>
        <w:t xml:space="preserve"> for the </w:t>
      </w:r>
      <w:r w:rsidRPr="00FE695E">
        <w:rPr>
          <w:color w:val="auto"/>
          <w:sz w:val="22"/>
          <w:szCs w:val="22"/>
          <w:highlight w:val="yellow"/>
        </w:rPr>
        <w:t>[Applicable Period]</w:t>
      </w:r>
      <w:r w:rsidRPr="00FE695E">
        <w:rPr>
          <w:color w:val="auto"/>
          <w:sz w:val="22"/>
          <w:szCs w:val="22"/>
        </w:rPr>
        <w:t xml:space="preserve">, applying a multiple of approximately </w:t>
      </w:r>
      <w:r w:rsidRPr="00FE695E">
        <w:rPr>
          <w:color w:val="auto"/>
          <w:sz w:val="22"/>
          <w:szCs w:val="22"/>
          <w:highlight w:val="yellow"/>
        </w:rPr>
        <w:t>[Multiple]</w:t>
      </w:r>
      <w:r w:rsidRPr="00FE695E">
        <w:rPr>
          <w:color w:val="auto"/>
          <w:sz w:val="22"/>
          <w:szCs w:val="22"/>
        </w:rPr>
        <w:t xml:space="preserve">x. The Purchase Price reflects </w:t>
      </w:r>
      <w:r w:rsidR="00B16EF2">
        <w:rPr>
          <w:color w:val="auto"/>
          <w:sz w:val="22"/>
          <w:szCs w:val="22"/>
        </w:rPr>
        <w:t xml:space="preserve">preliminary </w:t>
      </w:r>
      <w:r w:rsidRPr="00FE695E">
        <w:rPr>
          <w:color w:val="auto"/>
          <w:sz w:val="22"/>
          <w:szCs w:val="22"/>
        </w:rPr>
        <w:t>financial information provided to date and is intended to be confirmed through customary financial due diligence.</w:t>
      </w:r>
      <w:r w:rsidRPr="009A4FEB">
        <w:rPr>
          <w:rStyle w:val="FootnoteReference"/>
          <w:szCs w:val="22"/>
          <w:highlight w:val="green"/>
        </w:rPr>
        <w:footnoteReference w:id="4"/>
      </w:r>
      <w:r w:rsidR="000113C9" w:rsidRPr="00D04B2A">
        <w:rPr>
          <w:color w:val="auto"/>
          <w:sz w:val="22"/>
          <w:szCs w:val="22"/>
        </w:rPr>
        <w:t xml:space="preserve"> </w:t>
      </w:r>
      <w:r w:rsidRPr="00FE695E">
        <w:rPr>
          <w:sz w:val="22"/>
          <w:szCs w:val="22"/>
        </w:rPr>
        <w:t>The Purchase Price is expected to be paid as follows:</w:t>
      </w:r>
    </w:p>
    <w:p w14:paraId="2ACA0C17" w14:textId="2AE9664E" w:rsidR="000113C9" w:rsidRPr="00D04B2A" w:rsidRDefault="00FE695E" w:rsidP="0069538E">
      <w:pPr>
        <w:pStyle w:val="Heading2"/>
        <w:numPr>
          <w:ilvl w:val="2"/>
          <w:numId w:val="2"/>
        </w:numPr>
        <w:tabs>
          <w:tab w:val="left" w:pos="2160"/>
        </w:tabs>
        <w:jc w:val="both"/>
        <w:rPr>
          <w:color w:val="auto"/>
          <w:sz w:val="22"/>
          <w:szCs w:val="22"/>
        </w:rPr>
      </w:pPr>
      <w:r w:rsidRPr="00FE695E">
        <w:rPr>
          <w:color w:val="auto"/>
          <w:sz w:val="22"/>
          <w:szCs w:val="22"/>
        </w:rPr>
        <w:t>$</w:t>
      </w:r>
      <w:r w:rsidRPr="00FE695E">
        <w:rPr>
          <w:color w:val="auto"/>
          <w:sz w:val="22"/>
          <w:szCs w:val="22"/>
          <w:highlight w:val="yellow"/>
        </w:rPr>
        <w:t>[Cash Amount]</w:t>
      </w:r>
      <w:r w:rsidRPr="00FE695E">
        <w:rPr>
          <w:color w:val="auto"/>
          <w:sz w:val="22"/>
          <w:szCs w:val="22"/>
        </w:rPr>
        <w:t xml:space="preserve"> will be paid in cash at the Closing, subject to adjustments contemplated in this Letter of Intent.</w:t>
      </w:r>
    </w:p>
    <w:p w14:paraId="307F2540" w14:textId="439425C8" w:rsidR="00FE695E" w:rsidRPr="00FE695E" w:rsidRDefault="00FE695E" w:rsidP="00FE695E">
      <w:pPr>
        <w:pStyle w:val="Heading2"/>
        <w:numPr>
          <w:ilvl w:val="2"/>
          <w:numId w:val="2"/>
        </w:numPr>
        <w:tabs>
          <w:tab w:val="left" w:pos="2160"/>
        </w:tabs>
        <w:jc w:val="both"/>
        <w:rPr>
          <w:sz w:val="22"/>
          <w:szCs w:val="22"/>
        </w:rPr>
      </w:pPr>
      <w:r w:rsidRPr="00FE695E">
        <w:rPr>
          <w:color w:val="auto"/>
          <w:sz w:val="22"/>
          <w:szCs w:val="22"/>
          <w:highlight w:val="yellow"/>
        </w:rPr>
        <w:t>[</w:t>
      </w:r>
      <w:r w:rsidRPr="00FE695E">
        <w:rPr>
          <w:color w:val="auto"/>
          <w:sz w:val="22"/>
          <w:szCs w:val="22"/>
        </w:rPr>
        <w:t>$</w:t>
      </w:r>
      <w:r w:rsidRPr="00FE695E">
        <w:rPr>
          <w:color w:val="auto"/>
          <w:sz w:val="22"/>
          <w:szCs w:val="22"/>
          <w:highlight w:val="yellow"/>
        </w:rPr>
        <w:t>[Seller Note Amount]</w:t>
      </w:r>
      <w:r w:rsidRPr="00FE695E">
        <w:rPr>
          <w:color w:val="auto"/>
          <w:sz w:val="22"/>
          <w:szCs w:val="22"/>
        </w:rPr>
        <w:t xml:space="preserve"> will be paid pursuant to a promissory note issued by the Buyer in favor of the Seller (the “</w:t>
      </w:r>
      <w:r w:rsidRPr="00FE695E">
        <w:rPr>
          <w:b/>
          <w:bCs w:val="0"/>
          <w:color w:val="auto"/>
          <w:sz w:val="22"/>
          <w:szCs w:val="22"/>
        </w:rPr>
        <w:t>Promissory Note</w:t>
      </w:r>
      <w:r w:rsidRPr="00FE695E">
        <w:rPr>
          <w:color w:val="auto"/>
          <w:sz w:val="22"/>
          <w:szCs w:val="22"/>
        </w:rPr>
        <w:t xml:space="preserve">”). The Promissory Note is expected to have the following principal terms: amortization over </w:t>
      </w:r>
      <w:r w:rsidRPr="00FE695E">
        <w:rPr>
          <w:color w:val="auto"/>
          <w:sz w:val="22"/>
          <w:szCs w:val="22"/>
          <w:highlight w:val="yellow"/>
        </w:rPr>
        <w:t>[Number]</w:t>
      </w:r>
      <w:r w:rsidRPr="00FE695E">
        <w:rPr>
          <w:color w:val="auto"/>
          <w:sz w:val="22"/>
          <w:szCs w:val="22"/>
        </w:rPr>
        <w:t xml:space="preserve"> years, maturity </w:t>
      </w:r>
      <w:r w:rsidRPr="00FE695E">
        <w:rPr>
          <w:color w:val="auto"/>
          <w:sz w:val="22"/>
          <w:szCs w:val="22"/>
          <w:highlight w:val="yellow"/>
        </w:rPr>
        <w:t>[Number]</w:t>
      </w:r>
      <w:r w:rsidRPr="00FE695E">
        <w:rPr>
          <w:color w:val="auto"/>
          <w:sz w:val="22"/>
          <w:szCs w:val="22"/>
        </w:rPr>
        <w:t xml:space="preserve"> years following the Closing, and interest at a rate of </w:t>
      </w:r>
      <w:r w:rsidRPr="00FE695E">
        <w:rPr>
          <w:color w:val="auto"/>
          <w:sz w:val="22"/>
          <w:szCs w:val="22"/>
          <w:highlight w:val="yellow"/>
        </w:rPr>
        <w:t>[Percent]</w:t>
      </w:r>
      <w:r w:rsidRPr="00FE695E">
        <w:rPr>
          <w:color w:val="auto"/>
          <w:sz w:val="22"/>
          <w:szCs w:val="22"/>
        </w:rPr>
        <w:t>% per annum.</w:t>
      </w:r>
      <w:r>
        <w:rPr>
          <w:color w:val="auto"/>
          <w:sz w:val="22"/>
          <w:szCs w:val="22"/>
        </w:rPr>
        <w:t xml:space="preserve"> </w:t>
      </w:r>
      <w:r w:rsidRPr="00FE695E">
        <w:rPr>
          <w:color w:val="auto"/>
          <w:sz w:val="22"/>
          <w:szCs w:val="22"/>
          <w:highlight w:val="yellow"/>
        </w:rPr>
        <w:t>[</w:t>
      </w:r>
      <w:r w:rsidRPr="00FE695E">
        <w:rPr>
          <w:color w:val="auto"/>
          <w:sz w:val="22"/>
          <w:szCs w:val="22"/>
        </w:rPr>
        <w:t xml:space="preserve">No payments of principal or interest shall be required for the first </w:t>
      </w:r>
      <w:r w:rsidRPr="00FE695E">
        <w:rPr>
          <w:color w:val="auto"/>
          <w:sz w:val="22"/>
          <w:szCs w:val="22"/>
          <w:highlight w:val="yellow"/>
        </w:rPr>
        <w:t>[Number]</w:t>
      </w:r>
      <w:r w:rsidRPr="00FE695E">
        <w:rPr>
          <w:color w:val="auto"/>
          <w:sz w:val="22"/>
          <w:szCs w:val="22"/>
        </w:rPr>
        <w:t xml:space="preserve"> years following the Closing.</w:t>
      </w:r>
      <w:r w:rsidRPr="00FE695E">
        <w:rPr>
          <w:color w:val="auto"/>
          <w:sz w:val="22"/>
          <w:szCs w:val="22"/>
          <w:highlight w:val="yellow"/>
        </w:rPr>
        <w:t>]</w:t>
      </w:r>
      <w:r w:rsidRPr="00FE695E">
        <w:rPr>
          <w:color w:val="auto"/>
          <w:sz w:val="22"/>
          <w:szCs w:val="22"/>
        </w:rPr>
        <w:t xml:space="preserve"> </w:t>
      </w:r>
      <w:r w:rsidRPr="00FE695E">
        <w:rPr>
          <w:color w:val="auto"/>
          <w:sz w:val="22"/>
          <w:szCs w:val="22"/>
          <w:highlight w:val="yellow"/>
        </w:rPr>
        <w:t>/</w:t>
      </w:r>
      <w:r w:rsidRPr="00FE695E">
        <w:rPr>
          <w:color w:val="auto"/>
          <w:sz w:val="22"/>
          <w:szCs w:val="22"/>
        </w:rPr>
        <w:br/>
      </w:r>
      <w:r w:rsidRPr="00FE695E">
        <w:rPr>
          <w:color w:val="auto"/>
          <w:sz w:val="22"/>
          <w:szCs w:val="22"/>
          <w:highlight w:val="yellow"/>
        </w:rPr>
        <w:t>[</w:t>
      </w:r>
      <w:r w:rsidRPr="00FE695E">
        <w:rPr>
          <w:color w:val="auto"/>
          <w:sz w:val="22"/>
          <w:szCs w:val="22"/>
        </w:rPr>
        <w:t>Interest-only payments of $</w:t>
      </w:r>
      <w:r w:rsidRPr="00FE695E">
        <w:rPr>
          <w:color w:val="auto"/>
          <w:sz w:val="22"/>
          <w:szCs w:val="22"/>
          <w:highlight w:val="yellow"/>
        </w:rPr>
        <w:t>[Payment Amount]</w:t>
      </w:r>
      <w:r w:rsidRPr="00FE695E">
        <w:rPr>
          <w:color w:val="auto"/>
          <w:sz w:val="22"/>
          <w:szCs w:val="22"/>
        </w:rPr>
        <w:t xml:space="preserve"> shall be made </w:t>
      </w:r>
      <w:r w:rsidRPr="00FE695E">
        <w:rPr>
          <w:color w:val="auto"/>
          <w:sz w:val="22"/>
          <w:szCs w:val="22"/>
          <w:highlight w:val="yellow"/>
        </w:rPr>
        <w:t>[monthly/quarterly/annually]</w:t>
      </w:r>
      <w:r w:rsidRPr="00FE695E">
        <w:rPr>
          <w:color w:val="auto"/>
          <w:sz w:val="22"/>
          <w:szCs w:val="22"/>
        </w:rPr>
        <w:t xml:space="preserve"> for the first </w:t>
      </w:r>
      <w:r w:rsidRPr="00FE695E">
        <w:rPr>
          <w:color w:val="auto"/>
          <w:sz w:val="22"/>
          <w:szCs w:val="22"/>
          <w:highlight w:val="yellow"/>
        </w:rPr>
        <w:t>[Number]</w:t>
      </w:r>
      <w:r w:rsidRPr="00FE695E">
        <w:rPr>
          <w:color w:val="auto"/>
          <w:sz w:val="22"/>
          <w:szCs w:val="22"/>
        </w:rPr>
        <w:t xml:space="preserve"> years following the Closing, after which principal and interest payments of $</w:t>
      </w:r>
      <w:r w:rsidRPr="00FE695E">
        <w:rPr>
          <w:color w:val="auto"/>
          <w:sz w:val="22"/>
          <w:szCs w:val="22"/>
          <w:highlight w:val="yellow"/>
        </w:rPr>
        <w:t>[Payment Amount]</w:t>
      </w:r>
      <w:r w:rsidRPr="00FE695E">
        <w:rPr>
          <w:color w:val="auto"/>
          <w:sz w:val="22"/>
          <w:szCs w:val="22"/>
        </w:rPr>
        <w:t xml:space="preserve"> shall be made [</w:t>
      </w:r>
      <w:r w:rsidRPr="00FE695E">
        <w:rPr>
          <w:color w:val="auto"/>
          <w:sz w:val="22"/>
          <w:szCs w:val="22"/>
          <w:highlight w:val="yellow"/>
        </w:rPr>
        <w:t>monthly/quarterly/annually]</w:t>
      </w:r>
      <w:r w:rsidRPr="00FE695E">
        <w:rPr>
          <w:color w:val="auto"/>
          <w:sz w:val="22"/>
          <w:szCs w:val="22"/>
        </w:rPr>
        <w:t>.</w:t>
      </w:r>
      <w:r w:rsidRPr="00FE695E">
        <w:rPr>
          <w:color w:val="auto"/>
          <w:sz w:val="22"/>
          <w:szCs w:val="22"/>
          <w:highlight w:val="yellow"/>
        </w:rPr>
        <w:t>]</w:t>
      </w:r>
      <w:r>
        <w:rPr>
          <w:color w:val="auto"/>
          <w:sz w:val="22"/>
          <w:szCs w:val="22"/>
        </w:rPr>
        <w:t xml:space="preserve"> </w:t>
      </w:r>
      <w:r w:rsidRPr="00FE695E">
        <w:rPr>
          <w:sz w:val="22"/>
          <w:szCs w:val="22"/>
        </w:rPr>
        <w:t>The Promissory Note shall be subordinated to the Buyer’s senior acquisition financing (if applicable) and secured solely by the Purchased Assets. No personal guarantee, confession of judgment, or additional credit support shall be required.</w:t>
      </w:r>
      <w:r w:rsidRPr="00FE695E">
        <w:rPr>
          <w:sz w:val="22"/>
          <w:szCs w:val="22"/>
          <w:highlight w:val="yellow"/>
        </w:rPr>
        <w:t>]</w:t>
      </w:r>
      <w:r w:rsidRPr="009A4FEB">
        <w:rPr>
          <w:rStyle w:val="FootnoteReference"/>
          <w:szCs w:val="22"/>
          <w:highlight w:val="green"/>
        </w:rPr>
        <w:footnoteReference w:id="5"/>
      </w:r>
      <w:r>
        <w:rPr>
          <w:sz w:val="22"/>
          <w:szCs w:val="22"/>
          <w:vertAlign w:val="superscript"/>
        </w:rPr>
        <w:t>,</w:t>
      </w:r>
      <w:r w:rsidRPr="009A4FEB">
        <w:rPr>
          <w:rStyle w:val="FootnoteReference"/>
          <w:szCs w:val="22"/>
          <w:highlight w:val="green"/>
        </w:rPr>
        <w:footnoteReference w:id="6"/>
      </w:r>
    </w:p>
    <w:p w14:paraId="0C95B1DD" w14:textId="0C24AF4A" w:rsidR="00FE695E" w:rsidRDefault="00FE695E" w:rsidP="009739D5">
      <w:pPr>
        <w:pStyle w:val="Heading2"/>
        <w:numPr>
          <w:ilvl w:val="2"/>
          <w:numId w:val="2"/>
        </w:numPr>
        <w:tabs>
          <w:tab w:val="left" w:pos="2160"/>
        </w:tabs>
        <w:jc w:val="both"/>
        <w:rPr>
          <w:color w:val="auto"/>
          <w:sz w:val="22"/>
          <w:szCs w:val="22"/>
        </w:rPr>
      </w:pPr>
      <w:r w:rsidRPr="00FE695E">
        <w:rPr>
          <w:color w:val="auto"/>
          <w:sz w:val="22"/>
          <w:szCs w:val="22"/>
          <w:highlight w:val="yellow"/>
        </w:rPr>
        <w:t>[[Up to]</w:t>
      </w:r>
      <w:r w:rsidRPr="00FE695E">
        <w:rPr>
          <w:color w:val="auto"/>
          <w:sz w:val="22"/>
          <w:szCs w:val="22"/>
        </w:rPr>
        <w:t xml:space="preserve"> $</w:t>
      </w:r>
      <w:r w:rsidRPr="00FE695E">
        <w:rPr>
          <w:color w:val="auto"/>
          <w:sz w:val="22"/>
          <w:szCs w:val="22"/>
          <w:highlight w:val="yellow"/>
        </w:rPr>
        <w:t>[Earnout Amount]</w:t>
      </w:r>
      <w:r w:rsidRPr="00FE695E">
        <w:rPr>
          <w:color w:val="auto"/>
          <w:sz w:val="22"/>
          <w:szCs w:val="22"/>
        </w:rPr>
        <w:t xml:space="preserve"> of the Purchase Price may be payable as contingent consideration based on agreed performance metrics of the Business following the Closing, as set forth in the Definitive Agreements.</w:t>
      </w:r>
      <w:r w:rsidRPr="00FE695E">
        <w:rPr>
          <w:color w:val="auto"/>
          <w:sz w:val="22"/>
          <w:szCs w:val="22"/>
          <w:highlight w:val="yellow"/>
        </w:rPr>
        <w:t>]</w:t>
      </w:r>
      <w:r w:rsidRPr="009A4FEB">
        <w:rPr>
          <w:rStyle w:val="FootnoteReference"/>
          <w:szCs w:val="22"/>
          <w:highlight w:val="green"/>
        </w:rPr>
        <w:footnoteReference w:id="7"/>
      </w:r>
    </w:p>
    <w:p w14:paraId="26ACB143" w14:textId="34C9976C" w:rsidR="009739D5" w:rsidRPr="00D04B2A" w:rsidRDefault="00FE695E" w:rsidP="009739D5">
      <w:pPr>
        <w:pStyle w:val="Heading2"/>
        <w:numPr>
          <w:ilvl w:val="2"/>
          <w:numId w:val="2"/>
        </w:numPr>
        <w:tabs>
          <w:tab w:val="left" w:pos="2160"/>
        </w:tabs>
        <w:jc w:val="both"/>
        <w:rPr>
          <w:color w:val="auto"/>
          <w:sz w:val="22"/>
          <w:szCs w:val="22"/>
        </w:rPr>
      </w:pPr>
      <w:r w:rsidRPr="00FE695E">
        <w:rPr>
          <w:color w:val="auto"/>
          <w:sz w:val="22"/>
          <w:szCs w:val="22"/>
          <w:highlight w:val="yellow"/>
        </w:rPr>
        <w:t>[</w:t>
      </w:r>
      <w:r w:rsidRPr="00FE695E">
        <w:rPr>
          <w:color w:val="auto"/>
          <w:sz w:val="22"/>
          <w:szCs w:val="22"/>
        </w:rPr>
        <w:t>$</w:t>
      </w:r>
      <w:r w:rsidRPr="00FE695E">
        <w:rPr>
          <w:color w:val="auto"/>
          <w:sz w:val="22"/>
          <w:szCs w:val="22"/>
          <w:highlight w:val="yellow"/>
        </w:rPr>
        <w:t>[Equity Rollover Amount]</w:t>
      </w:r>
      <w:r w:rsidRPr="00FE695E">
        <w:rPr>
          <w:color w:val="auto"/>
          <w:sz w:val="22"/>
          <w:szCs w:val="22"/>
        </w:rPr>
        <w:t xml:space="preserve"> of the Purchase Price may be satisfied through the issuance of equity interests in </w:t>
      </w:r>
      <w:r w:rsidRPr="00FE695E">
        <w:rPr>
          <w:color w:val="auto"/>
          <w:sz w:val="22"/>
          <w:szCs w:val="22"/>
          <w:highlight w:val="yellow"/>
        </w:rPr>
        <w:t>[Buyer Entity / Buyer HoldCo]</w:t>
      </w:r>
      <w:r w:rsidRPr="00FE695E">
        <w:rPr>
          <w:color w:val="auto"/>
          <w:sz w:val="22"/>
          <w:szCs w:val="22"/>
        </w:rPr>
        <w:t>, on terms to be set forth in the Definitive Agreements. The form, rights, preferences, and restrictions applicable to such equity interests shall be set forth in customary organizational and investor documents to be agreed upon by the parties.</w:t>
      </w:r>
      <w:r>
        <w:rPr>
          <w:color w:val="auto"/>
          <w:sz w:val="22"/>
          <w:szCs w:val="22"/>
        </w:rPr>
        <w:t xml:space="preserve"> </w:t>
      </w:r>
      <w:r w:rsidRPr="00FE695E">
        <w:rPr>
          <w:color w:val="auto"/>
          <w:sz w:val="22"/>
          <w:szCs w:val="22"/>
        </w:rPr>
        <w:t xml:space="preserve">The Buyer and the Seller shall cooperate in good faith to structure the equity rollover in a tax-efficient manner </w:t>
      </w:r>
      <w:r w:rsidRPr="00FE695E">
        <w:rPr>
          <w:color w:val="auto"/>
          <w:sz w:val="22"/>
          <w:szCs w:val="22"/>
        </w:rPr>
        <w:lastRenderedPageBreak/>
        <w:t>under applicable federal tax law, to the extent practicable and consistent with the overall transaction structure.</w:t>
      </w:r>
      <w:r w:rsidRPr="00FE695E">
        <w:rPr>
          <w:color w:val="auto"/>
          <w:sz w:val="22"/>
          <w:szCs w:val="22"/>
          <w:highlight w:val="yellow"/>
        </w:rPr>
        <w:t>]</w:t>
      </w:r>
      <w:r w:rsidRPr="009A4FEB">
        <w:rPr>
          <w:rStyle w:val="FootnoteReference"/>
          <w:szCs w:val="22"/>
          <w:highlight w:val="green"/>
        </w:rPr>
        <w:footnoteReference w:id="8"/>
      </w:r>
    </w:p>
    <w:p w14:paraId="00000016" w14:textId="0D0A4C21" w:rsidR="000E1858" w:rsidRPr="00FE695E" w:rsidRDefault="006D0CB0" w:rsidP="006D0CB0">
      <w:pPr>
        <w:pStyle w:val="Heading1"/>
        <w:numPr>
          <w:ilvl w:val="0"/>
          <w:numId w:val="2"/>
        </w:numPr>
        <w:jc w:val="both"/>
        <w:rPr>
          <w:b w:val="0"/>
          <w:bCs w:val="0"/>
          <w:color w:val="auto"/>
          <w:sz w:val="22"/>
          <w:szCs w:val="22"/>
        </w:rPr>
      </w:pPr>
      <w:r w:rsidRPr="00D04B2A">
        <w:rPr>
          <w:bCs w:val="0"/>
          <w:color w:val="auto"/>
          <w:sz w:val="22"/>
          <w:szCs w:val="22"/>
          <w:u w:val="single"/>
        </w:rPr>
        <w:t>Working Capital</w:t>
      </w:r>
      <w:r w:rsidRPr="00D04B2A">
        <w:rPr>
          <w:bCs w:val="0"/>
          <w:color w:val="auto"/>
          <w:sz w:val="22"/>
          <w:szCs w:val="22"/>
        </w:rPr>
        <w:t>.</w:t>
      </w:r>
      <w:r w:rsidR="00EA2F84" w:rsidRPr="009A4FEB">
        <w:rPr>
          <w:rStyle w:val="FootnoteReference"/>
          <w:b w:val="0"/>
          <w:sz w:val="22"/>
          <w:szCs w:val="22"/>
          <w:highlight w:val="green"/>
        </w:rPr>
        <w:footnoteReference w:id="9"/>
      </w:r>
      <w:r w:rsidRPr="00A954FA">
        <w:rPr>
          <w:b w:val="0"/>
          <w:color w:val="auto"/>
          <w:sz w:val="22"/>
          <w:szCs w:val="22"/>
        </w:rPr>
        <w:t xml:space="preserve"> </w:t>
      </w:r>
      <w:r w:rsidRPr="00D04B2A">
        <w:rPr>
          <w:bCs w:val="0"/>
          <w:color w:val="auto"/>
          <w:sz w:val="22"/>
          <w:szCs w:val="22"/>
        </w:rPr>
        <w:t xml:space="preserve"> </w:t>
      </w:r>
      <w:r w:rsidR="00A954FA" w:rsidRPr="00A954FA">
        <w:rPr>
          <w:b w:val="0"/>
          <w:bCs w:val="0"/>
          <w:color w:val="auto"/>
          <w:sz w:val="22"/>
          <w:szCs w:val="22"/>
        </w:rPr>
        <w:t>At the Closing, the Business shall be delivered with a normalized level of working capital sufficient to operate the Business in the ordinary course consistent with historical practice (the “</w:t>
      </w:r>
      <w:r w:rsidR="00A954FA" w:rsidRPr="00A954FA">
        <w:rPr>
          <w:color w:val="auto"/>
          <w:sz w:val="22"/>
          <w:szCs w:val="22"/>
        </w:rPr>
        <w:t>Target Working Capital</w:t>
      </w:r>
      <w:r w:rsidR="00A954FA" w:rsidRPr="00A954FA">
        <w:rPr>
          <w:b w:val="0"/>
          <w:bCs w:val="0"/>
          <w:color w:val="auto"/>
          <w:sz w:val="22"/>
          <w:szCs w:val="22"/>
        </w:rPr>
        <w:t>”). The Target Working Capital is intended to ensure that the Buyer receives the Business with the day-to-day operating resources necessary to continue operations without interruption.</w:t>
      </w:r>
      <w:r w:rsidR="00A954FA">
        <w:rPr>
          <w:b w:val="0"/>
          <w:bCs w:val="0"/>
          <w:color w:val="auto"/>
          <w:sz w:val="22"/>
          <w:szCs w:val="22"/>
        </w:rPr>
        <w:t xml:space="preserve"> </w:t>
      </w:r>
      <w:r w:rsidR="00A954FA" w:rsidRPr="00A954FA">
        <w:rPr>
          <w:b w:val="0"/>
          <w:bCs w:val="0"/>
          <w:color w:val="auto"/>
          <w:sz w:val="22"/>
          <w:szCs w:val="22"/>
        </w:rPr>
        <w:t>The Target Working Capital will be determined based on the Business’s historical working capital levels, adjusted for seasonality and other agreed normalization items, following completion of financial due diligence. For purposes of this Letter of Intent, “</w:t>
      </w:r>
      <w:r w:rsidR="00A954FA" w:rsidRPr="00A954FA">
        <w:rPr>
          <w:color w:val="auto"/>
          <w:sz w:val="22"/>
          <w:szCs w:val="22"/>
        </w:rPr>
        <w:t>Working Capital</w:t>
      </w:r>
      <w:r w:rsidR="00A954FA" w:rsidRPr="00A954FA">
        <w:rPr>
          <w:b w:val="0"/>
          <w:bCs w:val="0"/>
          <w:color w:val="auto"/>
          <w:sz w:val="22"/>
          <w:szCs w:val="22"/>
        </w:rPr>
        <w:t>” means (i) current assets of the Business (including accounts receivable, inventory, prepaid expenses, and other customary current assets, excluding cash), minus (ii) current liabilities of the Business (including accounts payable, accrued expenses, deferred revenue, and other customary current liabilities).</w:t>
      </w:r>
      <w:r w:rsidR="00A954FA" w:rsidRPr="009A4FEB">
        <w:rPr>
          <w:rStyle w:val="FootnoteReference"/>
          <w:b w:val="0"/>
          <w:bCs w:val="0"/>
          <w:szCs w:val="22"/>
          <w:highlight w:val="green"/>
        </w:rPr>
        <w:footnoteReference w:id="10"/>
      </w:r>
    </w:p>
    <w:p w14:paraId="17A463A4" w14:textId="4D89E212" w:rsidR="006D0CB0" w:rsidRPr="00FE695E" w:rsidRDefault="00A954FA" w:rsidP="006D0CB0">
      <w:pPr>
        <w:pStyle w:val="Heading1"/>
        <w:numPr>
          <w:ilvl w:val="1"/>
          <w:numId w:val="2"/>
        </w:numPr>
        <w:jc w:val="both"/>
        <w:rPr>
          <w:b w:val="0"/>
          <w:bCs w:val="0"/>
          <w:color w:val="auto"/>
          <w:sz w:val="22"/>
          <w:szCs w:val="22"/>
        </w:rPr>
      </w:pPr>
      <w:r w:rsidRPr="00A954FA">
        <w:rPr>
          <w:b w:val="0"/>
          <w:bCs w:val="0"/>
          <w:color w:val="auto"/>
          <w:sz w:val="22"/>
          <w:szCs w:val="22"/>
        </w:rPr>
        <w:t>An estimate of Working Capital as of the Closing Date (the “</w:t>
      </w:r>
      <w:r w:rsidRPr="00A954FA">
        <w:rPr>
          <w:color w:val="auto"/>
          <w:sz w:val="22"/>
          <w:szCs w:val="22"/>
        </w:rPr>
        <w:t>Estimated Working Capital</w:t>
      </w:r>
      <w:r w:rsidRPr="00A954FA">
        <w:rPr>
          <w:b w:val="0"/>
          <w:bCs w:val="0"/>
          <w:color w:val="auto"/>
          <w:sz w:val="22"/>
          <w:szCs w:val="22"/>
        </w:rPr>
        <w:t xml:space="preserve">”) shall be prepared and delivered no later than </w:t>
      </w:r>
      <w:r w:rsidRPr="00A954FA">
        <w:rPr>
          <w:b w:val="0"/>
          <w:bCs w:val="0"/>
          <w:color w:val="auto"/>
          <w:sz w:val="22"/>
          <w:szCs w:val="22"/>
          <w:highlight w:val="yellow"/>
        </w:rPr>
        <w:t>[three (3)]</w:t>
      </w:r>
      <w:r w:rsidRPr="00A954FA">
        <w:rPr>
          <w:b w:val="0"/>
          <w:bCs w:val="0"/>
          <w:color w:val="auto"/>
          <w:sz w:val="22"/>
          <w:szCs w:val="22"/>
        </w:rPr>
        <w:t xml:space="preserve"> days prior to the Closing. The cash portion of the Purchase Price payable at Closing shall be adjusted upward or downward to reflect any difference between the Estimated Working Capital and the agreed Target Working Capital.</w:t>
      </w:r>
      <w:r w:rsidRPr="009A4FEB">
        <w:rPr>
          <w:rStyle w:val="FootnoteReference"/>
          <w:b w:val="0"/>
          <w:bCs w:val="0"/>
          <w:szCs w:val="22"/>
          <w:highlight w:val="green"/>
        </w:rPr>
        <w:footnoteReference w:id="11"/>
      </w:r>
      <w:r w:rsidR="00EA2F84" w:rsidRPr="00FE695E">
        <w:rPr>
          <w:b w:val="0"/>
          <w:bCs w:val="0"/>
          <w:color w:val="auto"/>
          <w:sz w:val="22"/>
          <w:szCs w:val="22"/>
        </w:rPr>
        <w:t xml:space="preserve"> </w:t>
      </w:r>
    </w:p>
    <w:p w14:paraId="2E20376D" w14:textId="59D3441C" w:rsidR="00EA2F84" w:rsidRPr="00FE695E" w:rsidRDefault="00A954FA" w:rsidP="0069538E">
      <w:pPr>
        <w:pStyle w:val="Heading1"/>
        <w:numPr>
          <w:ilvl w:val="1"/>
          <w:numId w:val="2"/>
        </w:numPr>
        <w:jc w:val="both"/>
        <w:rPr>
          <w:b w:val="0"/>
          <w:bCs w:val="0"/>
          <w:color w:val="auto"/>
          <w:sz w:val="22"/>
          <w:szCs w:val="22"/>
        </w:rPr>
      </w:pPr>
      <w:r w:rsidRPr="00A954FA">
        <w:rPr>
          <w:b w:val="0"/>
          <w:bCs w:val="0"/>
          <w:color w:val="auto"/>
          <w:sz w:val="22"/>
          <w:szCs w:val="22"/>
        </w:rPr>
        <w:t xml:space="preserve">Within </w:t>
      </w:r>
      <w:r w:rsidRPr="00A954FA">
        <w:rPr>
          <w:b w:val="0"/>
          <w:bCs w:val="0"/>
          <w:color w:val="auto"/>
          <w:sz w:val="22"/>
          <w:szCs w:val="22"/>
          <w:highlight w:val="yellow"/>
        </w:rPr>
        <w:t>[ninety (90)]</w:t>
      </w:r>
      <w:r w:rsidRPr="00A954FA">
        <w:rPr>
          <w:b w:val="0"/>
          <w:bCs w:val="0"/>
          <w:color w:val="auto"/>
          <w:sz w:val="22"/>
          <w:szCs w:val="22"/>
        </w:rPr>
        <w:t xml:space="preserve"> days following the Closing, the actual working capital of the Business as of the Closing Date (the “</w:t>
      </w:r>
      <w:r w:rsidRPr="00A954FA">
        <w:rPr>
          <w:color w:val="auto"/>
          <w:sz w:val="22"/>
          <w:szCs w:val="22"/>
        </w:rPr>
        <w:t>Final Working Capital</w:t>
      </w:r>
      <w:r w:rsidRPr="00A954FA">
        <w:rPr>
          <w:b w:val="0"/>
          <w:bCs w:val="0"/>
          <w:color w:val="auto"/>
          <w:sz w:val="22"/>
          <w:szCs w:val="22"/>
        </w:rPr>
        <w:t>”) shall be determined based on a final reconciliation of the Business’s financial statements as of the Closing. The Estimated Working Capital shall be compared to the Final Working Capital.</w:t>
      </w:r>
      <w:r>
        <w:rPr>
          <w:b w:val="0"/>
          <w:bCs w:val="0"/>
          <w:color w:val="auto"/>
          <w:sz w:val="22"/>
          <w:szCs w:val="22"/>
        </w:rPr>
        <w:t xml:space="preserve"> </w:t>
      </w:r>
      <w:r w:rsidRPr="00A954FA">
        <w:rPr>
          <w:b w:val="0"/>
          <w:bCs w:val="0"/>
          <w:color w:val="auto"/>
          <w:sz w:val="22"/>
          <w:szCs w:val="22"/>
        </w:rPr>
        <w:t xml:space="preserve">If the Final Working Capital is less than the Estimated Working Capital, the resulting shortfall shall be </w:t>
      </w:r>
      <w:r w:rsidRPr="00A954FA">
        <w:rPr>
          <w:b w:val="0"/>
          <w:bCs w:val="0"/>
          <w:color w:val="auto"/>
          <w:sz w:val="22"/>
          <w:szCs w:val="22"/>
          <w:highlight w:val="yellow"/>
        </w:rPr>
        <w:t>[paid by the Seller or Owner in cash]</w:t>
      </w:r>
      <w:r w:rsidRPr="00A954FA">
        <w:rPr>
          <w:b w:val="0"/>
          <w:bCs w:val="0"/>
          <w:color w:val="auto"/>
          <w:sz w:val="22"/>
          <w:szCs w:val="22"/>
        </w:rPr>
        <w:t xml:space="preserve"> / </w:t>
      </w:r>
      <w:r w:rsidRPr="00A954FA">
        <w:rPr>
          <w:b w:val="0"/>
          <w:bCs w:val="0"/>
          <w:color w:val="auto"/>
          <w:sz w:val="22"/>
          <w:szCs w:val="22"/>
          <w:highlight w:val="yellow"/>
        </w:rPr>
        <w:t>[deducted from amounts otherwise payable under the Promissory Note]</w:t>
      </w:r>
      <w:r w:rsidRPr="009A4FEB">
        <w:rPr>
          <w:rStyle w:val="FootnoteReference"/>
          <w:b w:val="0"/>
          <w:bCs w:val="0"/>
          <w:szCs w:val="22"/>
          <w:highlight w:val="green"/>
        </w:rPr>
        <w:footnoteReference w:id="12"/>
      </w:r>
      <w:r w:rsidRPr="00A954FA">
        <w:rPr>
          <w:b w:val="0"/>
          <w:bCs w:val="0"/>
          <w:color w:val="auto"/>
          <w:sz w:val="22"/>
          <w:szCs w:val="22"/>
        </w:rPr>
        <w:t xml:space="preserve"> within </w:t>
      </w:r>
      <w:r w:rsidRPr="00A954FA">
        <w:rPr>
          <w:b w:val="0"/>
          <w:bCs w:val="0"/>
          <w:color w:val="auto"/>
          <w:sz w:val="22"/>
          <w:szCs w:val="22"/>
          <w:highlight w:val="yellow"/>
        </w:rPr>
        <w:t>[ten (10)]</w:t>
      </w:r>
      <w:r w:rsidRPr="00A954FA">
        <w:rPr>
          <w:b w:val="0"/>
          <w:bCs w:val="0"/>
          <w:color w:val="auto"/>
          <w:sz w:val="22"/>
          <w:szCs w:val="22"/>
        </w:rPr>
        <w:t xml:space="preserve"> business days following final </w:t>
      </w:r>
      <w:r w:rsidRPr="00A954FA">
        <w:rPr>
          <w:b w:val="0"/>
          <w:bCs w:val="0"/>
          <w:color w:val="auto"/>
          <w:sz w:val="22"/>
          <w:szCs w:val="22"/>
        </w:rPr>
        <w:lastRenderedPageBreak/>
        <w:t xml:space="preserve">determination. If the Final Working Capital exceeds the Estimated Working Capital, the excess shall be paid to the Seller in cash within </w:t>
      </w:r>
      <w:r w:rsidRPr="00A954FA">
        <w:rPr>
          <w:b w:val="0"/>
          <w:bCs w:val="0"/>
          <w:color w:val="auto"/>
          <w:sz w:val="22"/>
          <w:szCs w:val="22"/>
          <w:highlight w:val="yellow"/>
        </w:rPr>
        <w:t>[ten (10)]</w:t>
      </w:r>
      <w:r w:rsidRPr="00A954FA">
        <w:rPr>
          <w:b w:val="0"/>
          <w:bCs w:val="0"/>
          <w:color w:val="auto"/>
          <w:sz w:val="22"/>
          <w:szCs w:val="22"/>
        </w:rPr>
        <w:t xml:space="preserve"> business days following final determination.</w:t>
      </w:r>
    </w:p>
    <w:p w14:paraId="7D377E38" w14:textId="37AD3347" w:rsidR="00EA2F84" w:rsidRPr="00662EF7" w:rsidRDefault="0081637B" w:rsidP="00662EF7">
      <w:pPr>
        <w:pStyle w:val="Heading1"/>
        <w:numPr>
          <w:ilvl w:val="0"/>
          <w:numId w:val="2"/>
        </w:numPr>
        <w:jc w:val="both"/>
        <w:rPr>
          <w:b w:val="0"/>
          <w:bCs w:val="0"/>
          <w:sz w:val="22"/>
          <w:szCs w:val="22"/>
        </w:rPr>
      </w:pPr>
      <w:r w:rsidRPr="00D04B2A">
        <w:rPr>
          <w:color w:val="auto"/>
          <w:sz w:val="22"/>
          <w:szCs w:val="22"/>
          <w:u w:val="single"/>
        </w:rPr>
        <w:t>Definitive Agreements</w:t>
      </w:r>
      <w:r w:rsidRPr="00D04B2A">
        <w:rPr>
          <w:color w:val="auto"/>
          <w:sz w:val="22"/>
          <w:szCs w:val="22"/>
        </w:rPr>
        <w:t xml:space="preserve">.  </w:t>
      </w:r>
      <w:r w:rsidR="00662EF7" w:rsidRPr="00662EF7">
        <w:rPr>
          <w:b w:val="0"/>
          <w:bCs w:val="0"/>
          <w:color w:val="auto"/>
          <w:sz w:val="22"/>
          <w:szCs w:val="22"/>
        </w:rPr>
        <w:t>The Acquisition will be documented in one or more definitive agreements (collectively, the “</w:t>
      </w:r>
      <w:r w:rsidR="00662EF7" w:rsidRPr="00662EF7">
        <w:rPr>
          <w:color w:val="auto"/>
          <w:sz w:val="22"/>
          <w:szCs w:val="22"/>
        </w:rPr>
        <w:t>Definitive Agreements</w:t>
      </w:r>
      <w:r w:rsidR="00662EF7" w:rsidRPr="00662EF7">
        <w:rPr>
          <w:b w:val="0"/>
          <w:bCs w:val="0"/>
          <w:color w:val="auto"/>
          <w:sz w:val="22"/>
          <w:szCs w:val="22"/>
        </w:rPr>
        <w:t xml:space="preserve">”) customary for transactions of similar size and structure. The Definitive Agreements will reflect the principal terms set forth in this Letter of Intent, together with additional provisions typically included in comparable transactions, including representations and warranties, covenants, conditions to Closing, and indemnification provisions, including those described in </w:t>
      </w:r>
      <w:r w:rsidR="00662EF7" w:rsidRPr="00662EF7">
        <w:rPr>
          <w:b w:val="0"/>
          <w:bCs w:val="0"/>
          <w:color w:val="auto"/>
          <w:sz w:val="22"/>
          <w:szCs w:val="22"/>
          <w:u w:val="single"/>
        </w:rPr>
        <w:t>Section 5</w:t>
      </w:r>
      <w:r w:rsidR="00662EF7" w:rsidRPr="00662EF7">
        <w:rPr>
          <w:b w:val="0"/>
          <w:bCs w:val="0"/>
          <w:color w:val="auto"/>
          <w:sz w:val="22"/>
          <w:szCs w:val="22"/>
        </w:rPr>
        <w:t xml:space="preserve"> below.</w:t>
      </w:r>
      <w:r w:rsidR="00662EF7">
        <w:rPr>
          <w:b w:val="0"/>
          <w:bCs w:val="0"/>
          <w:color w:val="auto"/>
          <w:sz w:val="22"/>
          <w:szCs w:val="22"/>
        </w:rPr>
        <w:t xml:space="preserve"> </w:t>
      </w:r>
      <w:r w:rsidR="00662EF7" w:rsidRPr="00662EF7">
        <w:rPr>
          <w:b w:val="0"/>
          <w:bCs w:val="0"/>
          <w:color w:val="auto"/>
          <w:sz w:val="22"/>
          <w:szCs w:val="22"/>
        </w:rPr>
        <w:t>The parties agree to negotiate the Definitive Agreements in good faith and with the objective of completing the transaction on the timeline outlined herein. Buyer’s counsel, SMB Law Group LLP, will prepare the initial drafts of the Definitive Agreements for discussion purposes.</w:t>
      </w:r>
    </w:p>
    <w:p w14:paraId="00000018" w14:textId="77777777" w:rsidR="000E1858" w:rsidRPr="00D04B2A" w:rsidRDefault="0081637B">
      <w:pPr>
        <w:pStyle w:val="Heading1"/>
        <w:numPr>
          <w:ilvl w:val="0"/>
          <w:numId w:val="2"/>
        </w:numPr>
        <w:rPr>
          <w:color w:val="auto"/>
          <w:sz w:val="22"/>
          <w:szCs w:val="22"/>
        </w:rPr>
      </w:pPr>
      <w:r w:rsidRPr="00D04B2A">
        <w:rPr>
          <w:color w:val="auto"/>
          <w:sz w:val="22"/>
          <w:szCs w:val="22"/>
          <w:u w:val="single"/>
        </w:rPr>
        <w:t>Additional Terms</w:t>
      </w:r>
      <w:r w:rsidRPr="00D04B2A">
        <w:rPr>
          <w:color w:val="auto"/>
          <w:sz w:val="22"/>
          <w:szCs w:val="22"/>
        </w:rPr>
        <w:t xml:space="preserve">.  </w:t>
      </w:r>
    </w:p>
    <w:p w14:paraId="01D230E2" w14:textId="6BCB92AE" w:rsidR="00B7179E" w:rsidRPr="00D04B2A" w:rsidRDefault="00EB69BF" w:rsidP="0080099A">
      <w:pPr>
        <w:pStyle w:val="Heading2"/>
        <w:numPr>
          <w:ilvl w:val="1"/>
          <w:numId w:val="2"/>
        </w:numPr>
        <w:jc w:val="both"/>
        <w:rPr>
          <w:color w:val="auto"/>
          <w:sz w:val="22"/>
          <w:szCs w:val="22"/>
        </w:rPr>
      </w:pPr>
      <w:r w:rsidRPr="00EB69BF">
        <w:rPr>
          <w:color w:val="auto"/>
          <w:sz w:val="22"/>
          <w:szCs w:val="22"/>
        </w:rPr>
        <w:t>The Definitive Agreements will include indemnification provisions customary for transactions of similar size and structure. Subject to the limitations described below, the Seller and the Owner will agree to indemnify the Buyer and its affiliates and representatives (collectively, the “</w:t>
      </w:r>
      <w:r w:rsidRPr="00EB69BF">
        <w:rPr>
          <w:b/>
          <w:bCs w:val="0"/>
          <w:color w:val="auto"/>
          <w:sz w:val="22"/>
          <w:szCs w:val="22"/>
        </w:rPr>
        <w:t>Buyer Indemnified Parties</w:t>
      </w:r>
      <w:r w:rsidRPr="00EB69BF">
        <w:rPr>
          <w:color w:val="auto"/>
          <w:sz w:val="22"/>
          <w:szCs w:val="22"/>
        </w:rPr>
        <w:t>”) for losses arising from: (i) any breach of the Seller’s representations, warranties, covenants, or agreements contained in the Definitive Agreements; (ii) any liabilities expressly excluded from the transaction; (iii) pre-Closing taxes; and (iv) fraud or intentional misrepresentation.</w:t>
      </w:r>
      <w:r>
        <w:rPr>
          <w:color w:val="auto"/>
          <w:sz w:val="22"/>
          <w:szCs w:val="22"/>
        </w:rPr>
        <w:t xml:space="preserve"> </w:t>
      </w:r>
      <w:r w:rsidRPr="00EB69BF">
        <w:rPr>
          <w:color w:val="auto"/>
          <w:sz w:val="22"/>
          <w:szCs w:val="22"/>
        </w:rPr>
        <w:t>Certain representations will be designated as “</w:t>
      </w:r>
      <w:r w:rsidRPr="009C0D84">
        <w:rPr>
          <w:b/>
          <w:bCs w:val="0"/>
          <w:color w:val="auto"/>
          <w:sz w:val="22"/>
          <w:szCs w:val="22"/>
        </w:rPr>
        <w:t>Fundamental Representations</w:t>
      </w:r>
      <w:r w:rsidRPr="00EB69BF">
        <w:rPr>
          <w:color w:val="auto"/>
          <w:sz w:val="22"/>
          <w:szCs w:val="22"/>
        </w:rPr>
        <w:t>,” including representations relating to the Seller’s organization and authority, ownership and sufficiency of the Purchased Assets, taxes, environmental matters, and broker or finder fees.</w:t>
      </w:r>
      <w:r>
        <w:rPr>
          <w:color w:val="auto"/>
          <w:sz w:val="22"/>
          <w:szCs w:val="22"/>
        </w:rPr>
        <w:t xml:space="preserve"> </w:t>
      </w:r>
      <w:r w:rsidRPr="00EB69BF">
        <w:rPr>
          <w:color w:val="auto"/>
          <w:sz w:val="22"/>
          <w:szCs w:val="22"/>
        </w:rPr>
        <w:t xml:space="preserve">Indemnification obligations for breaches of </w:t>
      </w:r>
      <w:proofErr w:type="gramStart"/>
      <w:r w:rsidRPr="00EB69BF">
        <w:rPr>
          <w:color w:val="auto"/>
          <w:sz w:val="22"/>
          <w:szCs w:val="22"/>
        </w:rPr>
        <w:t>representations</w:t>
      </w:r>
      <w:proofErr w:type="gramEnd"/>
      <w:r w:rsidRPr="00EB69BF">
        <w:rPr>
          <w:color w:val="auto"/>
          <w:sz w:val="22"/>
          <w:szCs w:val="22"/>
        </w:rPr>
        <w:t xml:space="preserve"> other than Fundamental Representations will be capped at </w:t>
      </w:r>
      <w:r w:rsidRPr="005C71EB">
        <w:rPr>
          <w:color w:val="auto"/>
          <w:sz w:val="22"/>
          <w:szCs w:val="22"/>
          <w:highlight w:val="yellow"/>
        </w:rPr>
        <w:t>[twenty percent (20%)]</w:t>
      </w:r>
      <w:r w:rsidRPr="00EB69BF">
        <w:rPr>
          <w:color w:val="auto"/>
          <w:sz w:val="22"/>
          <w:szCs w:val="22"/>
        </w:rPr>
        <w:t xml:space="preserve"> of the Purchase Price. Indemnification obligations relating to breaches of Fundamental Representations and covenants will be capped at </w:t>
      </w:r>
      <w:r w:rsidRPr="005C71EB">
        <w:rPr>
          <w:color w:val="auto"/>
          <w:sz w:val="22"/>
          <w:szCs w:val="22"/>
          <w:highlight w:val="yellow"/>
        </w:rPr>
        <w:t>[one hundred percent (100%)]</w:t>
      </w:r>
      <w:r w:rsidRPr="00EB69BF">
        <w:rPr>
          <w:color w:val="auto"/>
          <w:sz w:val="22"/>
          <w:szCs w:val="22"/>
        </w:rPr>
        <w:t xml:space="preserve"> of the Purchase Price. There will be no cap for fraud or intentional misrepresentation.</w:t>
      </w:r>
      <w:r>
        <w:rPr>
          <w:color w:val="auto"/>
          <w:sz w:val="22"/>
          <w:szCs w:val="22"/>
        </w:rPr>
        <w:t xml:space="preserve"> </w:t>
      </w:r>
      <w:r w:rsidRPr="00EB69BF">
        <w:rPr>
          <w:color w:val="auto"/>
          <w:sz w:val="22"/>
          <w:szCs w:val="22"/>
        </w:rPr>
        <w:t xml:space="preserve">Claims for breaches of </w:t>
      </w:r>
      <w:proofErr w:type="gramStart"/>
      <w:r w:rsidRPr="00EB69BF">
        <w:rPr>
          <w:color w:val="auto"/>
          <w:sz w:val="22"/>
          <w:szCs w:val="22"/>
        </w:rPr>
        <w:t>representations</w:t>
      </w:r>
      <w:proofErr w:type="gramEnd"/>
      <w:r w:rsidRPr="00EB69BF">
        <w:rPr>
          <w:color w:val="auto"/>
          <w:sz w:val="22"/>
          <w:szCs w:val="22"/>
        </w:rPr>
        <w:t xml:space="preserve"> other than Fundamental Representations will be subject to a tipping basket equal to </w:t>
      </w:r>
      <w:r w:rsidRPr="005C71EB">
        <w:rPr>
          <w:color w:val="auto"/>
          <w:sz w:val="22"/>
          <w:szCs w:val="22"/>
          <w:highlight w:val="yellow"/>
        </w:rPr>
        <w:t>[0.5%]</w:t>
      </w:r>
      <w:r w:rsidRPr="00EB69BF">
        <w:rPr>
          <w:color w:val="auto"/>
          <w:sz w:val="22"/>
          <w:szCs w:val="22"/>
        </w:rPr>
        <w:t xml:space="preserve"> of the Purchase Price, meaning that the Seller will be responsible for all such losses only after aggregate losses exceed that threshold.</w:t>
      </w:r>
      <w:r>
        <w:rPr>
          <w:color w:val="auto"/>
          <w:sz w:val="22"/>
          <w:szCs w:val="22"/>
        </w:rPr>
        <w:t xml:space="preserve"> </w:t>
      </w:r>
      <w:r w:rsidRPr="00EB69BF">
        <w:rPr>
          <w:color w:val="auto"/>
          <w:sz w:val="22"/>
          <w:szCs w:val="22"/>
        </w:rPr>
        <w:t>To the extent applicable, indemnification claims may be satisfied by offset against amounts otherwise payable under the Promissory Note.</w:t>
      </w:r>
      <w:r w:rsidR="00630E23" w:rsidRPr="009A4FEB">
        <w:rPr>
          <w:rStyle w:val="FootnoteReference"/>
          <w:sz w:val="22"/>
          <w:szCs w:val="22"/>
          <w:highlight w:val="green"/>
        </w:rPr>
        <w:footnoteReference w:id="13"/>
      </w:r>
      <w:r w:rsidR="009A4FEB">
        <w:rPr>
          <w:color w:val="auto"/>
          <w:sz w:val="22"/>
          <w:szCs w:val="22"/>
          <w:vertAlign w:val="superscript"/>
        </w:rPr>
        <w:t>,</w:t>
      </w:r>
      <w:r w:rsidR="00630E23" w:rsidRPr="009A4FEB">
        <w:rPr>
          <w:rStyle w:val="FootnoteReference"/>
          <w:sz w:val="22"/>
          <w:szCs w:val="22"/>
          <w:highlight w:val="green"/>
        </w:rPr>
        <w:footnoteReference w:id="14"/>
      </w:r>
    </w:p>
    <w:p w14:paraId="1606F6D6" w14:textId="580E5A44" w:rsidR="0080099A" w:rsidRPr="00D04B2A" w:rsidRDefault="005C71EB" w:rsidP="0080099A">
      <w:pPr>
        <w:pStyle w:val="Heading2"/>
        <w:numPr>
          <w:ilvl w:val="1"/>
          <w:numId w:val="2"/>
        </w:numPr>
        <w:jc w:val="both"/>
        <w:rPr>
          <w:color w:val="auto"/>
          <w:sz w:val="22"/>
          <w:szCs w:val="22"/>
        </w:rPr>
      </w:pPr>
      <w:r w:rsidRPr="005C71EB">
        <w:rPr>
          <w:color w:val="auto"/>
          <w:sz w:val="22"/>
          <w:szCs w:val="22"/>
        </w:rPr>
        <w:t>The Buyer’s obligation to consummate the Acquisition will be subject to satisfaction (or waiver by the Buyer) of customary closing conditions, including:</w:t>
      </w:r>
    </w:p>
    <w:p w14:paraId="1C7153D8" w14:textId="6891C421" w:rsidR="00630E23" w:rsidRPr="00D04B2A" w:rsidRDefault="005C71EB" w:rsidP="00630E23">
      <w:pPr>
        <w:pStyle w:val="Heading2"/>
        <w:numPr>
          <w:ilvl w:val="2"/>
          <w:numId w:val="2"/>
        </w:numPr>
        <w:tabs>
          <w:tab w:val="left" w:pos="2160"/>
        </w:tabs>
        <w:jc w:val="both"/>
        <w:rPr>
          <w:color w:val="auto"/>
          <w:sz w:val="22"/>
          <w:szCs w:val="22"/>
        </w:rPr>
      </w:pPr>
      <w:r>
        <w:rPr>
          <w:color w:val="auto"/>
          <w:sz w:val="22"/>
          <w:szCs w:val="22"/>
        </w:rPr>
        <w:t>t</w:t>
      </w:r>
      <w:r w:rsidRPr="005C71EB">
        <w:rPr>
          <w:color w:val="auto"/>
          <w:sz w:val="22"/>
          <w:szCs w:val="22"/>
        </w:rPr>
        <w:t xml:space="preserve">he Buyer’s </w:t>
      </w:r>
      <w:r w:rsidR="00B51055">
        <w:rPr>
          <w:color w:val="auto"/>
          <w:sz w:val="22"/>
          <w:szCs w:val="22"/>
        </w:rPr>
        <w:t xml:space="preserve">approval for and </w:t>
      </w:r>
      <w:r w:rsidRPr="005C71EB">
        <w:rPr>
          <w:color w:val="auto"/>
          <w:sz w:val="22"/>
          <w:szCs w:val="22"/>
        </w:rPr>
        <w:t xml:space="preserve">receipt of </w:t>
      </w:r>
      <w:r w:rsidR="00B87459" w:rsidRPr="00E67822">
        <w:rPr>
          <w:color w:val="auto"/>
          <w:sz w:val="22"/>
          <w:szCs w:val="22"/>
          <w:highlight w:val="yellow"/>
        </w:rPr>
        <w:t>[debt and equity]</w:t>
      </w:r>
      <w:r w:rsidR="00B87459">
        <w:rPr>
          <w:color w:val="auto"/>
          <w:sz w:val="22"/>
          <w:szCs w:val="22"/>
        </w:rPr>
        <w:t xml:space="preserve"> </w:t>
      </w:r>
      <w:r w:rsidRPr="005C71EB">
        <w:rPr>
          <w:color w:val="auto"/>
          <w:sz w:val="22"/>
          <w:szCs w:val="22"/>
        </w:rPr>
        <w:t>financing on terms sufficient to fund the Purchase Price, including satisfaction of any lender underwriting requirements;</w:t>
      </w:r>
      <w:r w:rsidRPr="00D6253C">
        <w:rPr>
          <w:rStyle w:val="FootnoteReference"/>
          <w:szCs w:val="22"/>
          <w:highlight w:val="green"/>
        </w:rPr>
        <w:footnoteReference w:id="15"/>
      </w:r>
    </w:p>
    <w:p w14:paraId="0D1904A2" w14:textId="37D375F0" w:rsidR="00630E23" w:rsidRDefault="005C71EB" w:rsidP="00630E23">
      <w:pPr>
        <w:pStyle w:val="Heading2"/>
        <w:numPr>
          <w:ilvl w:val="2"/>
          <w:numId w:val="2"/>
        </w:numPr>
        <w:tabs>
          <w:tab w:val="left" w:pos="2160"/>
        </w:tabs>
        <w:jc w:val="both"/>
        <w:rPr>
          <w:color w:val="auto"/>
          <w:sz w:val="22"/>
          <w:szCs w:val="22"/>
        </w:rPr>
      </w:pPr>
      <w:r w:rsidRPr="005C71EB">
        <w:rPr>
          <w:color w:val="auto"/>
          <w:sz w:val="22"/>
          <w:szCs w:val="22"/>
        </w:rPr>
        <w:lastRenderedPageBreak/>
        <w:t xml:space="preserve">the Buyer’s receipt of all required third-party consents, approvals, and waivers necessary to consummate the Acquisition, as identified during due </w:t>
      </w:r>
      <w:proofErr w:type="gramStart"/>
      <w:r w:rsidRPr="005C71EB">
        <w:rPr>
          <w:color w:val="auto"/>
          <w:sz w:val="22"/>
          <w:szCs w:val="22"/>
        </w:rPr>
        <w:t>diligence;</w:t>
      </w:r>
      <w:proofErr w:type="gramEnd"/>
    </w:p>
    <w:p w14:paraId="177865FD" w14:textId="77777777" w:rsidR="00E10599" w:rsidRDefault="005C71EB" w:rsidP="00630E23">
      <w:pPr>
        <w:pStyle w:val="Heading2"/>
        <w:numPr>
          <w:ilvl w:val="2"/>
          <w:numId w:val="2"/>
        </w:numPr>
        <w:tabs>
          <w:tab w:val="left" w:pos="2160"/>
        </w:tabs>
        <w:jc w:val="both"/>
        <w:rPr>
          <w:color w:val="auto"/>
          <w:sz w:val="22"/>
          <w:szCs w:val="22"/>
        </w:rPr>
      </w:pPr>
      <w:r w:rsidRPr="005C71EB">
        <w:rPr>
          <w:color w:val="auto"/>
          <w:sz w:val="22"/>
          <w:szCs w:val="22"/>
        </w:rPr>
        <w:t xml:space="preserve">the absence of any material adverse change in the Business between the date of this Letter of Intent and the </w:t>
      </w:r>
      <w:proofErr w:type="gramStart"/>
      <w:r w:rsidRPr="005C71EB">
        <w:rPr>
          <w:color w:val="auto"/>
          <w:sz w:val="22"/>
          <w:szCs w:val="22"/>
        </w:rPr>
        <w:t>Closing;</w:t>
      </w:r>
      <w:proofErr w:type="gramEnd"/>
      <w:r w:rsidRPr="005C71EB">
        <w:rPr>
          <w:color w:val="auto"/>
          <w:sz w:val="22"/>
          <w:szCs w:val="22"/>
        </w:rPr>
        <w:t xml:space="preserve"> </w:t>
      </w:r>
    </w:p>
    <w:p w14:paraId="6AF41FEB" w14:textId="4508C5A0" w:rsidR="006359B3" w:rsidRDefault="008E76F8" w:rsidP="00630E23">
      <w:pPr>
        <w:pStyle w:val="Heading2"/>
        <w:numPr>
          <w:ilvl w:val="2"/>
          <w:numId w:val="2"/>
        </w:numPr>
        <w:tabs>
          <w:tab w:val="left" w:pos="2160"/>
        </w:tabs>
        <w:jc w:val="both"/>
        <w:rPr>
          <w:color w:val="auto"/>
          <w:sz w:val="22"/>
          <w:szCs w:val="22"/>
        </w:rPr>
      </w:pPr>
      <w:r w:rsidRPr="008E76F8">
        <w:rPr>
          <w:color w:val="auto"/>
          <w:sz w:val="22"/>
          <w:szCs w:val="22"/>
        </w:rPr>
        <w:t>the Buyer’s receipt of a lease satisfactory to the Buyer and the Buyer’s lender, including a lease term sufficient to satisfy acquisition financing requirements (typically not less than ten (10) years</w:t>
      </w:r>
      <w:r w:rsidRPr="00642585">
        <w:rPr>
          <w:rStyle w:val="FootnoteReference"/>
          <w:szCs w:val="22"/>
          <w:highlight w:val="green"/>
        </w:rPr>
        <w:footnoteReference w:id="16"/>
      </w:r>
      <w:r w:rsidRPr="008E76F8">
        <w:rPr>
          <w:color w:val="auto"/>
          <w:sz w:val="22"/>
          <w:szCs w:val="22"/>
        </w:rPr>
        <w:t xml:space="preserve"> in the aggregate), together with any required landlord consents, waivers, or </w:t>
      </w:r>
      <w:proofErr w:type="gramStart"/>
      <w:r w:rsidRPr="008E76F8">
        <w:rPr>
          <w:color w:val="auto"/>
          <w:sz w:val="22"/>
          <w:szCs w:val="22"/>
        </w:rPr>
        <w:t>estoppels;</w:t>
      </w:r>
      <w:proofErr w:type="gramEnd"/>
      <w:r>
        <w:rPr>
          <w:color w:val="auto"/>
          <w:sz w:val="22"/>
          <w:szCs w:val="22"/>
        </w:rPr>
        <w:t xml:space="preserve"> </w:t>
      </w:r>
    </w:p>
    <w:p w14:paraId="71CC388A" w14:textId="0AAB9CEA" w:rsidR="005C71EB" w:rsidRPr="00D04B2A" w:rsidRDefault="006359B3" w:rsidP="00630E23">
      <w:pPr>
        <w:pStyle w:val="Heading2"/>
        <w:numPr>
          <w:ilvl w:val="2"/>
          <w:numId w:val="2"/>
        </w:numPr>
        <w:tabs>
          <w:tab w:val="left" w:pos="2160"/>
        </w:tabs>
        <w:jc w:val="both"/>
        <w:rPr>
          <w:color w:val="auto"/>
          <w:sz w:val="22"/>
          <w:szCs w:val="22"/>
        </w:rPr>
      </w:pPr>
      <w:r w:rsidRPr="006359B3">
        <w:rPr>
          <w:color w:val="auto"/>
          <w:sz w:val="22"/>
          <w:szCs w:val="22"/>
        </w:rPr>
        <w:t>the Seller’s retention of legal counsel experienced in lower-middle-market mergers and acquisitions transactions to represent the Seller in negotiating the Definitive Agreements</w:t>
      </w:r>
      <w:r w:rsidRPr="00642585">
        <w:rPr>
          <w:rStyle w:val="FootnoteReference"/>
          <w:szCs w:val="22"/>
          <w:highlight w:val="green"/>
        </w:rPr>
        <w:footnoteReference w:id="17"/>
      </w:r>
      <w:r w:rsidRPr="006359B3">
        <w:rPr>
          <w:color w:val="auto"/>
          <w:sz w:val="22"/>
          <w:szCs w:val="22"/>
        </w:rPr>
        <w:t>;</w:t>
      </w:r>
      <w:r>
        <w:rPr>
          <w:color w:val="auto"/>
          <w:sz w:val="22"/>
          <w:szCs w:val="22"/>
        </w:rPr>
        <w:t xml:space="preserve"> </w:t>
      </w:r>
      <w:r w:rsidR="005C71EB" w:rsidRPr="005C71EB">
        <w:rPr>
          <w:color w:val="auto"/>
          <w:sz w:val="22"/>
          <w:szCs w:val="22"/>
        </w:rPr>
        <w:t>and</w:t>
      </w:r>
    </w:p>
    <w:p w14:paraId="0000001A" w14:textId="3F8C4452" w:rsidR="000E1858" w:rsidRPr="00D04B2A" w:rsidRDefault="005C71EB" w:rsidP="0080099A">
      <w:pPr>
        <w:pStyle w:val="Heading2"/>
        <w:numPr>
          <w:ilvl w:val="2"/>
          <w:numId w:val="2"/>
        </w:numPr>
        <w:tabs>
          <w:tab w:val="left" w:pos="2160"/>
        </w:tabs>
        <w:jc w:val="both"/>
        <w:rPr>
          <w:color w:val="auto"/>
          <w:sz w:val="22"/>
          <w:szCs w:val="22"/>
        </w:rPr>
      </w:pPr>
      <w:r w:rsidRPr="005C71EB">
        <w:rPr>
          <w:color w:val="auto"/>
          <w:sz w:val="22"/>
          <w:szCs w:val="22"/>
          <w:highlight w:val="yellow"/>
        </w:rPr>
        <w:t>[any additional transaction-specific conditions agreed by the parties].</w:t>
      </w:r>
    </w:p>
    <w:p w14:paraId="0000001C" w14:textId="11536515" w:rsidR="000E1858" w:rsidRPr="00D04B2A" w:rsidRDefault="0081637B" w:rsidP="0080099A">
      <w:pPr>
        <w:pStyle w:val="Heading1"/>
        <w:keepNext/>
        <w:numPr>
          <w:ilvl w:val="0"/>
          <w:numId w:val="2"/>
        </w:numPr>
        <w:jc w:val="both"/>
        <w:rPr>
          <w:color w:val="auto"/>
          <w:sz w:val="22"/>
          <w:szCs w:val="22"/>
        </w:rPr>
      </w:pPr>
      <w:r w:rsidRPr="00D04B2A">
        <w:rPr>
          <w:color w:val="auto"/>
          <w:sz w:val="22"/>
          <w:szCs w:val="22"/>
          <w:u w:val="single"/>
        </w:rPr>
        <w:t>Non-Compete</w:t>
      </w:r>
      <w:r w:rsidRPr="00D04B2A">
        <w:rPr>
          <w:color w:val="auto"/>
          <w:sz w:val="22"/>
          <w:szCs w:val="22"/>
        </w:rPr>
        <w:t>.</w:t>
      </w:r>
      <w:r w:rsidR="006E558F" w:rsidRPr="00D6253C">
        <w:rPr>
          <w:rStyle w:val="FootnoteReference"/>
          <w:b w:val="0"/>
          <w:bCs w:val="0"/>
          <w:szCs w:val="22"/>
          <w:highlight w:val="green"/>
        </w:rPr>
        <w:footnoteReference w:id="18"/>
      </w:r>
      <w:r w:rsidRPr="00D04B2A">
        <w:rPr>
          <w:color w:val="auto"/>
          <w:sz w:val="22"/>
          <w:szCs w:val="22"/>
        </w:rPr>
        <w:t xml:space="preserve">  </w:t>
      </w:r>
      <w:r w:rsidR="008D6BAF" w:rsidRPr="008D6BAF">
        <w:rPr>
          <w:b w:val="0"/>
          <w:bCs w:val="0"/>
          <w:color w:val="auto"/>
          <w:sz w:val="22"/>
          <w:szCs w:val="22"/>
        </w:rPr>
        <w:t xml:space="preserve">The Seller and the Owner will agree in the Definitive Agreements that, for a period of </w:t>
      </w:r>
      <w:r w:rsidR="008D6BAF" w:rsidRPr="008D6BAF">
        <w:rPr>
          <w:b w:val="0"/>
          <w:bCs w:val="0"/>
          <w:color w:val="auto"/>
          <w:sz w:val="22"/>
          <w:szCs w:val="22"/>
          <w:highlight w:val="yellow"/>
        </w:rPr>
        <w:t>[five (5)]</w:t>
      </w:r>
      <w:r w:rsidR="008D6BAF" w:rsidRPr="008D6BAF">
        <w:rPr>
          <w:b w:val="0"/>
          <w:bCs w:val="0"/>
          <w:color w:val="auto"/>
          <w:sz w:val="22"/>
          <w:szCs w:val="22"/>
        </w:rPr>
        <w:t xml:space="preserve"> years following the Closing, they will not, directly or indirectly, engage in or assist any business that competes with the Business within </w:t>
      </w:r>
      <w:r w:rsidR="008D6BAF" w:rsidRPr="008D6BAF">
        <w:rPr>
          <w:b w:val="0"/>
          <w:bCs w:val="0"/>
          <w:color w:val="auto"/>
          <w:sz w:val="22"/>
          <w:szCs w:val="22"/>
          <w:highlight w:val="yellow"/>
        </w:rPr>
        <w:t>[Geographic Region]</w:t>
      </w:r>
      <w:r w:rsidR="008D6BAF" w:rsidRPr="008D6BAF">
        <w:rPr>
          <w:b w:val="0"/>
          <w:bCs w:val="0"/>
          <w:color w:val="auto"/>
          <w:sz w:val="22"/>
          <w:szCs w:val="22"/>
        </w:rPr>
        <w:t xml:space="preserve"> (the “</w:t>
      </w:r>
      <w:r w:rsidR="008D6BAF" w:rsidRPr="008D6BAF">
        <w:rPr>
          <w:color w:val="auto"/>
          <w:sz w:val="22"/>
          <w:szCs w:val="22"/>
        </w:rPr>
        <w:t>Restricted Territory</w:t>
      </w:r>
      <w:r w:rsidR="008D6BAF" w:rsidRPr="008D6BAF">
        <w:rPr>
          <w:b w:val="0"/>
          <w:bCs w:val="0"/>
          <w:color w:val="auto"/>
          <w:sz w:val="22"/>
          <w:szCs w:val="22"/>
        </w:rPr>
        <w:t>”).</w:t>
      </w:r>
      <w:r w:rsidR="008D6BAF" w:rsidRPr="006E558F">
        <w:rPr>
          <w:rStyle w:val="FootnoteReference"/>
          <w:b w:val="0"/>
          <w:bCs w:val="0"/>
          <w:szCs w:val="22"/>
          <w:highlight w:val="green"/>
        </w:rPr>
        <w:footnoteReference w:id="19"/>
      </w:r>
      <w:r w:rsidR="008045D9" w:rsidRPr="008D6BAF">
        <w:rPr>
          <w:b w:val="0"/>
          <w:bCs w:val="0"/>
          <w:color w:val="auto"/>
          <w:sz w:val="22"/>
          <w:szCs w:val="22"/>
        </w:rPr>
        <w:t xml:space="preserve"> </w:t>
      </w:r>
      <w:r w:rsidR="008D6BAF" w:rsidRPr="008D6BAF">
        <w:rPr>
          <w:b w:val="0"/>
          <w:bCs w:val="0"/>
          <w:color w:val="auto"/>
          <w:sz w:val="22"/>
          <w:szCs w:val="22"/>
        </w:rPr>
        <w:t xml:space="preserve">The Seller and the Owner will also agree not to solicit, recruit, or hire any employee of the Business for a period of </w:t>
      </w:r>
      <w:r w:rsidR="008D6BAF" w:rsidRPr="008D6BAF">
        <w:rPr>
          <w:b w:val="0"/>
          <w:bCs w:val="0"/>
          <w:color w:val="auto"/>
          <w:sz w:val="22"/>
          <w:szCs w:val="22"/>
          <w:highlight w:val="yellow"/>
        </w:rPr>
        <w:t>[Number]</w:t>
      </w:r>
      <w:r w:rsidR="008D6BAF" w:rsidRPr="008D6BAF">
        <w:rPr>
          <w:b w:val="0"/>
          <w:bCs w:val="0"/>
          <w:color w:val="auto"/>
          <w:sz w:val="22"/>
          <w:szCs w:val="22"/>
        </w:rPr>
        <w:t xml:space="preserve"> years following the Closing, and not to solicit the Business’s customers, vendors, or referral sources for a period of </w:t>
      </w:r>
      <w:r w:rsidR="008D6BAF" w:rsidRPr="008D6BAF">
        <w:rPr>
          <w:b w:val="0"/>
          <w:bCs w:val="0"/>
          <w:color w:val="auto"/>
          <w:sz w:val="22"/>
          <w:szCs w:val="22"/>
          <w:highlight w:val="yellow"/>
        </w:rPr>
        <w:t>[Number]</w:t>
      </w:r>
      <w:r w:rsidR="008D6BAF" w:rsidRPr="008D6BAF">
        <w:rPr>
          <w:b w:val="0"/>
          <w:bCs w:val="0"/>
          <w:color w:val="auto"/>
          <w:sz w:val="22"/>
          <w:szCs w:val="22"/>
        </w:rPr>
        <w:t xml:space="preserve"> years following the Closing, in each case as set forth in the </w:t>
      </w:r>
      <w:r w:rsidR="008D6BAF" w:rsidRPr="008D6BAF">
        <w:rPr>
          <w:b w:val="0"/>
          <w:bCs w:val="0"/>
          <w:color w:val="auto"/>
          <w:sz w:val="22"/>
          <w:szCs w:val="22"/>
        </w:rPr>
        <w:lastRenderedPageBreak/>
        <w:t>Definitive Agreements.</w:t>
      </w:r>
      <w:r w:rsidR="008D6BAF" w:rsidRPr="006E558F">
        <w:rPr>
          <w:rStyle w:val="FootnoteReference"/>
          <w:b w:val="0"/>
          <w:bCs w:val="0"/>
          <w:szCs w:val="22"/>
          <w:highlight w:val="green"/>
        </w:rPr>
        <w:footnoteReference w:id="20"/>
      </w:r>
      <w:r w:rsidR="008045D9" w:rsidRPr="00D04B2A">
        <w:rPr>
          <w:color w:val="auto"/>
          <w:sz w:val="22"/>
          <w:szCs w:val="22"/>
        </w:rPr>
        <w:t xml:space="preserve"> </w:t>
      </w:r>
      <w:r w:rsidR="008D6BAF" w:rsidRPr="008D6BAF">
        <w:rPr>
          <w:b w:val="0"/>
          <w:bCs w:val="0"/>
          <w:color w:val="auto"/>
          <w:sz w:val="22"/>
          <w:szCs w:val="22"/>
        </w:rPr>
        <w:t>The Definitive Agreements will include a clear description of the restricted activities covered by the non-competition covenant, based on how the Business is currently operated.</w:t>
      </w:r>
      <w:r w:rsidR="008928E3" w:rsidRPr="006E558F">
        <w:rPr>
          <w:rStyle w:val="FootnoteReference"/>
          <w:b w:val="0"/>
          <w:bCs w:val="0"/>
          <w:sz w:val="22"/>
          <w:szCs w:val="22"/>
          <w:highlight w:val="green"/>
        </w:rPr>
        <w:footnoteReference w:id="21"/>
      </w:r>
    </w:p>
    <w:p w14:paraId="0000001D" w14:textId="7A4B437D" w:rsidR="000E1858" w:rsidRPr="006E558F" w:rsidRDefault="0081637B" w:rsidP="006E558F">
      <w:pPr>
        <w:pStyle w:val="Heading1"/>
        <w:numPr>
          <w:ilvl w:val="0"/>
          <w:numId w:val="2"/>
        </w:numPr>
        <w:jc w:val="both"/>
        <w:rPr>
          <w:sz w:val="22"/>
          <w:szCs w:val="22"/>
        </w:rPr>
      </w:pPr>
      <w:r w:rsidRPr="00D04B2A">
        <w:rPr>
          <w:color w:val="auto"/>
          <w:sz w:val="22"/>
          <w:szCs w:val="22"/>
          <w:u w:val="single"/>
        </w:rPr>
        <w:t>Transition Services</w:t>
      </w:r>
      <w:r w:rsidRPr="00D04B2A">
        <w:rPr>
          <w:color w:val="auto"/>
          <w:sz w:val="22"/>
          <w:szCs w:val="22"/>
        </w:rPr>
        <w:t xml:space="preserve">.  </w:t>
      </w:r>
      <w:r w:rsidR="006E558F" w:rsidRPr="006E558F">
        <w:rPr>
          <w:b w:val="0"/>
          <w:bCs w:val="0"/>
          <w:color w:val="auto"/>
          <w:sz w:val="22"/>
          <w:szCs w:val="22"/>
        </w:rPr>
        <w:t>To support a smooth transition of the Business and continuity with customers, employees, and key relationships, the Seller and the Owner will provide transition services to the Buyer following the Closing (the “</w:t>
      </w:r>
      <w:r w:rsidR="006E558F" w:rsidRPr="006E558F">
        <w:rPr>
          <w:color w:val="auto"/>
          <w:sz w:val="22"/>
          <w:szCs w:val="22"/>
        </w:rPr>
        <w:t>Transition Services</w:t>
      </w:r>
      <w:r w:rsidR="006E558F" w:rsidRPr="006E558F">
        <w:rPr>
          <w:b w:val="0"/>
          <w:bCs w:val="0"/>
          <w:color w:val="auto"/>
          <w:sz w:val="22"/>
          <w:szCs w:val="22"/>
        </w:rPr>
        <w:t>”).</w:t>
      </w:r>
      <w:r w:rsidR="008045D9" w:rsidRPr="006E558F">
        <w:rPr>
          <w:b w:val="0"/>
          <w:bCs w:val="0"/>
          <w:color w:val="auto"/>
          <w:sz w:val="22"/>
          <w:szCs w:val="22"/>
        </w:rPr>
        <w:t xml:space="preserve"> </w:t>
      </w:r>
      <w:r w:rsidR="006E558F" w:rsidRPr="006E558F">
        <w:rPr>
          <w:b w:val="0"/>
          <w:bCs w:val="0"/>
          <w:color w:val="auto"/>
          <w:sz w:val="22"/>
          <w:szCs w:val="22"/>
        </w:rPr>
        <w:t xml:space="preserve">The Transition Services are expected to include </w:t>
      </w:r>
      <w:r w:rsidR="006E558F" w:rsidRPr="006E558F">
        <w:rPr>
          <w:b w:val="0"/>
          <w:bCs w:val="0"/>
          <w:color w:val="auto"/>
          <w:sz w:val="22"/>
          <w:szCs w:val="22"/>
          <w:highlight w:val="yellow"/>
        </w:rPr>
        <w:t>[training and knowledge transfer] / [customer and vendor introductions] / [assistance with operational handoff] / [other agreed services]</w:t>
      </w:r>
      <w:r w:rsidR="006E558F" w:rsidRPr="006E558F">
        <w:rPr>
          <w:b w:val="0"/>
          <w:bCs w:val="0"/>
          <w:color w:val="auto"/>
          <w:sz w:val="22"/>
          <w:szCs w:val="22"/>
        </w:rPr>
        <w:t xml:space="preserve">, provided over a period of </w:t>
      </w:r>
      <w:r w:rsidR="006E558F" w:rsidRPr="006E558F">
        <w:rPr>
          <w:b w:val="0"/>
          <w:bCs w:val="0"/>
          <w:color w:val="auto"/>
          <w:sz w:val="22"/>
          <w:szCs w:val="22"/>
          <w:highlight w:val="yellow"/>
        </w:rPr>
        <w:t>[Number] [weeks/months]</w:t>
      </w:r>
      <w:r w:rsidR="006E558F" w:rsidRPr="006E558F">
        <w:rPr>
          <w:b w:val="0"/>
          <w:bCs w:val="0"/>
          <w:color w:val="auto"/>
          <w:sz w:val="22"/>
          <w:szCs w:val="22"/>
        </w:rPr>
        <w:t xml:space="preserve"> following the Closing (the “</w:t>
      </w:r>
      <w:r w:rsidR="006E558F" w:rsidRPr="006E558F">
        <w:rPr>
          <w:color w:val="auto"/>
          <w:sz w:val="22"/>
          <w:szCs w:val="22"/>
        </w:rPr>
        <w:t>Transition Period</w:t>
      </w:r>
      <w:r w:rsidR="006E558F" w:rsidRPr="006E558F">
        <w:rPr>
          <w:b w:val="0"/>
          <w:bCs w:val="0"/>
          <w:color w:val="auto"/>
          <w:sz w:val="22"/>
          <w:szCs w:val="22"/>
        </w:rPr>
        <w:t xml:space="preserve">”). The specific scope of the Transition Services, time commitment, and compensation (if any) will be agreed upon during due diligence and set forth in the Definitive Agreements. </w:t>
      </w:r>
      <w:r w:rsidR="006E558F" w:rsidRPr="006E558F">
        <w:rPr>
          <w:b w:val="0"/>
          <w:bCs w:val="0"/>
          <w:color w:val="auto"/>
          <w:sz w:val="22"/>
          <w:szCs w:val="22"/>
          <w:highlight w:val="yellow"/>
        </w:rPr>
        <w:t>[The parties anticipate that the Transition Services will be included in the Purchase Price.] / [The parties anticipate that the Owner will be compensated at a rate of $[Amount] per [hour/week/month] during the Transition Period.]</w:t>
      </w:r>
      <w:r w:rsidR="006E558F">
        <w:rPr>
          <w:b w:val="0"/>
          <w:bCs w:val="0"/>
          <w:color w:val="auto"/>
          <w:sz w:val="22"/>
          <w:szCs w:val="22"/>
        </w:rPr>
        <w:t xml:space="preserve"> </w:t>
      </w:r>
      <w:r w:rsidR="006E558F" w:rsidRPr="006E558F">
        <w:rPr>
          <w:b w:val="0"/>
          <w:bCs w:val="0"/>
          <w:color w:val="auto"/>
          <w:sz w:val="22"/>
          <w:szCs w:val="22"/>
        </w:rPr>
        <w:t>The Transition Services will be treated as a covenant under the Definitive Agreements.</w:t>
      </w:r>
      <w:r w:rsidR="006E558F" w:rsidRPr="00D6253C">
        <w:rPr>
          <w:rStyle w:val="FootnoteReference"/>
          <w:b w:val="0"/>
          <w:bCs w:val="0"/>
          <w:szCs w:val="22"/>
          <w:highlight w:val="green"/>
        </w:rPr>
        <w:footnoteReference w:id="22"/>
      </w:r>
    </w:p>
    <w:p w14:paraId="0000001E" w14:textId="3F219554" w:rsidR="000E1858" w:rsidRPr="006E558F" w:rsidRDefault="0081637B" w:rsidP="0080099A">
      <w:pPr>
        <w:pStyle w:val="Heading1"/>
        <w:numPr>
          <w:ilvl w:val="0"/>
          <w:numId w:val="2"/>
        </w:numPr>
        <w:jc w:val="both"/>
        <w:rPr>
          <w:b w:val="0"/>
          <w:bCs w:val="0"/>
          <w:color w:val="auto"/>
          <w:sz w:val="22"/>
          <w:szCs w:val="22"/>
        </w:rPr>
      </w:pPr>
      <w:r w:rsidRPr="00D04B2A">
        <w:rPr>
          <w:color w:val="auto"/>
          <w:sz w:val="22"/>
          <w:szCs w:val="22"/>
          <w:u w:val="single"/>
        </w:rPr>
        <w:t>Due Diligence</w:t>
      </w:r>
      <w:r w:rsidRPr="00D04B2A">
        <w:rPr>
          <w:color w:val="auto"/>
          <w:sz w:val="22"/>
          <w:szCs w:val="22"/>
        </w:rPr>
        <w:t xml:space="preserve">. </w:t>
      </w:r>
      <w:r w:rsidR="006E558F" w:rsidRPr="006E558F">
        <w:rPr>
          <w:b w:val="0"/>
          <w:bCs w:val="0"/>
          <w:color w:val="auto"/>
          <w:sz w:val="22"/>
          <w:szCs w:val="22"/>
        </w:rPr>
        <w:t>From the date this Letter of Intent is signed by the Seller (the “</w:t>
      </w:r>
      <w:r w:rsidR="006E558F" w:rsidRPr="006E558F">
        <w:rPr>
          <w:color w:val="auto"/>
          <w:sz w:val="22"/>
          <w:szCs w:val="22"/>
        </w:rPr>
        <w:t>Signing Date</w:t>
      </w:r>
      <w:r w:rsidR="006E558F" w:rsidRPr="006E558F">
        <w:rPr>
          <w:b w:val="0"/>
          <w:bCs w:val="0"/>
          <w:color w:val="auto"/>
          <w:sz w:val="22"/>
          <w:szCs w:val="22"/>
        </w:rPr>
        <w:t>”) until the earlier of (i) the execution of the Definitive Agreements or (ii) termination of this Letter of Intent in accordance with its terms (the “</w:t>
      </w:r>
      <w:r w:rsidR="006E558F" w:rsidRPr="006E558F">
        <w:rPr>
          <w:color w:val="auto"/>
          <w:sz w:val="22"/>
          <w:szCs w:val="22"/>
        </w:rPr>
        <w:t>Termination Date</w:t>
      </w:r>
      <w:r w:rsidR="006E558F" w:rsidRPr="006E558F">
        <w:rPr>
          <w:b w:val="0"/>
          <w:bCs w:val="0"/>
          <w:color w:val="auto"/>
          <w:sz w:val="22"/>
          <w:szCs w:val="22"/>
        </w:rPr>
        <w:t>”), the Seller shall provide the Buyer and its representatives reasonable access, during normal business hours and upon reasonable notice, to the Business, its personnel, properties, contracts, books and records, and other information reasonably requested in connection with the Buyer’s due diligence review.</w:t>
      </w:r>
      <w:r w:rsidRPr="006E558F">
        <w:rPr>
          <w:b w:val="0"/>
          <w:bCs w:val="0"/>
          <w:color w:val="auto"/>
          <w:sz w:val="22"/>
          <w:szCs w:val="22"/>
        </w:rPr>
        <w:t xml:space="preserve"> </w:t>
      </w:r>
      <w:r w:rsidR="006E558F" w:rsidRPr="006E558F">
        <w:rPr>
          <w:b w:val="0"/>
          <w:bCs w:val="0"/>
          <w:color w:val="auto"/>
          <w:sz w:val="22"/>
          <w:szCs w:val="22"/>
        </w:rPr>
        <w:t>The parties acknowledge that the Buyer’s willingness to proceed with the Acquisition is subject to satisfactory completion of financial, legal, operational, and other customary due diligence. If due diligence reveals material issues, inconsistencies, or risks that were not previously disclosed or reasonably identifiable, the parties agree to discuss such matters in good faith and determine whether adjustments to the structure, timing, or terms of the transaction are appropriate.</w:t>
      </w:r>
      <w:r w:rsidR="006E558F">
        <w:rPr>
          <w:b w:val="0"/>
          <w:bCs w:val="0"/>
          <w:color w:val="auto"/>
          <w:sz w:val="22"/>
          <w:szCs w:val="22"/>
        </w:rPr>
        <w:t xml:space="preserve"> </w:t>
      </w:r>
      <w:r w:rsidR="006E558F" w:rsidRPr="006E558F">
        <w:rPr>
          <w:b w:val="0"/>
          <w:bCs w:val="0"/>
          <w:color w:val="auto"/>
          <w:sz w:val="22"/>
          <w:szCs w:val="22"/>
        </w:rPr>
        <w:t>Nothing in this Letter of Intent obligates the Buyer to proceed with the Acquisition unless and until the Definitive Agreements are executed.</w:t>
      </w:r>
      <w:r w:rsidRPr="006E558F">
        <w:rPr>
          <w:b w:val="0"/>
          <w:bCs w:val="0"/>
          <w:color w:val="auto"/>
          <w:sz w:val="22"/>
          <w:szCs w:val="22"/>
        </w:rPr>
        <w:t xml:space="preserve">  </w:t>
      </w:r>
    </w:p>
    <w:p w14:paraId="0F103033" w14:textId="6DE91212" w:rsidR="006E558F" w:rsidRPr="006E558F" w:rsidRDefault="0081637B" w:rsidP="006E558F">
      <w:pPr>
        <w:pStyle w:val="Heading1"/>
        <w:numPr>
          <w:ilvl w:val="0"/>
          <w:numId w:val="2"/>
        </w:numPr>
        <w:jc w:val="both"/>
        <w:rPr>
          <w:color w:val="auto"/>
          <w:sz w:val="22"/>
          <w:szCs w:val="22"/>
        </w:rPr>
      </w:pPr>
      <w:r w:rsidRPr="00D04B2A">
        <w:rPr>
          <w:color w:val="auto"/>
          <w:sz w:val="22"/>
          <w:szCs w:val="22"/>
          <w:u w:val="single"/>
        </w:rPr>
        <w:t>Conduct of Business</w:t>
      </w:r>
      <w:r w:rsidRPr="00D04B2A">
        <w:rPr>
          <w:color w:val="auto"/>
          <w:sz w:val="22"/>
          <w:szCs w:val="22"/>
        </w:rPr>
        <w:t xml:space="preserve">.  </w:t>
      </w:r>
      <w:r w:rsidR="006E558F" w:rsidRPr="006E558F">
        <w:rPr>
          <w:b w:val="0"/>
          <w:bCs w:val="0"/>
          <w:color w:val="auto"/>
          <w:sz w:val="22"/>
          <w:szCs w:val="22"/>
        </w:rPr>
        <w:t xml:space="preserve">From the Signing Date until the Termination Date, the Seller shall operate the Business in </w:t>
      </w:r>
      <w:proofErr w:type="gramStart"/>
      <w:r w:rsidR="006E558F" w:rsidRPr="006E558F">
        <w:rPr>
          <w:b w:val="0"/>
          <w:bCs w:val="0"/>
          <w:color w:val="auto"/>
          <w:sz w:val="22"/>
          <w:szCs w:val="22"/>
        </w:rPr>
        <w:t>the</w:t>
      </w:r>
      <w:proofErr w:type="gramEnd"/>
      <w:r w:rsidR="006E558F" w:rsidRPr="006E558F">
        <w:rPr>
          <w:b w:val="0"/>
          <w:bCs w:val="0"/>
          <w:color w:val="auto"/>
          <w:sz w:val="22"/>
          <w:szCs w:val="22"/>
        </w:rPr>
        <w:t xml:space="preserve"> ordinary course consistent with past practice and shall use commercially reasonable efforts to preserve the Business’s relationships with customers, suppliers, vendors, and employees.</w:t>
      </w:r>
      <w:r w:rsidR="006E558F">
        <w:rPr>
          <w:b w:val="0"/>
          <w:bCs w:val="0"/>
          <w:color w:val="auto"/>
          <w:sz w:val="22"/>
          <w:szCs w:val="22"/>
        </w:rPr>
        <w:t xml:space="preserve"> </w:t>
      </w:r>
      <w:r w:rsidR="006E558F" w:rsidRPr="006E558F">
        <w:rPr>
          <w:b w:val="0"/>
          <w:bCs w:val="0"/>
          <w:color w:val="auto"/>
          <w:sz w:val="22"/>
          <w:szCs w:val="22"/>
        </w:rPr>
        <w:t>During this period, the Seller shall not, without the Buyer’s prior written consent (not to be unreasonably withheld, conditioned, or delayed):</w:t>
      </w:r>
      <w:r w:rsidR="006E558F">
        <w:rPr>
          <w:b w:val="0"/>
          <w:bCs w:val="0"/>
          <w:color w:val="auto"/>
          <w:sz w:val="22"/>
          <w:szCs w:val="22"/>
        </w:rPr>
        <w:t xml:space="preserve"> </w:t>
      </w:r>
      <w:r w:rsidR="006E558F" w:rsidRPr="006E558F">
        <w:rPr>
          <w:b w:val="0"/>
          <w:bCs w:val="0"/>
          <w:color w:val="auto"/>
          <w:sz w:val="22"/>
          <w:szCs w:val="22"/>
        </w:rPr>
        <w:t xml:space="preserve">(a) enter into any transaction or take any action outside the ordinary course of business; (b) sell, transfer, dispose of, or encumber any material Purchased Assets, except in the ordinary course consistent with past practice; (c) increase compensation, grant bonuses, or implement new benefit or severance arrangements for any employee, officer, director, or consultant, other than in the ordinary course consistent with past practice; (d) make material changes to staffing levels, </w:t>
      </w:r>
      <w:r w:rsidR="006E558F" w:rsidRPr="006E558F">
        <w:rPr>
          <w:b w:val="0"/>
          <w:bCs w:val="0"/>
          <w:color w:val="auto"/>
          <w:sz w:val="22"/>
          <w:szCs w:val="22"/>
        </w:rPr>
        <w:lastRenderedPageBreak/>
        <w:t>including hiring or terminating key employees, other than in the ordinary course consistent with past practice; (e) materially defer or accelerate budgeted capital expenditures in a manner that would reasonably be expected to adversely affect the Business; or (f) enter into, amend, renew, terminate, or extend any material contract or agreement relating to the operation of the Business, except in the ordinary course on terms consistent with past practice.</w:t>
      </w:r>
    </w:p>
    <w:p w14:paraId="20AFA9C5" w14:textId="70E278F1" w:rsidR="00121E34" w:rsidRPr="006E558F" w:rsidRDefault="0081637B" w:rsidP="006E558F">
      <w:pPr>
        <w:pStyle w:val="Heading1"/>
        <w:numPr>
          <w:ilvl w:val="0"/>
          <w:numId w:val="2"/>
        </w:numPr>
        <w:jc w:val="both"/>
        <w:rPr>
          <w:sz w:val="22"/>
          <w:szCs w:val="22"/>
        </w:rPr>
      </w:pPr>
      <w:r w:rsidRPr="00D04B2A">
        <w:rPr>
          <w:color w:val="auto"/>
          <w:sz w:val="22"/>
          <w:szCs w:val="22"/>
          <w:u w:val="single"/>
        </w:rPr>
        <w:t>Exclusive Dealing</w:t>
      </w:r>
      <w:r w:rsidRPr="00D04B2A">
        <w:rPr>
          <w:color w:val="auto"/>
          <w:sz w:val="22"/>
          <w:szCs w:val="22"/>
        </w:rPr>
        <w:t xml:space="preserve">.  </w:t>
      </w:r>
      <w:r w:rsidR="006E558F" w:rsidRPr="006E558F">
        <w:rPr>
          <w:b w:val="0"/>
          <w:bCs w:val="0"/>
          <w:color w:val="auto"/>
          <w:sz w:val="22"/>
          <w:szCs w:val="22"/>
        </w:rPr>
        <w:t>From the Signing Date until the earlier of (i) execution of the Definitive Agreements or (ii) expiration of the Exclusivity Period (as defined below), the Seller and the Owner shall deal exclusively with the Buyer with respect to the proposed Acquisition (the “</w:t>
      </w:r>
      <w:r w:rsidR="006E558F" w:rsidRPr="006E558F">
        <w:rPr>
          <w:color w:val="auto"/>
          <w:sz w:val="22"/>
          <w:szCs w:val="22"/>
        </w:rPr>
        <w:t>Exclusivit</w:t>
      </w:r>
      <w:r w:rsidR="006E558F" w:rsidRPr="006E558F">
        <w:rPr>
          <w:b w:val="0"/>
          <w:bCs w:val="0"/>
          <w:color w:val="auto"/>
          <w:sz w:val="22"/>
          <w:szCs w:val="22"/>
        </w:rPr>
        <w:t>y”).</w:t>
      </w:r>
      <w:r w:rsidR="006E558F">
        <w:rPr>
          <w:b w:val="0"/>
          <w:bCs w:val="0"/>
          <w:color w:val="auto"/>
          <w:sz w:val="22"/>
          <w:szCs w:val="22"/>
        </w:rPr>
        <w:t xml:space="preserve"> </w:t>
      </w:r>
      <w:r w:rsidR="000841DC">
        <w:rPr>
          <w:b w:val="0"/>
          <w:bCs w:val="0"/>
          <w:color w:val="auto"/>
          <w:sz w:val="22"/>
          <w:szCs w:val="22"/>
        </w:rPr>
        <w:t>Such</w:t>
      </w:r>
      <w:r w:rsidR="000841DC" w:rsidRPr="006E558F">
        <w:rPr>
          <w:b w:val="0"/>
          <w:bCs w:val="0"/>
          <w:color w:val="auto"/>
          <w:sz w:val="22"/>
          <w:szCs w:val="22"/>
        </w:rPr>
        <w:t xml:space="preserve"> </w:t>
      </w:r>
      <w:r w:rsidR="000841DC">
        <w:rPr>
          <w:b w:val="0"/>
          <w:bCs w:val="0"/>
          <w:color w:val="auto"/>
          <w:sz w:val="22"/>
          <w:szCs w:val="22"/>
        </w:rPr>
        <w:t>E</w:t>
      </w:r>
      <w:r w:rsidR="000841DC" w:rsidRPr="006E558F">
        <w:rPr>
          <w:b w:val="0"/>
          <w:bCs w:val="0"/>
          <w:color w:val="auto"/>
          <w:sz w:val="22"/>
          <w:szCs w:val="22"/>
        </w:rPr>
        <w:t xml:space="preserve">xclusivity </w:t>
      </w:r>
      <w:r w:rsidR="000841DC">
        <w:rPr>
          <w:b w:val="0"/>
          <w:bCs w:val="0"/>
          <w:color w:val="auto"/>
          <w:sz w:val="22"/>
          <w:szCs w:val="22"/>
        </w:rPr>
        <w:t xml:space="preserve">will </w:t>
      </w:r>
      <w:r w:rsidR="006E558F" w:rsidRPr="006E558F">
        <w:rPr>
          <w:b w:val="0"/>
          <w:bCs w:val="0"/>
          <w:color w:val="auto"/>
          <w:sz w:val="22"/>
          <w:szCs w:val="22"/>
        </w:rPr>
        <w:t xml:space="preserve">begin on the Signing Date and continue for </w:t>
      </w:r>
      <w:r w:rsidR="006E558F" w:rsidRPr="006E558F">
        <w:rPr>
          <w:b w:val="0"/>
          <w:bCs w:val="0"/>
          <w:color w:val="auto"/>
          <w:sz w:val="22"/>
          <w:szCs w:val="22"/>
          <w:highlight w:val="yellow"/>
        </w:rPr>
        <w:t>[ninety (90)]</w:t>
      </w:r>
      <w:r w:rsidR="006E558F" w:rsidRPr="006E558F">
        <w:rPr>
          <w:b w:val="0"/>
          <w:bCs w:val="0"/>
          <w:color w:val="auto"/>
          <w:sz w:val="22"/>
          <w:szCs w:val="22"/>
        </w:rPr>
        <w:t xml:space="preserve"> days (the “</w:t>
      </w:r>
      <w:r w:rsidR="006E558F" w:rsidRPr="006E558F">
        <w:rPr>
          <w:color w:val="auto"/>
          <w:sz w:val="22"/>
          <w:szCs w:val="22"/>
        </w:rPr>
        <w:t>Exclusivity Period</w:t>
      </w:r>
      <w:r w:rsidR="006E558F" w:rsidRPr="006E558F">
        <w:rPr>
          <w:b w:val="0"/>
          <w:bCs w:val="0"/>
          <w:color w:val="auto"/>
          <w:sz w:val="22"/>
          <w:szCs w:val="22"/>
        </w:rPr>
        <w:t>”).</w:t>
      </w:r>
      <w:r w:rsidR="006E558F" w:rsidRPr="00D6253C">
        <w:rPr>
          <w:rStyle w:val="FootnoteReference"/>
          <w:b w:val="0"/>
          <w:bCs w:val="0"/>
          <w:szCs w:val="22"/>
          <w:highlight w:val="green"/>
        </w:rPr>
        <w:footnoteReference w:id="23"/>
      </w:r>
      <w:r w:rsidR="006E558F" w:rsidRPr="006E558F">
        <w:rPr>
          <w:b w:val="0"/>
          <w:bCs w:val="0"/>
          <w:color w:val="auto"/>
          <w:sz w:val="22"/>
          <w:szCs w:val="22"/>
        </w:rPr>
        <w:t xml:space="preserve"> The Exclusivity Period may be extended automatically for additional thirty (30) day periods unless either party provides written notice of non-extension at least </w:t>
      </w:r>
      <w:r w:rsidR="006E558F" w:rsidRPr="006E558F">
        <w:rPr>
          <w:b w:val="0"/>
          <w:bCs w:val="0"/>
          <w:color w:val="auto"/>
          <w:sz w:val="22"/>
          <w:szCs w:val="22"/>
          <w:highlight w:val="yellow"/>
        </w:rPr>
        <w:t>[five (5)]</w:t>
      </w:r>
      <w:r w:rsidR="006E558F" w:rsidRPr="006E558F">
        <w:rPr>
          <w:b w:val="0"/>
          <w:bCs w:val="0"/>
          <w:color w:val="auto"/>
          <w:sz w:val="22"/>
          <w:szCs w:val="22"/>
        </w:rPr>
        <w:t xml:space="preserve"> business days prior to the expiration of the then-current Exclusivity Period.</w:t>
      </w:r>
      <w:r w:rsidR="006E558F">
        <w:rPr>
          <w:b w:val="0"/>
          <w:bCs w:val="0"/>
          <w:color w:val="auto"/>
          <w:sz w:val="22"/>
          <w:szCs w:val="22"/>
        </w:rPr>
        <w:t xml:space="preserve"> </w:t>
      </w:r>
      <w:r w:rsidR="006E558F" w:rsidRPr="006E558F">
        <w:rPr>
          <w:b w:val="0"/>
          <w:bCs w:val="0"/>
          <w:color w:val="auto"/>
          <w:sz w:val="22"/>
          <w:szCs w:val="22"/>
        </w:rPr>
        <w:t>During the Exclusivity Period, the Seller and the Owner shall not, directly or indirectly, and shall cause their respective affiliates and representatives not to:</w:t>
      </w:r>
      <w:r w:rsidR="006E558F">
        <w:rPr>
          <w:b w:val="0"/>
          <w:bCs w:val="0"/>
          <w:color w:val="auto"/>
          <w:sz w:val="22"/>
          <w:szCs w:val="22"/>
        </w:rPr>
        <w:t xml:space="preserve"> </w:t>
      </w:r>
      <w:r w:rsidR="006E558F" w:rsidRPr="006E558F">
        <w:rPr>
          <w:b w:val="0"/>
          <w:bCs w:val="0"/>
          <w:color w:val="auto"/>
          <w:sz w:val="22"/>
          <w:szCs w:val="22"/>
        </w:rPr>
        <w:t>(a) solicit, initiate, or encourage any inquiry, proposal, or offer relating to any sale of the Business or its assets, any investment in the Business, or any business combination involving the Business; (b) participate in, continue, or enter into any discussions or negotiations relating to any such transaction with any person other than the Buyer; (c) furnish or provide any non-public information regarding the Business to any person other than the Buyer; or (d) enter into or authorize any confidentiality agreement, letter of intent, term sheet, purchase agreement, or similar agreement relating to any such transaction with any person other than the Buyer.</w:t>
      </w:r>
      <w:r w:rsidR="006E558F">
        <w:rPr>
          <w:b w:val="0"/>
          <w:bCs w:val="0"/>
          <w:color w:val="auto"/>
          <w:sz w:val="22"/>
          <w:szCs w:val="22"/>
        </w:rPr>
        <w:t xml:space="preserve"> </w:t>
      </w:r>
      <w:r w:rsidR="006E558F" w:rsidRPr="006E558F">
        <w:rPr>
          <w:b w:val="0"/>
          <w:bCs w:val="0"/>
          <w:color w:val="auto"/>
          <w:sz w:val="22"/>
          <w:szCs w:val="22"/>
        </w:rPr>
        <w:t>The Seller and the Owner agree to promptly notify the Buyer of any inquiry, proposal, or offer received during the Exclusivity Period, including the identity of the person making such inquiry and the general terms of such proposal.</w:t>
      </w:r>
    </w:p>
    <w:p w14:paraId="00000021" w14:textId="348828DD"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Confidentiality</w:t>
      </w:r>
      <w:r w:rsidRPr="00D04B2A">
        <w:rPr>
          <w:color w:val="auto"/>
          <w:sz w:val="22"/>
          <w:szCs w:val="22"/>
        </w:rPr>
        <w:t xml:space="preserve">.  </w:t>
      </w:r>
      <w:r w:rsidR="009B224C" w:rsidRPr="009B224C">
        <w:rPr>
          <w:b w:val="0"/>
          <w:bCs w:val="0"/>
          <w:color w:val="auto"/>
          <w:sz w:val="22"/>
          <w:szCs w:val="22"/>
        </w:rPr>
        <w:t>The Seller, the Owner, and the Buyer shall, and shall cause their respective affiliates and representatives to, keep confidential and use solely in connection with the transactions contemplated by this Letter of Intent all non-public information obtained from the other party or its representatives relating to the Business or the proposed Acquisition.</w:t>
      </w:r>
      <w:r w:rsidR="009B224C">
        <w:rPr>
          <w:b w:val="0"/>
          <w:bCs w:val="0"/>
          <w:color w:val="auto"/>
          <w:sz w:val="22"/>
          <w:szCs w:val="22"/>
        </w:rPr>
        <w:t xml:space="preserve"> </w:t>
      </w:r>
      <w:r w:rsidR="009B224C" w:rsidRPr="009B224C">
        <w:rPr>
          <w:b w:val="0"/>
          <w:bCs w:val="0"/>
          <w:color w:val="auto"/>
          <w:sz w:val="22"/>
          <w:szCs w:val="22"/>
        </w:rPr>
        <w:t>Such information may be disclosed only to affiliates, lenders, investors, advisors, and representatives who have a need to know such information in connection with the proposed Acquisition and who are bound by confidentiality obligations. The foregoing shall not apply to information that (i) becomes publicly available other than through a breach of this Section, or (ii) is required to be disclosed by applicable law, regulation, or court order, provided that the disclosing party gives prompt notice to the other party to the extent legally permitted.</w:t>
      </w:r>
    </w:p>
    <w:p w14:paraId="00000022" w14:textId="2E161668"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Public Announcements</w:t>
      </w:r>
      <w:r w:rsidRPr="00D04B2A">
        <w:rPr>
          <w:color w:val="auto"/>
          <w:sz w:val="22"/>
          <w:szCs w:val="22"/>
        </w:rPr>
        <w:t xml:space="preserve">.  </w:t>
      </w:r>
      <w:r w:rsidR="009B224C" w:rsidRPr="009B224C">
        <w:rPr>
          <w:b w:val="0"/>
          <w:bCs w:val="0"/>
          <w:color w:val="auto"/>
          <w:sz w:val="22"/>
          <w:szCs w:val="22"/>
        </w:rPr>
        <w:t>Neither the Buyer, the Seller, nor the Owner shall make any public announcement, press release, or other public disclosure regarding the proposed Acquisition or the existence or terms of this Letter of Intent without the prior written consent of the other party, except to the extent disclosure is required by applicable law, regulation, or governmental authority.</w:t>
      </w:r>
      <w:r w:rsidR="009B224C" w:rsidRPr="00D6253C">
        <w:rPr>
          <w:rStyle w:val="FootnoteReference"/>
          <w:b w:val="0"/>
          <w:bCs w:val="0"/>
          <w:szCs w:val="22"/>
          <w:highlight w:val="green"/>
        </w:rPr>
        <w:footnoteReference w:id="24"/>
      </w:r>
    </w:p>
    <w:p w14:paraId="00000023" w14:textId="0FA832E0"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Expenses</w:t>
      </w:r>
      <w:r w:rsidRPr="00D04B2A">
        <w:rPr>
          <w:color w:val="auto"/>
          <w:sz w:val="22"/>
          <w:szCs w:val="22"/>
        </w:rPr>
        <w:t xml:space="preserve">.  </w:t>
      </w:r>
      <w:r w:rsidR="009B224C" w:rsidRPr="009B224C">
        <w:rPr>
          <w:b w:val="0"/>
          <w:bCs w:val="0"/>
          <w:color w:val="auto"/>
          <w:sz w:val="22"/>
          <w:szCs w:val="22"/>
        </w:rPr>
        <w:t xml:space="preserve">Except as expressly set forth below, each party shall be responsible for its own legal, accounting, financing, diligence, and other expenses incurred in connection with the negotiation, </w:t>
      </w:r>
      <w:r w:rsidR="009B224C" w:rsidRPr="009B224C">
        <w:rPr>
          <w:b w:val="0"/>
          <w:bCs w:val="0"/>
          <w:color w:val="auto"/>
          <w:sz w:val="22"/>
          <w:szCs w:val="22"/>
        </w:rPr>
        <w:lastRenderedPageBreak/>
        <w:t xml:space="preserve">execution, and delivery of this Letter of Intent and the Definitive Agreements, </w:t>
      </w:r>
      <w:proofErr w:type="gramStart"/>
      <w:r w:rsidR="009B224C" w:rsidRPr="009B224C">
        <w:rPr>
          <w:b w:val="0"/>
          <w:bCs w:val="0"/>
          <w:color w:val="auto"/>
          <w:sz w:val="22"/>
          <w:szCs w:val="22"/>
        </w:rPr>
        <w:t>whether or not</w:t>
      </w:r>
      <w:proofErr w:type="gramEnd"/>
      <w:r w:rsidR="009B224C" w:rsidRPr="009B224C">
        <w:rPr>
          <w:b w:val="0"/>
          <w:bCs w:val="0"/>
          <w:color w:val="auto"/>
          <w:sz w:val="22"/>
          <w:szCs w:val="22"/>
        </w:rPr>
        <w:t xml:space="preserve"> the Acquisition is consummated.</w:t>
      </w:r>
      <w:r w:rsidR="009B224C">
        <w:rPr>
          <w:b w:val="0"/>
          <w:bCs w:val="0"/>
          <w:color w:val="auto"/>
          <w:sz w:val="22"/>
          <w:szCs w:val="22"/>
        </w:rPr>
        <w:t xml:space="preserve"> </w:t>
      </w:r>
      <w:r w:rsidR="009B224C" w:rsidRPr="009B224C">
        <w:rPr>
          <w:b w:val="0"/>
          <w:bCs w:val="0"/>
          <w:color w:val="auto"/>
          <w:sz w:val="22"/>
          <w:szCs w:val="22"/>
          <w:highlight w:val="yellow"/>
        </w:rPr>
        <w:t xml:space="preserve">[Notwithstanding the foregoing, if the Seller, the Owner, or any of their respective representatives breaches the </w:t>
      </w:r>
      <w:r w:rsidR="00EC77D8">
        <w:rPr>
          <w:b w:val="0"/>
          <w:bCs w:val="0"/>
          <w:color w:val="auto"/>
          <w:sz w:val="22"/>
          <w:szCs w:val="22"/>
          <w:highlight w:val="yellow"/>
        </w:rPr>
        <w:t>E</w:t>
      </w:r>
      <w:r w:rsidR="00EC77D8" w:rsidRPr="009B224C">
        <w:rPr>
          <w:b w:val="0"/>
          <w:bCs w:val="0"/>
          <w:color w:val="auto"/>
          <w:sz w:val="22"/>
          <w:szCs w:val="22"/>
          <w:highlight w:val="yellow"/>
        </w:rPr>
        <w:t xml:space="preserve">xclusivity </w:t>
      </w:r>
      <w:r w:rsidR="009B224C" w:rsidRPr="009B224C">
        <w:rPr>
          <w:b w:val="0"/>
          <w:bCs w:val="0"/>
          <w:color w:val="auto"/>
          <w:sz w:val="22"/>
          <w:szCs w:val="22"/>
          <w:highlight w:val="yellow"/>
        </w:rPr>
        <w:t xml:space="preserve">obligations set forth in </w:t>
      </w:r>
      <w:r w:rsidR="009B224C" w:rsidRPr="009B224C">
        <w:rPr>
          <w:b w:val="0"/>
          <w:bCs w:val="0"/>
          <w:color w:val="auto"/>
          <w:sz w:val="22"/>
          <w:szCs w:val="22"/>
          <w:highlight w:val="yellow"/>
          <w:u w:val="single"/>
        </w:rPr>
        <w:t>Section 10</w:t>
      </w:r>
      <w:r w:rsidR="009B224C" w:rsidRPr="009B224C">
        <w:rPr>
          <w:b w:val="0"/>
          <w:bCs w:val="0"/>
          <w:color w:val="auto"/>
          <w:sz w:val="22"/>
          <w:szCs w:val="22"/>
          <w:highlight w:val="yellow"/>
        </w:rPr>
        <w:t>, then the Seller and the Owner shall be jointly and severally liable for, and shall reimburse the Buyer for, all reasonable out-of-pocket costs and expenses incurred by the Buyer in connection with the proposed Acquisition, including reasonable attorneys’ fees and expenses incurred in enforcing such obligations.]</w:t>
      </w:r>
      <w:r w:rsidR="009B224C" w:rsidRPr="00D6253C">
        <w:rPr>
          <w:rStyle w:val="FootnoteReference"/>
          <w:b w:val="0"/>
          <w:bCs w:val="0"/>
          <w:szCs w:val="22"/>
          <w:highlight w:val="green"/>
        </w:rPr>
        <w:footnoteReference w:id="25"/>
      </w:r>
      <w:r w:rsidR="009B224C">
        <w:rPr>
          <w:b w:val="0"/>
          <w:bCs w:val="0"/>
          <w:color w:val="auto"/>
          <w:sz w:val="22"/>
          <w:szCs w:val="22"/>
        </w:rPr>
        <w:t xml:space="preserve"> </w:t>
      </w:r>
      <w:r w:rsidR="009B224C" w:rsidRPr="009B224C">
        <w:rPr>
          <w:b w:val="0"/>
          <w:bCs w:val="0"/>
          <w:color w:val="auto"/>
          <w:sz w:val="22"/>
          <w:szCs w:val="22"/>
        </w:rPr>
        <w:t>Each party shall indemnify and hold harmless the other party from and against any claims for brokerage commissions, finder’s fees, or similar compensation asserted by any broker, finder, or intermediary retained by such indemnifying party in connection with the Acquisition.</w:t>
      </w:r>
    </w:p>
    <w:p w14:paraId="00000024" w14:textId="6AB3FDAC" w:rsidR="000E1858" w:rsidRPr="009B224C" w:rsidRDefault="0081637B" w:rsidP="009B224C">
      <w:pPr>
        <w:pStyle w:val="Heading1"/>
        <w:numPr>
          <w:ilvl w:val="0"/>
          <w:numId w:val="2"/>
        </w:numPr>
        <w:jc w:val="both"/>
        <w:rPr>
          <w:sz w:val="22"/>
          <w:szCs w:val="22"/>
        </w:rPr>
      </w:pPr>
      <w:r w:rsidRPr="00D04B2A">
        <w:rPr>
          <w:color w:val="auto"/>
          <w:sz w:val="22"/>
          <w:szCs w:val="22"/>
          <w:u w:val="single"/>
        </w:rPr>
        <w:t>No Commitment</w:t>
      </w:r>
      <w:r w:rsidRPr="00D04B2A">
        <w:rPr>
          <w:color w:val="auto"/>
          <w:sz w:val="22"/>
          <w:szCs w:val="22"/>
        </w:rPr>
        <w:t xml:space="preserve">.  </w:t>
      </w:r>
      <w:r w:rsidR="009B224C" w:rsidRPr="009B224C">
        <w:rPr>
          <w:b w:val="0"/>
          <w:bCs w:val="0"/>
          <w:color w:val="auto"/>
          <w:sz w:val="22"/>
          <w:szCs w:val="22"/>
        </w:rPr>
        <w:t xml:space="preserve">This Letter of Intent is intended solely as a non-binding expression of interest and does not constitute a binding agreement or commitment by either party to consummate the Acquisition, except with respect to Sections </w:t>
      </w:r>
      <w:r w:rsidR="009B224C" w:rsidRPr="009B224C">
        <w:rPr>
          <w:b w:val="0"/>
          <w:bCs w:val="0"/>
          <w:color w:val="auto"/>
          <w:sz w:val="22"/>
          <w:szCs w:val="22"/>
          <w:highlight w:val="yellow"/>
        </w:rPr>
        <w:t>[10]</w:t>
      </w:r>
      <w:r w:rsidR="009B224C" w:rsidRPr="009B224C">
        <w:rPr>
          <w:b w:val="0"/>
          <w:bCs w:val="0"/>
          <w:color w:val="auto"/>
          <w:sz w:val="22"/>
          <w:szCs w:val="22"/>
        </w:rPr>
        <w:t xml:space="preserve"> through </w:t>
      </w:r>
      <w:r w:rsidR="009B224C" w:rsidRPr="009B224C">
        <w:rPr>
          <w:b w:val="0"/>
          <w:bCs w:val="0"/>
          <w:color w:val="auto"/>
          <w:sz w:val="22"/>
          <w:szCs w:val="22"/>
          <w:highlight w:val="yellow"/>
        </w:rPr>
        <w:t>[18]</w:t>
      </w:r>
      <w:r w:rsidR="009B224C" w:rsidRPr="009B224C">
        <w:rPr>
          <w:b w:val="0"/>
          <w:bCs w:val="0"/>
          <w:color w:val="auto"/>
          <w:sz w:val="22"/>
          <w:szCs w:val="22"/>
        </w:rPr>
        <w:t xml:space="preserve"> (including this Section </w:t>
      </w:r>
      <w:r w:rsidR="009B224C" w:rsidRPr="009B224C">
        <w:rPr>
          <w:b w:val="0"/>
          <w:bCs w:val="0"/>
          <w:color w:val="auto"/>
          <w:sz w:val="22"/>
          <w:szCs w:val="22"/>
          <w:highlight w:val="yellow"/>
        </w:rPr>
        <w:t>[14]</w:t>
      </w:r>
      <w:r w:rsidR="009B224C" w:rsidRPr="009B224C">
        <w:rPr>
          <w:b w:val="0"/>
          <w:bCs w:val="0"/>
          <w:color w:val="auto"/>
          <w:sz w:val="22"/>
          <w:szCs w:val="22"/>
        </w:rPr>
        <w:t>), which are intended to be binding and are referred to collectively as the “</w:t>
      </w:r>
      <w:r w:rsidR="009B224C" w:rsidRPr="009B224C">
        <w:rPr>
          <w:color w:val="auto"/>
          <w:sz w:val="22"/>
          <w:szCs w:val="22"/>
        </w:rPr>
        <w:t>Binding Provisions</w:t>
      </w:r>
      <w:r w:rsidR="009B224C" w:rsidRPr="009B224C">
        <w:rPr>
          <w:b w:val="0"/>
          <w:bCs w:val="0"/>
          <w:color w:val="auto"/>
          <w:sz w:val="22"/>
          <w:szCs w:val="22"/>
        </w:rPr>
        <w:t>.”</w:t>
      </w:r>
      <w:r w:rsidR="009B224C">
        <w:rPr>
          <w:b w:val="0"/>
          <w:bCs w:val="0"/>
          <w:color w:val="auto"/>
          <w:sz w:val="22"/>
          <w:szCs w:val="22"/>
        </w:rPr>
        <w:t xml:space="preserve"> </w:t>
      </w:r>
      <w:r w:rsidR="009B224C" w:rsidRPr="009B224C">
        <w:rPr>
          <w:b w:val="0"/>
          <w:bCs w:val="0"/>
          <w:color w:val="auto"/>
          <w:sz w:val="22"/>
          <w:szCs w:val="22"/>
        </w:rPr>
        <w:t>No party shall be obligated to proceed with the Acquisition unless and until the Definitive Agreements have been negotiated, executed, and delivered by both parties. The parties acknowledge that this Letter of Intent does not contain all material terms required to complete the Acquisition and that the final terms of the transaction will be set forth exclusively in the Definitive Agreements.</w:t>
      </w:r>
      <w:r w:rsidR="009B224C">
        <w:rPr>
          <w:b w:val="0"/>
          <w:bCs w:val="0"/>
          <w:color w:val="auto"/>
          <w:sz w:val="22"/>
          <w:szCs w:val="22"/>
        </w:rPr>
        <w:t xml:space="preserve"> </w:t>
      </w:r>
      <w:r w:rsidR="009B224C" w:rsidRPr="009B224C">
        <w:rPr>
          <w:b w:val="0"/>
          <w:bCs w:val="0"/>
          <w:color w:val="auto"/>
          <w:sz w:val="22"/>
          <w:szCs w:val="22"/>
        </w:rPr>
        <w:t xml:space="preserve">Except as set forth in the Binding Provisions, neither party shall have any liability to the other </w:t>
      </w:r>
      <w:proofErr w:type="gramStart"/>
      <w:r w:rsidR="009B224C" w:rsidRPr="009B224C">
        <w:rPr>
          <w:b w:val="0"/>
          <w:bCs w:val="0"/>
          <w:color w:val="auto"/>
          <w:sz w:val="22"/>
          <w:szCs w:val="22"/>
        </w:rPr>
        <w:t>as a result of</w:t>
      </w:r>
      <w:proofErr w:type="gramEnd"/>
      <w:r w:rsidR="009B224C" w:rsidRPr="009B224C">
        <w:rPr>
          <w:b w:val="0"/>
          <w:bCs w:val="0"/>
          <w:color w:val="auto"/>
          <w:sz w:val="22"/>
          <w:szCs w:val="22"/>
        </w:rPr>
        <w:t xml:space="preserve"> the negotiation, execution, or termination of this Letter of Intent, or the failure to execute the Definitive Agreements.</w:t>
      </w:r>
    </w:p>
    <w:p w14:paraId="00000025" w14:textId="06A481BC" w:rsidR="000E1858" w:rsidRPr="009B224C" w:rsidRDefault="0081637B" w:rsidP="009B224C">
      <w:pPr>
        <w:pStyle w:val="Heading1"/>
        <w:numPr>
          <w:ilvl w:val="0"/>
          <w:numId w:val="2"/>
        </w:numPr>
        <w:jc w:val="both"/>
        <w:rPr>
          <w:sz w:val="22"/>
          <w:szCs w:val="22"/>
        </w:rPr>
      </w:pPr>
      <w:r w:rsidRPr="00D04B2A">
        <w:rPr>
          <w:color w:val="auto"/>
          <w:sz w:val="22"/>
          <w:szCs w:val="22"/>
          <w:u w:val="single"/>
        </w:rPr>
        <w:t>Termination</w:t>
      </w:r>
      <w:r w:rsidRPr="00D04B2A">
        <w:rPr>
          <w:color w:val="auto"/>
          <w:sz w:val="22"/>
          <w:szCs w:val="22"/>
        </w:rPr>
        <w:t xml:space="preserve">.  </w:t>
      </w:r>
      <w:r w:rsidR="009B224C" w:rsidRPr="009B224C">
        <w:rPr>
          <w:b w:val="0"/>
          <w:bCs w:val="0"/>
          <w:color w:val="auto"/>
          <w:sz w:val="22"/>
          <w:szCs w:val="22"/>
        </w:rPr>
        <w:t xml:space="preserve">This Letter of Intent shall automatically terminate on </w:t>
      </w:r>
      <w:r w:rsidR="009B224C" w:rsidRPr="009B224C">
        <w:rPr>
          <w:b w:val="0"/>
          <w:bCs w:val="0"/>
          <w:color w:val="auto"/>
          <w:sz w:val="22"/>
          <w:szCs w:val="22"/>
          <w:highlight w:val="yellow"/>
        </w:rPr>
        <w:t>[Outside Date]</w:t>
      </w:r>
      <w:r w:rsidR="009B224C" w:rsidRPr="00D6253C">
        <w:rPr>
          <w:rStyle w:val="FootnoteReference"/>
          <w:b w:val="0"/>
          <w:bCs w:val="0"/>
          <w:szCs w:val="22"/>
          <w:highlight w:val="green"/>
        </w:rPr>
        <w:footnoteReference w:id="26"/>
      </w:r>
      <w:r w:rsidR="009B224C" w:rsidRPr="009B224C">
        <w:rPr>
          <w:b w:val="0"/>
          <w:bCs w:val="0"/>
          <w:color w:val="auto"/>
          <w:sz w:val="22"/>
          <w:szCs w:val="22"/>
        </w:rPr>
        <w:t>, unless earlier terminated by either party upon written notice to the other. Either party may terminate this Letter of Intent at any time prior to the execution of the Definitive Agreements, for any reason or no reason.</w:t>
      </w:r>
      <w:r w:rsidR="009B224C">
        <w:rPr>
          <w:b w:val="0"/>
          <w:bCs w:val="0"/>
          <w:color w:val="auto"/>
          <w:sz w:val="22"/>
          <w:szCs w:val="22"/>
        </w:rPr>
        <w:t xml:space="preserve"> </w:t>
      </w:r>
      <w:r w:rsidR="009B224C" w:rsidRPr="009B224C">
        <w:rPr>
          <w:b w:val="0"/>
          <w:bCs w:val="0"/>
          <w:color w:val="auto"/>
          <w:sz w:val="22"/>
          <w:szCs w:val="22"/>
        </w:rPr>
        <w:t xml:space="preserve">Termination shall not relieve either party of liability for any breach of the Binding Provisions occurring prior to such termination. Upon termination, the parties shall have no further obligations under this Letter of Intent except for the Binding Provisions, which shall survive in accordance with their terms, including Sections </w:t>
      </w:r>
      <w:r w:rsidR="009B224C" w:rsidRPr="009B224C">
        <w:rPr>
          <w:b w:val="0"/>
          <w:bCs w:val="0"/>
          <w:color w:val="auto"/>
          <w:sz w:val="22"/>
          <w:szCs w:val="22"/>
          <w:highlight w:val="yellow"/>
        </w:rPr>
        <w:t>[11]</w:t>
      </w:r>
      <w:r w:rsidR="009B224C" w:rsidRPr="009B224C">
        <w:rPr>
          <w:b w:val="0"/>
          <w:bCs w:val="0"/>
          <w:color w:val="auto"/>
          <w:sz w:val="22"/>
          <w:szCs w:val="22"/>
        </w:rPr>
        <w:t xml:space="preserve"> (Confidentiality), </w:t>
      </w:r>
      <w:r w:rsidR="009B224C" w:rsidRPr="009B224C">
        <w:rPr>
          <w:b w:val="0"/>
          <w:bCs w:val="0"/>
          <w:color w:val="auto"/>
          <w:sz w:val="22"/>
          <w:szCs w:val="22"/>
          <w:highlight w:val="yellow"/>
        </w:rPr>
        <w:t>[12]</w:t>
      </w:r>
      <w:r w:rsidR="009B224C" w:rsidRPr="009B224C">
        <w:rPr>
          <w:b w:val="0"/>
          <w:bCs w:val="0"/>
          <w:color w:val="auto"/>
          <w:sz w:val="22"/>
          <w:szCs w:val="22"/>
        </w:rPr>
        <w:t xml:space="preserve"> (Public Announcements), </w:t>
      </w:r>
      <w:r w:rsidR="009B224C" w:rsidRPr="009B224C">
        <w:rPr>
          <w:b w:val="0"/>
          <w:bCs w:val="0"/>
          <w:color w:val="auto"/>
          <w:sz w:val="22"/>
          <w:szCs w:val="22"/>
          <w:highlight w:val="yellow"/>
        </w:rPr>
        <w:t>[13]</w:t>
      </w:r>
      <w:r w:rsidR="009B224C" w:rsidRPr="009B224C">
        <w:rPr>
          <w:b w:val="0"/>
          <w:bCs w:val="0"/>
          <w:color w:val="auto"/>
          <w:sz w:val="22"/>
          <w:szCs w:val="22"/>
        </w:rPr>
        <w:t xml:space="preserve"> (Expenses), and </w:t>
      </w:r>
      <w:r w:rsidR="009B224C" w:rsidRPr="009B224C">
        <w:rPr>
          <w:b w:val="0"/>
          <w:bCs w:val="0"/>
          <w:color w:val="auto"/>
          <w:sz w:val="22"/>
          <w:szCs w:val="22"/>
          <w:highlight w:val="yellow"/>
        </w:rPr>
        <w:t>[18]</w:t>
      </w:r>
      <w:r w:rsidR="009B224C" w:rsidRPr="009B224C">
        <w:rPr>
          <w:b w:val="0"/>
          <w:bCs w:val="0"/>
          <w:color w:val="auto"/>
          <w:sz w:val="22"/>
          <w:szCs w:val="22"/>
        </w:rPr>
        <w:t xml:space="preserve"> (Governing Law).</w:t>
      </w:r>
    </w:p>
    <w:p w14:paraId="00000026" w14:textId="2271265C" w:rsidR="000E1858" w:rsidRPr="009B224C" w:rsidRDefault="0081637B" w:rsidP="009B224C">
      <w:pPr>
        <w:pStyle w:val="Heading1"/>
        <w:numPr>
          <w:ilvl w:val="0"/>
          <w:numId w:val="2"/>
        </w:numPr>
        <w:jc w:val="both"/>
        <w:rPr>
          <w:sz w:val="22"/>
          <w:szCs w:val="22"/>
        </w:rPr>
      </w:pPr>
      <w:bookmarkStart w:id="3" w:name="_heading=h.30j0zll" w:colFirst="0" w:colLast="0"/>
      <w:bookmarkEnd w:id="3"/>
      <w:r w:rsidRPr="00D04B2A">
        <w:rPr>
          <w:color w:val="auto"/>
          <w:sz w:val="22"/>
          <w:szCs w:val="22"/>
          <w:u w:val="single"/>
        </w:rPr>
        <w:t>Entire Agreement; Amendments</w:t>
      </w:r>
      <w:r w:rsidRPr="00D04B2A">
        <w:rPr>
          <w:color w:val="auto"/>
          <w:sz w:val="22"/>
          <w:szCs w:val="22"/>
        </w:rPr>
        <w:t xml:space="preserve">.  </w:t>
      </w:r>
      <w:r w:rsidR="009B224C" w:rsidRPr="009B224C">
        <w:rPr>
          <w:b w:val="0"/>
          <w:bCs w:val="0"/>
          <w:color w:val="auto"/>
          <w:sz w:val="22"/>
          <w:szCs w:val="22"/>
        </w:rPr>
        <w:t>The Binding Provisions of this Letter of Intent, together with any applicable Confidentiality Agreement between the parties, constitute the entire agreement between the parties with respect to the subject matter hereof and supersede all prior and contemporaneous agreements, understandings, discussions, and representations, whether written or oral, relating thereto.</w:t>
      </w:r>
      <w:r w:rsidR="009B224C">
        <w:rPr>
          <w:b w:val="0"/>
          <w:bCs w:val="0"/>
          <w:color w:val="auto"/>
          <w:sz w:val="22"/>
          <w:szCs w:val="22"/>
        </w:rPr>
        <w:t xml:space="preserve"> </w:t>
      </w:r>
      <w:r w:rsidR="009B224C" w:rsidRPr="009B224C">
        <w:rPr>
          <w:b w:val="0"/>
          <w:bCs w:val="0"/>
          <w:color w:val="auto"/>
          <w:sz w:val="22"/>
          <w:szCs w:val="22"/>
        </w:rPr>
        <w:t>The Binding Provisions may be amended, modified, or supplemented only by a written agreement expressly designated as an amendment and signed by both parties.</w:t>
      </w:r>
    </w:p>
    <w:p w14:paraId="00000027" w14:textId="7BDBC540" w:rsidR="000E1858" w:rsidRPr="00D04B2A" w:rsidRDefault="0081637B" w:rsidP="00C6284F">
      <w:pPr>
        <w:pStyle w:val="Heading1"/>
        <w:numPr>
          <w:ilvl w:val="0"/>
          <w:numId w:val="2"/>
        </w:numPr>
        <w:jc w:val="both"/>
        <w:rPr>
          <w:color w:val="auto"/>
          <w:sz w:val="22"/>
          <w:szCs w:val="22"/>
        </w:rPr>
      </w:pPr>
      <w:r w:rsidRPr="00D04B2A">
        <w:rPr>
          <w:color w:val="auto"/>
          <w:sz w:val="22"/>
          <w:szCs w:val="22"/>
          <w:u w:val="single"/>
        </w:rPr>
        <w:t>Counterparts</w:t>
      </w:r>
      <w:r w:rsidR="009B224C">
        <w:rPr>
          <w:color w:val="auto"/>
          <w:sz w:val="22"/>
          <w:szCs w:val="22"/>
          <w:u w:val="single"/>
        </w:rPr>
        <w:t>; Electronic Signatures</w:t>
      </w:r>
      <w:r w:rsidRPr="00D04B2A">
        <w:rPr>
          <w:color w:val="auto"/>
          <w:sz w:val="22"/>
          <w:szCs w:val="22"/>
        </w:rPr>
        <w:t xml:space="preserve">.  </w:t>
      </w:r>
      <w:r w:rsidR="009B224C" w:rsidRPr="009B224C">
        <w:rPr>
          <w:b w:val="0"/>
          <w:bCs w:val="0"/>
          <w:color w:val="auto"/>
          <w:sz w:val="22"/>
          <w:szCs w:val="22"/>
        </w:rPr>
        <w:t xml:space="preserve">This letter may be executed in counterparts, each of which shall be deemed </w:t>
      </w:r>
      <w:proofErr w:type="gramStart"/>
      <w:r w:rsidR="009B224C" w:rsidRPr="009B224C">
        <w:rPr>
          <w:b w:val="0"/>
          <w:bCs w:val="0"/>
          <w:color w:val="auto"/>
          <w:sz w:val="22"/>
          <w:szCs w:val="22"/>
        </w:rPr>
        <w:t>an original</w:t>
      </w:r>
      <w:proofErr w:type="gramEnd"/>
      <w:r w:rsidR="009B224C" w:rsidRPr="009B224C">
        <w:rPr>
          <w:b w:val="0"/>
          <w:bCs w:val="0"/>
          <w:color w:val="auto"/>
          <w:sz w:val="22"/>
          <w:szCs w:val="22"/>
        </w:rPr>
        <w:t xml:space="preserve">, and all of which together shall constitute one and the same instrument. </w:t>
      </w:r>
      <w:r w:rsidR="009B224C" w:rsidRPr="009B224C">
        <w:rPr>
          <w:b w:val="0"/>
          <w:bCs w:val="0"/>
          <w:color w:val="auto"/>
          <w:sz w:val="22"/>
          <w:szCs w:val="22"/>
        </w:rPr>
        <w:lastRenderedPageBreak/>
        <w:t>Signatures delivered by electronic means (including .pdf, email transmission, or electronic signature platform) shall be deemed valid and binding for all purposes.</w:t>
      </w:r>
    </w:p>
    <w:p w14:paraId="00000028" w14:textId="2EFD5038" w:rsidR="000E1858" w:rsidRPr="009B224C" w:rsidRDefault="0081637B" w:rsidP="009B224C">
      <w:pPr>
        <w:pStyle w:val="Heading1"/>
        <w:keepNext/>
        <w:numPr>
          <w:ilvl w:val="0"/>
          <w:numId w:val="2"/>
        </w:numPr>
        <w:jc w:val="both"/>
        <w:rPr>
          <w:sz w:val="22"/>
          <w:szCs w:val="22"/>
        </w:rPr>
      </w:pPr>
      <w:r w:rsidRPr="00D04B2A">
        <w:rPr>
          <w:color w:val="auto"/>
          <w:sz w:val="22"/>
          <w:szCs w:val="22"/>
          <w:u w:val="single"/>
        </w:rPr>
        <w:t>Governing Law; Waiver of Jury Trial</w:t>
      </w:r>
      <w:r w:rsidRPr="00D04B2A">
        <w:rPr>
          <w:color w:val="auto"/>
          <w:sz w:val="22"/>
          <w:szCs w:val="22"/>
        </w:rPr>
        <w:t xml:space="preserve">.  </w:t>
      </w:r>
      <w:r w:rsidR="009B224C" w:rsidRPr="009B224C">
        <w:rPr>
          <w:b w:val="0"/>
          <w:bCs w:val="0"/>
          <w:color w:val="auto"/>
          <w:sz w:val="22"/>
          <w:szCs w:val="22"/>
        </w:rPr>
        <w:t xml:space="preserve">This letter, and any claim, dispute, or proceeding arising out of or relating to this letter or the transactions contemplated hereby, shall be governed by and construed in accordance with the internal laws of the State of </w:t>
      </w:r>
      <w:r w:rsidR="009B224C" w:rsidRPr="009B224C">
        <w:rPr>
          <w:b w:val="0"/>
          <w:bCs w:val="0"/>
          <w:color w:val="auto"/>
          <w:sz w:val="22"/>
          <w:szCs w:val="22"/>
          <w:highlight w:val="yellow"/>
        </w:rPr>
        <w:t>[State]</w:t>
      </w:r>
      <w:r w:rsidR="00D6253C" w:rsidRPr="00D6253C">
        <w:rPr>
          <w:rStyle w:val="FootnoteReference"/>
          <w:b w:val="0"/>
          <w:bCs w:val="0"/>
          <w:szCs w:val="22"/>
          <w:highlight w:val="green"/>
        </w:rPr>
        <w:footnoteReference w:id="27"/>
      </w:r>
      <w:r w:rsidR="009B224C" w:rsidRPr="009B224C">
        <w:rPr>
          <w:b w:val="0"/>
          <w:bCs w:val="0"/>
          <w:color w:val="auto"/>
          <w:sz w:val="22"/>
          <w:szCs w:val="22"/>
        </w:rPr>
        <w:t>, without giving effect to any choice of law or conflict of law principles that would result in the application of the laws of any other jurisdictio</w:t>
      </w:r>
      <w:r w:rsidR="009B224C">
        <w:rPr>
          <w:b w:val="0"/>
          <w:bCs w:val="0"/>
          <w:color w:val="auto"/>
          <w:sz w:val="22"/>
          <w:szCs w:val="22"/>
        </w:rPr>
        <w:t xml:space="preserve">n. </w:t>
      </w:r>
      <w:r w:rsidR="009B224C" w:rsidRPr="009B224C">
        <w:rPr>
          <w:b w:val="0"/>
          <w:bCs w:val="0"/>
          <w:color w:val="auto"/>
          <w:sz w:val="22"/>
          <w:szCs w:val="22"/>
        </w:rPr>
        <w:t>EACH PARTY HEREBY KNOWINGLY, VOLUNTARILY, AND IRREVOCABLY WAIVES ANY RIGHT TO A TRIAL BY JURY IN ANY ACTION, PROCEEDING, OR COUNTERCLAIM ARISING OUT OF OR RELATING TO THIS LETTER OR THE TRANSACTIONS CONTEMPLATED HEREBY.</w:t>
      </w:r>
    </w:p>
    <w:p w14:paraId="00000029" w14:textId="77777777" w:rsidR="000E1858" w:rsidRPr="00D04B2A" w:rsidRDefault="0081637B" w:rsidP="00C6284F">
      <w:pPr>
        <w:keepNext/>
        <w:pBdr>
          <w:top w:val="nil"/>
          <w:left w:val="nil"/>
          <w:bottom w:val="nil"/>
          <w:right w:val="nil"/>
          <w:between w:val="nil"/>
        </w:pBdr>
        <w:spacing w:before="240"/>
        <w:jc w:val="center"/>
        <w:rPr>
          <w:sz w:val="22"/>
          <w:szCs w:val="22"/>
        </w:rPr>
      </w:pPr>
      <w:r w:rsidRPr="00D04B2A">
        <w:rPr>
          <w:sz w:val="22"/>
          <w:szCs w:val="22"/>
        </w:rPr>
        <w:t>[The remainder of this page is intentionally left blank.]</w:t>
      </w:r>
    </w:p>
    <w:p w14:paraId="0000002A" w14:textId="6E5741D3" w:rsidR="000E1858" w:rsidRPr="00641FE6" w:rsidRDefault="0081637B" w:rsidP="00D6253C">
      <w:pPr>
        <w:pBdr>
          <w:top w:val="nil"/>
          <w:left w:val="nil"/>
          <w:bottom w:val="nil"/>
          <w:right w:val="nil"/>
          <w:between w:val="nil"/>
        </w:pBdr>
        <w:spacing w:before="240"/>
        <w:jc w:val="both"/>
        <w:rPr>
          <w:color w:val="000000"/>
          <w:sz w:val="22"/>
          <w:szCs w:val="22"/>
        </w:rPr>
      </w:pPr>
      <w:r w:rsidRPr="00D04B2A">
        <w:rPr>
          <w:sz w:val="22"/>
          <w:szCs w:val="22"/>
        </w:rPr>
        <w:br w:type="page"/>
      </w:r>
      <w:r w:rsidR="00D6253C" w:rsidRPr="00D6253C">
        <w:rPr>
          <w:color w:val="000000"/>
          <w:sz w:val="22"/>
          <w:szCs w:val="22"/>
        </w:rPr>
        <w:lastRenderedPageBreak/>
        <w:t xml:space="preserve">If the foregoing accurately reflects your understanding of the proposed transaction, please sign and return a copy of this letter, whereupon the Binding Provisions set forth herein will become effective in accordance with their terms. This letter shall automatically expire and be of no further force or effect if it is not executed by the Seller and delivered to the Buyer on or before 5:00 p.m. [Time Zone] on </w:t>
      </w:r>
      <w:r w:rsidR="00D6253C" w:rsidRPr="00D6253C">
        <w:rPr>
          <w:color w:val="000000"/>
          <w:sz w:val="22"/>
          <w:szCs w:val="22"/>
          <w:highlight w:val="yellow"/>
        </w:rPr>
        <w:t>[Acceptance Deadline Date]</w:t>
      </w:r>
      <w:r w:rsidR="00D6253C" w:rsidRPr="00D6253C">
        <w:rPr>
          <w:color w:val="000000"/>
          <w:sz w:val="22"/>
          <w:szCs w:val="22"/>
        </w:rPr>
        <w:t>.</w:t>
      </w:r>
    </w:p>
    <w:p w14:paraId="153CFE62" w14:textId="1D8A4BF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Pr>
          <w:color w:val="000000"/>
          <w:sz w:val="22"/>
          <w:szCs w:val="22"/>
        </w:rPr>
        <w:t>V</w:t>
      </w:r>
      <w:r w:rsidRPr="00D6253C">
        <w:rPr>
          <w:color w:val="000000"/>
          <w:sz w:val="22"/>
          <w:szCs w:val="22"/>
        </w:rPr>
        <w:t>ery truly yours,</w:t>
      </w:r>
    </w:p>
    <w:p w14:paraId="5FF7C28D" w14:textId="7777777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highlight w:val="yellow"/>
        </w:rPr>
        <w:t>[BUYER’S NAME]</w:t>
      </w:r>
    </w:p>
    <w:p w14:paraId="3EEF89F8" w14:textId="3326B3CB"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rPr>
        <w:t xml:space="preserve">By: </w:t>
      </w:r>
      <w:r>
        <w:rPr>
          <w:color w:val="000000"/>
          <w:sz w:val="22"/>
          <w:szCs w:val="22"/>
        </w:rPr>
        <w:t xml:space="preserve">     </w:t>
      </w:r>
      <w:r w:rsidRPr="00D6253C">
        <w:rPr>
          <w:color w:val="000000"/>
          <w:sz w:val="22"/>
          <w:szCs w:val="22"/>
        </w:rPr>
        <w:t>_______________________________</w:t>
      </w:r>
      <w:r w:rsidRPr="00D6253C">
        <w:rPr>
          <w:color w:val="000000"/>
          <w:sz w:val="22"/>
          <w:szCs w:val="22"/>
        </w:rPr>
        <w:br/>
        <w:t xml:space="preserve">Name: </w:t>
      </w:r>
      <w:r w:rsidRPr="00D6253C">
        <w:rPr>
          <w:color w:val="000000"/>
          <w:sz w:val="22"/>
          <w:szCs w:val="22"/>
          <w:highlight w:val="yellow"/>
        </w:rPr>
        <w:t>[Name]</w:t>
      </w:r>
      <w:r w:rsidRPr="00D6253C">
        <w:rPr>
          <w:color w:val="000000"/>
          <w:sz w:val="22"/>
          <w:szCs w:val="22"/>
        </w:rPr>
        <w:br/>
        <w:t>Title:</w:t>
      </w:r>
      <w:proofErr w:type="gramStart"/>
      <w:r>
        <w:rPr>
          <w:color w:val="000000"/>
          <w:sz w:val="22"/>
          <w:szCs w:val="22"/>
        </w:rPr>
        <w:t xml:space="preserve">  </w:t>
      </w:r>
      <w:r w:rsidRPr="00D6253C">
        <w:rPr>
          <w:color w:val="000000"/>
          <w:sz w:val="22"/>
          <w:szCs w:val="22"/>
        </w:rPr>
        <w:t xml:space="preserve"> </w:t>
      </w:r>
      <w:r w:rsidRPr="00D6253C">
        <w:rPr>
          <w:color w:val="000000"/>
          <w:sz w:val="22"/>
          <w:szCs w:val="22"/>
          <w:highlight w:val="yellow"/>
        </w:rPr>
        <w:t>[</w:t>
      </w:r>
      <w:proofErr w:type="gramEnd"/>
      <w:r w:rsidRPr="00D6253C">
        <w:rPr>
          <w:color w:val="000000"/>
          <w:sz w:val="22"/>
          <w:szCs w:val="22"/>
          <w:highlight w:val="yellow"/>
        </w:rPr>
        <w:t>Title]</w:t>
      </w:r>
    </w:p>
    <w:p w14:paraId="692F9D88" w14:textId="77777777" w:rsidR="00D6253C" w:rsidRDefault="00D6253C" w:rsidP="008928E3">
      <w:pPr>
        <w:pBdr>
          <w:top w:val="nil"/>
          <w:left w:val="nil"/>
          <w:bottom w:val="nil"/>
          <w:right w:val="nil"/>
          <w:between w:val="nil"/>
        </w:pBdr>
        <w:spacing w:before="240"/>
        <w:rPr>
          <w:color w:val="000000"/>
          <w:sz w:val="22"/>
          <w:szCs w:val="22"/>
        </w:rPr>
      </w:pPr>
    </w:p>
    <w:p w14:paraId="19B77ED1" w14:textId="740234D2" w:rsidR="008928E3" w:rsidRPr="00641FE6" w:rsidRDefault="00D6253C" w:rsidP="008928E3">
      <w:pPr>
        <w:pBdr>
          <w:top w:val="nil"/>
          <w:left w:val="nil"/>
          <w:bottom w:val="nil"/>
          <w:right w:val="nil"/>
          <w:between w:val="nil"/>
        </w:pBdr>
        <w:spacing w:before="240"/>
        <w:rPr>
          <w:b/>
          <w:bCs/>
          <w:color w:val="000000"/>
          <w:sz w:val="22"/>
          <w:szCs w:val="22"/>
        </w:rPr>
      </w:pPr>
      <w:r w:rsidRPr="00D6253C">
        <w:rPr>
          <w:color w:val="000000"/>
          <w:sz w:val="22"/>
          <w:szCs w:val="22"/>
        </w:rPr>
        <w:t>ACKNOWLEDGED AND AGREED</w:t>
      </w:r>
      <w:r w:rsidRPr="00D6253C">
        <w:rPr>
          <w:color w:val="000000"/>
          <w:sz w:val="22"/>
          <w:szCs w:val="22"/>
        </w:rPr>
        <w:br/>
        <w:t xml:space="preserve">as of </w:t>
      </w:r>
      <w:r w:rsidRPr="00D6253C">
        <w:rPr>
          <w:color w:val="000000"/>
          <w:sz w:val="22"/>
          <w:szCs w:val="22"/>
          <w:highlight w:val="yellow"/>
        </w:rPr>
        <w:t>[Date]</w:t>
      </w:r>
      <w:r>
        <w:rPr>
          <w:color w:val="000000"/>
          <w:sz w:val="22"/>
          <w:szCs w:val="22"/>
        </w:rPr>
        <w:t>, 202</w:t>
      </w:r>
      <w:r w:rsidRPr="00D6253C">
        <w:rPr>
          <w:color w:val="000000"/>
          <w:sz w:val="22"/>
          <w:szCs w:val="22"/>
          <w:highlight w:val="yellow"/>
        </w:rPr>
        <w:t>_</w:t>
      </w:r>
      <w:r w:rsidR="0081637B" w:rsidRPr="00641FE6">
        <w:rPr>
          <w:color w:val="000000"/>
          <w:sz w:val="22"/>
          <w:szCs w:val="22"/>
        </w:rPr>
        <w:br/>
      </w:r>
      <w:r w:rsidR="0081637B" w:rsidRPr="00641FE6">
        <w:rPr>
          <w:color w:val="000000"/>
          <w:sz w:val="22"/>
          <w:szCs w:val="22"/>
        </w:rPr>
        <w:br/>
      </w:r>
      <w:r w:rsidR="0081637B" w:rsidRPr="00641FE6">
        <w:rPr>
          <w:b/>
          <w:bCs/>
          <w:color w:val="000000"/>
          <w:sz w:val="22"/>
          <w:szCs w:val="22"/>
          <w:u w:val="single"/>
        </w:rPr>
        <w:t xml:space="preserve">The </w:t>
      </w:r>
      <w:r w:rsidR="008928E3" w:rsidRPr="00641FE6">
        <w:rPr>
          <w:b/>
          <w:bCs/>
          <w:color w:val="000000"/>
          <w:sz w:val="22"/>
          <w:szCs w:val="22"/>
          <w:u w:val="single"/>
        </w:rPr>
        <w:t>Seller</w:t>
      </w:r>
      <w:r w:rsidR="008928E3" w:rsidRPr="00641FE6">
        <w:rPr>
          <w:b/>
          <w:bCs/>
          <w:color w:val="000000"/>
          <w:sz w:val="22"/>
          <w:szCs w:val="22"/>
        </w:rPr>
        <w:t>:</w:t>
      </w:r>
    </w:p>
    <w:p w14:paraId="296636EF" w14:textId="32950397" w:rsidR="008928E3" w:rsidRPr="00641FE6" w:rsidRDefault="008928E3" w:rsidP="008928E3">
      <w:pPr>
        <w:pBdr>
          <w:top w:val="nil"/>
          <w:left w:val="nil"/>
          <w:bottom w:val="nil"/>
          <w:right w:val="nil"/>
          <w:between w:val="nil"/>
        </w:pBdr>
        <w:spacing w:before="240"/>
        <w:rPr>
          <w:color w:val="000000"/>
          <w:sz w:val="22"/>
          <w:szCs w:val="22"/>
        </w:rPr>
      </w:pPr>
      <w:r w:rsidRPr="00641FE6">
        <w:rPr>
          <w:color w:val="000000"/>
          <w:sz w:val="22"/>
          <w:szCs w:val="22"/>
          <w:highlight w:val="yellow"/>
        </w:rPr>
        <w:t>[BUSINESS NAME]</w:t>
      </w:r>
    </w:p>
    <w:p w14:paraId="1FE08A21" w14:textId="77777777" w:rsidR="00D6253C" w:rsidRPr="00D6253C" w:rsidRDefault="00D6253C" w:rsidP="00D6253C">
      <w:pPr>
        <w:keepLines/>
        <w:pBdr>
          <w:top w:val="nil"/>
          <w:left w:val="nil"/>
          <w:bottom w:val="nil"/>
          <w:right w:val="nil"/>
          <w:between w:val="nil"/>
        </w:pBdr>
        <w:tabs>
          <w:tab w:val="right" w:pos="9360"/>
        </w:tabs>
        <w:spacing w:before="480"/>
        <w:rPr>
          <w:color w:val="000000"/>
          <w:sz w:val="22"/>
          <w:szCs w:val="22"/>
        </w:rPr>
      </w:pPr>
      <w:r w:rsidRPr="00D6253C">
        <w:rPr>
          <w:color w:val="000000"/>
          <w:sz w:val="22"/>
          <w:szCs w:val="22"/>
        </w:rPr>
        <w:t xml:space="preserve">By: </w:t>
      </w:r>
      <w:r>
        <w:rPr>
          <w:color w:val="000000"/>
          <w:sz w:val="22"/>
          <w:szCs w:val="22"/>
        </w:rPr>
        <w:t xml:space="preserve">     </w:t>
      </w:r>
      <w:r w:rsidRPr="00D6253C">
        <w:rPr>
          <w:color w:val="000000"/>
          <w:sz w:val="22"/>
          <w:szCs w:val="22"/>
        </w:rPr>
        <w:t>_______________________________</w:t>
      </w:r>
      <w:r w:rsidRPr="00D6253C">
        <w:rPr>
          <w:color w:val="000000"/>
          <w:sz w:val="22"/>
          <w:szCs w:val="22"/>
        </w:rPr>
        <w:br/>
        <w:t xml:space="preserve">Name: </w:t>
      </w:r>
      <w:r w:rsidRPr="00D6253C">
        <w:rPr>
          <w:color w:val="000000"/>
          <w:sz w:val="22"/>
          <w:szCs w:val="22"/>
          <w:highlight w:val="yellow"/>
        </w:rPr>
        <w:t>[Name]</w:t>
      </w:r>
      <w:r w:rsidRPr="00D6253C">
        <w:rPr>
          <w:color w:val="000000"/>
          <w:sz w:val="22"/>
          <w:szCs w:val="22"/>
        </w:rPr>
        <w:br/>
        <w:t>Title:</w:t>
      </w:r>
      <w:proofErr w:type="gramStart"/>
      <w:r>
        <w:rPr>
          <w:color w:val="000000"/>
          <w:sz w:val="22"/>
          <w:szCs w:val="22"/>
        </w:rPr>
        <w:t xml:space="preserve">  </w:t>
      </w:r>
      <w:r w:rsidRPr="00D6253C">
        <w:rPr>
          <w:color w:val="000000"/>
          <w:sz w:val="22"/>
          <w:szCs w:val="22"/>
        </w:rPr>
        <w:t xml:space="preserve"> </w:t>
      </w:r>
      <w:r w:rsidRPr="00D6253C">
        <w:rPr>
          <w:color w:val="000000"/>
          <w:sz w:val="22"/>
          <w:szCs w:val="22"/>
          <w:highlight w:val="yellow"/>
        </w:rPr>
        <w:t>[</w:t>
      </w:r>
      <w:proofErr w:type="gramEnd"/>
      <w:r w:rsidRPr="00D6253C">
        <w:rPr>
          <w:color w:val="000000"/>
          <w:sz w:val="22"/>
          <w:szCs w:val="22"/>
          <w:highlight w:val="yellow"/>
        </w:rPr>
        <w:t>Title]</w:t>
      </w:r>
    </w:p>
    <w:p w14:paraId="576E31BF" w14:textId="77777777" w:rsidR="008928E3" w:rsidRPr="00641FE6" w:rsidRDefault="008928E3">
      <w:pPr>
        <w:rPr>
          <w:sz w:val="22"/>
          <w:szCs w:val="22"/>
        </w:rPr>
      </w:pPr>
    </w:p>
    <w:p w14:paraId="00742275" w14:textId="2B4842C5" w:rsidR="008928E3" w:rsidRPr="00641FE6" w:rsidRDefault="0081637B" w:rsidP="008928E3">
      <w:pPr>
        <w:pBdr>
          <w:top w:val="nil"/>
          <w:left w:val="nil"/>
          <w:bottom w:val="nil"/>
          <w:right w:val="nil"/>
          <w:between w:val="nil"/>
        </w:pBdr>
        <w:spacing w:before="240"/>
        <w:rPr>
          <w:b/>
          <w:bCs/>
          <w:color w:val="000000"/>
          <w:sz w:val="22"/>
          <w:szCs w:val="22"/>
        </w:rPr>
      </w:pPr>
      <w:r w:rsidRPr="00641FE6">
        <w:rPr>
          <w:b/>
          <w:bCs/>
          <w:color w:val="000000"/>
          <w:sz w:val="22"/>
          <w:szCs w:val="22"/>
          <w:u w:val="single"/>
        </w:rPr>
        <w:t xml:space="preserve">The </w:t>
      </w:r>
      <w:r w:rsidR="008928E3" w:rsidRPr="00641FE6">
        <w:rPr>
          <w:b/>
          <w:bCs/>
          <w:color w:val="000000"/>
          <w:sz w:val="22"/>
          <w:szCs w:val="22"/>
          <w:u w:val="single"/>
        </w:rPr>
        <w:t>Owner</w:t>
      </w:r>
      <w:r w:rsidR="008928E3" w:rsidRPr="00641FE6">
        <w:rPr>
          <w:b/>
          <w:bCs/>
          <w:color w:val="000000"/>
          <w:sz w:val="22"/>
          <w:szCs w:val="22"/>
        </w:rPr>
        <w:t>:</w:t>
      </w:r>
      <w:r w:rsidR="008928E3" w:rsidRPr="00D6253C">
        <w:rPr>
          <w:rStyle w:val="FootnoteReference"/>
          <w:sz w:val="22"/>
          <w:szCs w:val="22"/>
          <w:highlight w:val="green"/>
        </w:rPr>
        <w:footnoteReference w:id="28"/>
      </w:r>
    </w:p>
    <w:p w14:paraId="2A628FC5" w14:textId="708F5AED" w:rsidR="008928E3" w:rsidRPr="00641FE6" w:rsidRDefault="00D6253C" w:rsidP="008928E3">
      <w:pPr>
        <w:pBdr>
          <w:top w:val="nil"/>
          <w:left w:val="nil"/>
          <w:bottom w:val="nil"/>
          <w:right w:val="nil"/>
          <w:between w:val="nil"/>
        </w:pBdr>
        <w:tabs>
          <w:tab w:val="left" w:leader="underscore" w:pos="3600"/>
        </w:tabs>
        <w:spacing w:before="480"/>
        <w:rPr>
          <w:color w:val="000000"/>
          <w:sz w:val="22"/>
          <w:szCs w:val="22"/>
        </w:rPr>
      </w:pPr>
      <w:r>
        <w:rPr>
          <w:color w:val="000000"/>
          <w:sz w:val="22"/>
          <w:szCs w:val="22"/>
        </w:rPr>
        <w:t>____________________________</w:t>
      </w:r>
      <w:r>
        <w:rPr>
          <w:color w:val="000000"/>
          <w:sz w:val="22"/>
          <w:szCs w:val="22"/>
        </w:rPr>
        <w:br/>
      </w:r>
      <w:r w:rsidRPr="00D6253C">
        <w:rPr>
          <w:color w:val="000000"/>
          <w:sz w:val="22"/>
          <w:szCs w:val="22"/>
          <w:highlight w:val="yellow"/>
        </w:rPr>
        <w:t>[Name]</w:t>
      </w:r>
    </w:p>
    <w:p w14:paraId="22323A6E" w14:textId="46A02D02" w:rsidR="008928E3" w:rsidRPr="00641FE6" w:rsidRDefault="008928E3" w:rsidP="008928E3">
      <w:pPr>
        <w:pBdr>
          <w:top w:val="nil"/>
          <w:left w:val="nil"/>
          <w:bottom w:val="nil"/>
          <w:right w:val="nil"/>
          <w:between w:val="nil"/>
        </w:pBdr>
        <w:tabs>
          <w:tab w:val="left" w:leader="underscore" w:pos="3600"/>
        </w:tabs>
        <w:rPr>
          <w:color w:val="000000"/>
          <w:sz w:val="22"/>
          <w:szCs w:val="22"/>
        </w:rPr>
      </w:pPr>
      <w:r w:rsidRPr="00641FE6">
        <w:rPr>
          <w:color w:val="000000"/>
          <w:sz w:val="22"/>
          <w:szCs w:val="22"/>
        </w:rPr>
        <w:tab/>
      </w:r>
    </w:p>
    <w:p w14:paraId="7BF85AD6" w14:textId="0A2D033B" w:rsidR="008928E3" w:rsidRPr="00641FE6" w:rsidRDefault="008928E3" w:rsidP="008928E3">
      <w:pPr>
        <w:pBdr>
          <w:top w:val="nil"/>
          <w:left w:val="nil"/>
          <w:bottom w:val="nil"/>
          <w:right w:val="nil"/>
          <w:between w:val="nil"/>
        </w:pBdr>
        <w:tabs>
          <w:tab w:val="left" w:leader="underscore" w:pos="3600"/>
        </w:tabs>
        <w:rPr>
          <w:color w:val="000000"/>
          <w:sz w:val="22"/>
          <w:szCs w:val="22"/>
        </w:rPr>
      </w:pPr>
    </w:p>
    <w:p w14:paraId="33C1C338" w14:textId="77777777" w:rsidR="008928E3" w:rsidRPr="00641FE6" w:rsidRDefault="008928E3">
      <w:pPr>
        <w:rPr>
          <w:sz w:val="22"/>
          <w:szCs w:val="22"/>
        </w:rPr>
      </w:pPr>
    </w:p>
    <w:p w14:paraId="471B321B" w14:textId="77777777" w:rsidR="008928E3" w:rsidRPr="00641FE6" w:rsidRDefault="008928E3">
      <w:pPr>
        <w:rPr>
          <w:sz w:val="22"/>
          <w:szCs w:val="22"/>
        </w:rPr>
      </w:pPr>
    </w:p>
    <w:p w14:paraId="0000002D" w14:textId="38F26A09" w:rsidR="000E1858" w:rsidRPr="00641FE6" w:rsidRDefault="000E1858">
      <w:pPr>
        <w:rPr>
          <w:sz w:val="22"/>
          <w:szCs w:val="22"/>
        </w:rPr>
      </w:pPr>
    </w:p>
    <w:p w14:paraId="40FB9487" w14:textId="77777777" w:rsidR="008C1210" w:rsidRPr="00641FE6" w:rsidRDefault="008C1210">
      <w:pPr>
        <w:rPr>
          <w:sz w:val="22"/>
          <w:szCs w:val="22"/>
        </w:rPr>
        <w:sectPr w:rsidR="008C1210" w:rsidRPr="00641FE6" w:rsidSect="00D04B2A">
          <w:pgSz w:w="12240" w:h="15840"/>
          <w:pgMar w:top="1440" w:right="1440" w:bottom="1440" w:left="1440" w:header="720" w:footer="720" w:gutter="0"/>
          <w:pgNumType w:start="0"/>
          <w:cols w:space="720"/>
          <w:docGrid w:linePitch="326"/>
        </w:sectPr>
      </w:pPr>
    </w:p>
    <w:p w14:paraId="786F2CDF" w14:textId="77777777" w:rsidR="008C1210" w:rsidRPr="00641FE6" w:rsidRDefault="006731B4" w:rsidP="008C1210">
      <w:pPr>
        <w:pBdr>
          <w:top w:val="nil"/>
          <w:left w:val="nil"/>
          <w:bottom w:val="nil"/>
          <w:right w:val="nil"/>
          <w:between w:val="nil"/>
        </w:pBdr>
        <w:spacing w:before="240"/>
        <w:jc w:val="both"/>
        <w:rPr>
          <w:sz w:val="22"/>
          <w:szCs w:val="22"/>
        </w:rPr>
      </w:pPr>
      <w:r>
        <w:rPr>
          <w:noProof/>
          <w:sz w:val="22"/>
          <w:szCs w:val="22"/>
        </w:rPr>
        <w:lastRenderedPageBreak/>
        <w:pict w14:anchorId="63F67F7D">
          <v:rect id="_x0000_i1026" alt="" style="width:468pt;height:.05pt;mso-width-percent:0;mso-height-percent:0;mso-width-percent:0;mso-height-percent:0" o:hrstd="t" o:hr="t" fillcolor="#a0a0a0" stroked="f"/>
        </w:pict>
      </w:r>
    </w:p>
    <w:p w14:paraId="5C196DCE" w14:textId="77777777" w:rsidR="008C1210" w:rsidRPr="00641FE6" w:rsidRDefault="008C1210" w:rsidP="008C1210">
      <w:pPr>
        <w:pBdr>
          <w:top w:val="nil"/>
          <w:left w:val="nil"/>
          <w:bottom w:val="nil"/>
          <w:right w:val="nil"/>
          <w:between w:val="nil"/>
        </w:pBdr>
        <w:spacing w:before="240"/>
        <w:jc w:val="both"/>
        <w:rPr>
          <w:b/>
          <w:bCs/>
          <w:sz w:val="22"/>
          <w:szCs w:val="22"/>
        </w:rPr>
      </w:pPr>
      <w:r w:rsidRPr="00641FE6">
        <w:rPr>
          <w:b/>
          <w:bCs/>
          <w:sz w:val="22"/>
          <w:szCs w:val="22"/>
        </w:rPr>
        <w:t>License Agreement</w:t>
      </w:r>
    </w:p>
    <w:p w14:paraId="26C453E1" w14:textId="77777777" w:rsidR="00D6253C" w:rsidRPr="00D6253C" w:rsidRDefault="00D6253C" w:rsidP="00D6253C">
      <w:pPr>
        <w:pBdr>
          <w:top w:val="nil"/>
          <w:left w:val="nil"/>
          <w:bottom w:val="nil"/>
          <w:right w:val="nil"/>
          <w:between w:val="nil"/>
        </w:pBdr>
        <w:spacing w:before="240"/>
        <w:jc w:val="both"/>
        <w:rPr>
          <w:sz w:val="22"/>
          <w:szCs w:val="22"/>
        </w:rPr>
      </w:pPr>
      <w:r w:rsidRPr="00D6253C">
        <w:rPr>
          <w:sz w:val="22"/>
          <w:szCs w:val="22"/>
        </w:rPr>
        <w:t>This Letter of Intent (LOI) template is proprietary to SMB Law Group LLP and is licensed for individual use only.</w:t>
      </w:r>
    </w:p>
    <w:p w14:paraId="160CE302" w14:textId="00E35C6F" w:rsidR="00D6253C" w:rsidRPr="00D6253C" w:rsidRDefault="008C1210" w:rsidP="00D6253C">
      <w:pPr>
        <w:pBdr>
          <w:top w:val="nil"/>
          <w:left w:val="nil"/>
          <w:bottom w:val="nil"/>
          <w:right w:val="nil"/>
          <w:between w:val="nil"/>
        </w:pBdr>
        <w:spacing w:before="240"/>
        <w:jc w:val="both"/>
        <w:rPr>
          <w:sz w:val="22"/>
          <w:szCs w:val="22"/>
        </w:rPr>
      </w:pPr>
      <w:r w:rsidRPr="00641FE6">
        <w:rPr>
          <w:sz w:val="22"/>
          <w:szCs w:val="22"/>
        </w:rPr>
        <w:t xml:space="preserve">1. </w:t>
      </w:r>
      <w:r w:rsidR="00D6253C" w:rsidRPr="00D6253C">
        <w:rPr>
          <w:b/>
          <w:sz w:val="22"/>
          <w:szCs w:val="22"/>
        </w:rPr>
        <w:t>Permitted Use.</w:t>
      </w:r>
      <w:r w:rsidR="00D6253C" w:rsidRPr="00D6253C">
        <w:rPr>
          <w:sz w:val="22"/>
          <w:szCs w:val="22"/>
        </w:rPr>
        <w:t xml:space="preserve"> You may customize this template solely for use in your own transaction.</w:t>
      </w:r>
    </w:p>
    <w:p w14:paraId="7B841266" w14:textId="4857E4AC" w:rsidR="00D6253C" w:rsidRPr="00D6253C" w:rsidRDefault="008C1210" w:rsidP="00D6253C">
      <w:pPr>
        <w:pBdr>
          <w:top w:val="nil"/>
          <w:left w:val="nil"/>
          <w:bottom w:val="nil"/>
          <w:right w:val="nil"/>
          <w:between w:val="nil"/>
        </w:pBdr>
        <w:spacing w:before="240"/>
        <w:jc w:val="both"/>
        <w:rPr>
          <w:sz w:val="22"/>
          <w:szCs w:val="22"/>
        </w:rPr>
      </w:pPr>
      <w:r w:rsidRPr="00641FE6">
        <w:rPr>
          <w:sz w:val="22"/>
          <w:szCs w:val="22"/>
        </w:rPr>
        <w:t xml:space="preserve">2. </w:t>
      </w:r>
      <w:r w:rsidR="00D6253C" w:rsidRPr="00D6253C">
        <w:rPr>
          <w:b/>
          <w:sz w:val="22"/>
          <w:szCs w:val="22"/>
        </w:rPr>
        <w:t xml:space="preserve">No Redistribution. </w:t>
      </w:r>
      <w:r w:rsidR="00D6253C" w:rsidRPr="00D6253C">
        <w:rPr>
          <w:sz w:val="22"/>
          <w:szCs w:val="22"/>
        </w:rPr>
        <w:t>You may not distribute, reproduce, publish, sublicense, sell, or otherwise share this template, in whole or in part, with any third party without the prior written consent of SMB Law Group LLP.</w:t>
      </w:r>
    </w:p>
    <w:p w14:paraId="50D6BE0F" w14:textId="4D676725" w:rsidR="008C1210" w:rsidRDefault="00D6253C" w:rsidP="00D6253C">
      <w:pPr>
        <w:pBdr>
          <w:top w:val="nil"/>
          <w:left w:val="nil"/>
          <w:bottom w:val="nil"/>
          <w:right w:val="nil"/>
          <w:between w:val="nil"/>
        </w:pBdr>
        <w:spacing w:before="240"/>
        <w:jc w:val="both"/>
        <w:rPr>
          <w:b/>
          <w:bCs/>
          <w:sz w:val="22"/>
          <w:szCs w:val="22"/>
        </w:rPr>
      </w:pPr>
      <w:r>
        <w:rPr>
          <w:sz w:val="22"/>
          <w:szCs w:val="22"/>
        </w:rPr>
        <w:t xml:space="preserve">3. </w:t>
      </w:r>
      <w:r w:rsidRPr="00D6253C">
        <w:rPr>
          <w:b/>
          <w:bCs/>
          <w:sz w:val="22"/>
          <w:szCs w:val="22"/>
        </w:rPr>
        <w:t>Intellectual Property.</w:t>
      </w:r>
      <w:r w:rsidRPr="00D6253C">
        <w:rPr>
          <w:sz w:val="22"/>
          <w:szCs w:val="22"/>
        </w:rPr>
        <w:t xml:space="preserve"> All rights, </w:t>
      </w:r>
      <w:proofErr w:type="gramStart"/>
      <w:r w:rsidRPr="00D6253C">
        <w:rPr>
          <w:sz w:val="22"/>
          <w:szCs w:val="22"/>
        </w:rPr>
        <w:t>title</w:t>
      </w:r>
      <w:proofErr w:type="gramEnd"/>
      <w:r w:rsidRPr="00D6253C">
        <w:rPr>
          <w:sz w:val="22"/>
          <w:szCs w:val="22"/>
        </w:rPr>
        <w:t>, and interest in and to this template, including all copyright and other intellectual property rights, are retained exclusively by SMB Law Group LLP.</w:t>
      </w:r>
    </w:p>
    <w:p w14:paraId="5F687309" w14:textId="21112CE2" w:rsidR="00D6253C" w:rsidRPr="00D6253C" w:rsidRDefault="00D6253C" w:rsidP="00D6253C">
      <w:pPr>
        <w:pBdr>
          <w:top w:val="nil"/>
          <w:left w:val="nil"/>
          <w:bottom w:val="nil"/>
          <w:right w:val="nil"/>
          <w:between w:val="nil"/>
        </w:pBdr>
        <w:spacing w:before="240"/>
        <w:jc w:val="both"/>
        <w:rPr>
          <w:b/>
          <w:bCs/>
          <w:sz w:val="22"/>
          <w:szCs w:val="22"/>
        </w:rPr>
      </w:pPr>
      <w:r w:rsidRPr="00D6253C">
        <w:rPr>
          <w:sz w:val="22"/>
          <w:szCs w:val="22"/>
        </w:rPr>
        <w:t>4.</w:t>
      </w:r>
      <w:r>
        <w:rPr>
          <w:b/>
          <w:bCs/>
          <w:sz w:val="22"/>
          <w:szCs w:val="22"/>
        </w:rPr>
        <w:t xml:space="preserve"> </w:t>
      </w:r>
      <w:r w:rsidRPr="00D6253C">
        <w:rPr>
          <w:b/>
          <w:bCs/>
          <w:sz w:val="22"/>
          <w:szCs w:val="22"/>
        </w:rPr>
        <w:t xml:space="preserve">No Transfer of Rights. </w:t>
      </w:r>
      <w:r w:rsidRPr="00D6253C">
        <w:rPr>
          <w:sz w:val="22"/>
          <w:szCs w:val="22"/>
        </w:rPr>
        <w:t>Use of this template does not grant you any ownership interest or right to create derivative works for commercial distribution.</w:t>
      </w:r>
    </w:p>
    <w:p w14:paraId="79BAD0A5" w14:textId="5D0FBB8A" w:rsidR="00D6253C" w:rsidRPr="00D6253C" w:rsidRDefault="00D6253C" w:rsidP="00D6253C">
      <w:pPr>
        <w:pBdr>
          <w:top w:val="nil"/>
          <w:left w:val="nil"/>
          <w:bottom w:val="nil"/>
          <w:right w:val="nil"/>
          <w:between w:val="nil"/>
        </w:pBdr>
        <w:spacing w:before="240"/>
        <w:jc w:val="both"/>
        <w:rPr>
          <w:sz w:val="22"/>
          <w:szCs w:val="22"/>
        </w:rPr>
      </w:pPr>
      <w:r w:rsidRPr="00D6253C">
        <w:rPr>
          <w:sz w:val="22"/>
          <w:szCs w:val="22"/>
        </w:rPr>
        <w:t>Unauthorized use or distribution may result in legal action.</w:t>
      </w:r>
    </w:p>
    <w:p w14:paraId="30AD8D38" w14:textId="77777777" w:rsidR="00D6253C" w:rsidRDefault="00D6253C">
      <w:pPr>
        <w:rPr>
          <w:sz w:val="22"/>
          <w:szCs w:val="22"/>
        </w:rPr>
      </w:pPr>
    </w:p>
    <w:p w14:paraId="2734640E" w14:textId="3E28B134" w:rsidR="008C1210" w:rsidRPr="00641FE6" w:rsidRDefault="00D6253C">
      <w:pPr>
        <w:rPr>
          <w:sz w:val="22"/>
          <w:szCs w:val="22"/>
        </w:rPr>
      </w:pPr>
      <w:r w:rsidRPr="00D6253C">
        <w:rPr>
          <w:sz w:val="22"/>
          <w:szCs w:val="22"/>
        </w:rPr>
        <w:t xml:space="preserve">For licensing inquiries or written permission requests, please contact SMB Law Group LLP at </w:t>
      </w:r>
      <w:proofErr w:type="spellStart"/>
      <w:r w:rsidRPr="00D6253C">
        <w:rPr>
          <w:sz w:val="22"/>
          <w:szCs w:val="22"/>
        </w:rPr>
        <w:t>info@smblaw.group</w:t>
      </w:r>
      <w:proofErr w:type="spellEnd"/>
      <w:r w:rsidRPr="00D6253C">
        <w:rPr>
          <w:sz w:val="22"/>
          <w:szCs w:val="22"/>
        </w:rPr>
        <w:t xml:space="preserve"> or (</w:t>
      </w:r>
      <w:r w:rsidR="000E7478">
        <w:rPr>
          <w:sz w:val="22"/>
          <w:szCs w:val="22"/>
        </w:rPr>
        <w:t>469</w:t>
      </w:r>
      <w:r w:rsidRPr="00D6253C">
        <w:rPr>
          <w:sz w:val="22"/>
          <w:szCs w:val="22"/>
        </w:rPr>
        <w:t xml:space="preserve">) </w:t>
      </w:r>
      <w:r w:rsidR="000E7478">
        <w:rPr>
          <w:sz w:val="22"/>
          <w:szCs w:val="22"/>
        </w:rPr>
        <w:t>993</w:t>
      </w:r>
      <w:r w:rsidRPr="00D6253C">
        <w:rPr>
          <w:sz w:val="22"/>
          <w:szCs w:val="22"/>
        </w:rPr>
        <w:t>-</w:t>
      </w:r>
      <w:r w:rsidR="000E7478">
        <w:rPr>
          <w:sz w:val="22"/>
          <w:szCs w:val="22"/>
        </w:rPr>
        <w:t>0700</w:t>
      </w:r>
      <w:r w:rsidRPr="00D6253C">
        <w:rPr>
          <w:sz w:val="22"/>
          <w:szCs w:val="22"/>
        </w:rPr>
        <w:t>.</w:t>
      </w:r>
    </w:p>
    <w:sectPr w:rsidR="008C1210" w:rsidRPr="00641FE6" w:rsidSect="002C0AB2">
      <w:pgSz w:w="12240" w:h="15840"/>
      <w:pgMar w:top="144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DD286" w14:textId="77777777" w:rsidR="006731B4" w:rsidRDefault="006731B4">
      <w:r>
        <w:separator/>
      </w:r>
    </w:p>
  </w:endnote>
  <w:endnote w:type="continuationSeparator" w:id="0">
    <w:p w14:paraId="6AC77D6F" w14:textId="77777777" w:rsidR="006731B4" w:rsidRDefault="00673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Hei">
    <w:altName w:val="黑体"/>
    <w:panose1 w:val="02010600030101010101"/>
    <w:charset w:val="86"/>
    <w:family w:val="modern"/>
    <w:pitch w:val="fixed"/>
    <w:sig w:usb0="800002BF" w:usb1="38CF7CFA" w:usb2="00000016" w:usb3="00000000" w:csb0="00040001" w:csb1="00000000"/>
  </w:font>
  <w:font w:name="Montserrat">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D1CA4" w14:textId="77777777" w:rsidR="00D04B2A" w:rsidRPr="00D04B2A" w:rsidRDefault="00D04B2A" w:rsidP="00D04B2A">
    <w:pPr>
      <w:pStyle w:val="Footer"/>
      <w:rPr>
        <w:sz w:val="16"/>
        <w:szCs w:val="16"/>
      </w:rPr>
    </w:pPr>
    <w:r w:rsidRPr="00D04B2A">
      <w:rPr>
        <w:sz w:val="16"/>
        <w:szCs w:val="16"/>
      </w:rPr>
      <w:t>© 2026 SMB Law Group LLP. All rights reserved. This document and its contents are protected under U.S. and international copyright laws. Unauthorized reproduction, distribution, or use is prohibited.</w:t>
    </w:r>
  </w:p>
  <w:p w14:paraId="775DFF06" w14:textId="022AB3C8" w:rsidR="00D04B2A" w:rsidRPr="00D04B2A" w:rsidRDefault="00D04B2A" w:rsidP="00D04B2A">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9095B0" w14:textId="77777777" w:rsidR="006731B4" w:rsidRDefault="006731B4">
      <w:r>
        <w:separator/>
      </w:r>
    </w:p>
  </w:footnote>
  <w:footnote w:type="continuationSeparator" w:id="0">
    <w:p w14:paraId="78EBEC18" w14:textId="77777777" w:rsidR="006731B4" w:rsidRDefault="006731B4">
      <w:r>
        <w:continuationSeparator/>
      </w:r>
    </w:p>
  </w:footnote>
  <w:footnote w:id="1">
    <w:p w14:paraId="54B86196" w14:textId="50B7F6A6" w:rsidR="0098300E" w:rsidRPr="00347D3B" w:rsidRDefault="0098300E" w:rsidP="00CA108E">
      <w:pPr>
        <w:pStyle w:val="FootnoteText"/>
        <w:jc w:val="both"/>
      </w:pPr>
      <w:r w:rsidRPr="00347D3B">
        <w:rPr>
          <w:rStyle w:val="FootnoteReference"/>
        </w:rPr>
        <w:footnoteRef/>
      </w:r>
      <w:r w:rsidRPr="00347D3B">
        <w:t xml:space="preserve"> </w:t>
      </w:r>
      <w:r w:rsidR="00347D3B" w:rsidRPr="00347D3B">
        <w:rPr>
          <w:b/>
          <w:bCs/>
          <w:u w:val="single"/>
        </w:rPr>
        <w:t>SMB Note</w:t>
      </w:r>
      <w:r w:rsidR="00FE1F9A" w:rsidRPr="00347D3B">
        <w:rPr>
          <w:b/>
          <w:bCs/>
        </w:rPr>
        <w:t>:</w:t>
      </w:r>
      <w:r w:rsidR="00FE1F9A" w:rsidRPr="00347D3B">
        <w:t xml:space="preserve"> </w:t>
      </w:r>
      <w:r w:rsidR="00347D3B" w:rsidRPr="00347D3B">
        <w:t xml:space="preserve">We no longer provide “plug-and-play” flattering language here. When the same generic paragraph shows up in every LOI, sellers and brokers recognize it as </w:t>
      </w:r>
      <w:proofErr w:type="gramStart"/>
      <w:r w:rsidR="00347D3B" w:rsidRPr="00347D3B">
        <w:t>scripted</w:t>
      </w:r>
      <w:proofErr w:type="gramEnd"/>
      <w:r w:rsidR="00347D3B" w:rsidRPr="00347D3B">
        <w:t xml:space="preserve"> and it can reduce trust. A brief, specific, genuine note is more effective, and if you cannot make it specific, it is better to omit it.</w:t>
      </w:r>
    </w:p>
  </w:footnote>
  <w:footnote w:id="2">
    <w:p w14:paraId="7598FD5C" w14:textId="460A4195" w:rsidR="00347D3B" w:rsidRPr="00347D3B" w:rsidRDefault="00347D3B" w:rsidP="00410238">
      <w:pPr>
        <w:pStyle w:val="FootnoteText"/>
        <w:jc w:val="both"/>
      </w:pPr>
      <w:r w:rsidRPr="00347D3B">
        <w:rPr>
          <w:rStyle w:val="FootnoteReference"/>
        </w:rPr>
        <w:footnoteRef/>
      </w:r>
      <w:r w:rsidRPr="00347D3B">
        <w:t xml:space="preserve"> </w:t>
      </w:r>
      <w:r w:rsidRPr="00347D3B">
        <w:rPr>
          <w:b/>
          <w:bCs/>
          <w:u w:val="single"/>
        </w:rPr>
        <w:t>SMB Note</w:t>
      </w:r>
      <w:r w:rsidRPr="00347D3B">
        <w:rPr>
          <w:b/>
          <w:bCs/>
        </w:rPr>
        <w:t xml:space="preserve">: </w:t>
      </w:r>
      <w:r w:rsidRPr="00347D3B">
        <w:t xml:space="preserve">Insert the Buyer’s legal name here. The phrase “acting directly or through one or more affiliates” is included to allow the Buyer to designate a separate acquisition entity (such as a newly formed LLC or holding company) later in the process, if desired. </w:t>
      </w:r>
    </w:p>
  </w:footnote>
  <w:footnote w:id="3">
    <w:p w14:paraId="2AB3CCE7" w14:textId="12A019A3" w:rsidR="00347D3B" w:rsidRPr="00347D3B" w:rsidRDefault="00347D3B" w:rsidP="00347D3B">
      <w:pPr>
        <w:pStyle w:val="FootnoteText"/>
        <w:jc w:val="both"/>
        <w:rPr>
          <w:b/>
          <w:bCs/>
        </w:rPr>
      </w:pPr>
      <w:r>
        <w:rPr>
          <w:rStyle w:val="FootnoteReference"/>
        </w:rPr>
        <w:footnoteRef/>
      </w:r>
      <w:r>
        <w:t xml:space="preserve"> </w:t>
      </w:r>
      <w:r w:rsidR="00F57C9F">
        <w:rPr>
          <w:b/>
          <w:bCs/>
          <w:u w:val="single"/>
        </w:rPr>
        <w:t xml:space="preserve">SMB </w:t>
      </w:r>
      <w:r>
        <w:rPr>
          <w:b/>
          <w:bCs/>
          <w:u w:val="single"/>
        </w:rPr>
        <w:t>Note</w:t>
      </w:r>
      <w:r>
        <w:rPr>
          <w:b/>
          <w:bCs/>
        </w:rPr>
        <w:t xml:space="preserve">: </w:t>
      </w:r>
      <w:r w:rsidRPr="00347D3B">
        <w:t>Confirm that all internal section references (including the reference to Section 14) remain accurate if sections are added, removed, or renumbered during customization. Incorrect cross-references are a common drafting oversight and can create ambiguity in binding versus non-binding provisions.</w:t>
      </w:r>
    </w:p>
    <w:p w14:paraId="5FA8AFB2" w14:textId="4EC890FC" w:rsidR="00347D3B" w:rsidRPr="00347D3B" w:rsidRDefault="00347D3B">
      <w:pPr>
        <w:pStyle w:val="FootnoteText"/>
        <w:rPr>
          <w:b/>
          <w:bCs/>
        </w:rPr>
      </w:pPr>
    </w:p>
  </w:footnote>
  <w:footnote w:id="4">
    <w:p w14:paraId="0D908329" w14:textId="16C41171" w:rsidR="00FE695E" w:rsidRPr="00FE695E" w:rsidRDefault="00FE695E" w:rsidP="00BD15B1">
      <w:pPr>
        <w:pStyle w:val="FootnoteText"/>
        <w:jc w:val="both"/>
        <w:rPr>
          <w:b/>
          <w:bCs/>
        </w:rPr>
      </w:pPr>
      <w:r>
        <w:rPr>
          <w:rStyle w:val="FootnoteReference"/>
        </w:rPr>
        <w:footnoteRef/>
      </w:r>
      <w:r>
        <w:t xml:space="preserve"> </w:t>
      </w:r>
      <w:r>
        <w:rPr>
          <w:b/>
          <w:bCs/>
          <w:u w:val="single"/>
        </w:rPr>
        <w:t>SMB Note</w:t>
      </w:r>
      <w:r>
        <w:rPr>
          <w:b/>
          <w:bCs/>
        </w:rPr>
        <w:t xml:space="preserve">: </w:t>
      </w:r>
      <w:r w:rsidRPr="00FE695E">
        <w:t xml:space="preserve">This language intentionally ties the Purchase Price to normalized earnings and confirms that the financial assumptions will be tested through diligence (including </w:t>
      </w:r>
      <w:proofErr w:type="spellStart"/>
      <w:r w:rsidRPr="00FE695E">
        <w:t>QoE</w:t>
      </w:r>
      <w:proofErr w:type="spellEnd"/>
      <w:r w:rsidRPr="00FE695E">
        <w:t>, if applicable). This reduces post-LOI disputes if diligence reveals material differences in earnings, working capital requirements, or other financial drivers.</w:t>
      </w:r>
    </w:p>
  </w:footnote>
  <w:footnote w:id="5">
    <w:p w14:paraId="6CB7CC89" w14:textId="2216E4B0" w:rsidR="00FE695E" w:rsidRPr="00FE695E" w:rsidRDefault="00FE695E" w:rsidP="00D87799">
      <w:pPr>
        <w:pStyle w:val="FootnoteText"/>
        <w:jc w:val="both"/>
        <w:rPr>
          <w:b/>
          <w:bCs/>
        </w:rPr>
      </w:pPr>
      <w:r>
        <w:rPr>
          <w:rStyle w:val="FootnoteReference"/>
        </w:rPr>
        <w:footnoteRef/>
      </w:r>
      <w:r>
        <w:t xml:space="preserve"> </w:t>
      </w:r>
      <w:r>
        <w:rPr>
          <w:b/>
          <w:bCs/>
          <w:u w:val="single"/>
        </w:rPr>
        <w:t>SMB Note</w:t>
      </w:r>
      <w:r>
        <w:rPr>
          <w:b/>
          <w:bCs/>
        </w:rPr>
        <w:t xml:space="preserve">: </w:t>
      </w:r>
      <w:r w:rsidRPr="00FE695E">
        <w:t>Seller notes are common in lower-middle-market transactions and often influenced by lender requirements. Subordination is typically required in SBA or senior-financed transactions. Remove this subsection entirely if the transaction is cash-only.</w:t>
      </w:r>
    </w:p>
  </w:footnote>
  <w:footnote w:id="6">
    <w:p w14:paraId="257A4F56" w14:textId="15A8FF63" w:rsidR="00FE695E" w:rsidRPr="00FE695E" w:rsidRDefault="00FE695E" w:rsidP="00D87799">
      <w:pPr>
        <w:pStyle w:val="FootnoteText"/>
        <w:jc w:val="both"/>
      </w:pPr>
      <w:r>
        <w:rPr>
          <w:rStyle w:val="FootnoteReference"/>
        </w:rPr>
        <w:footnoteRef/>
      </w:r>
      <w:r>
        <w:t xml:space="preserve"> </w:t>
      </w:r>
      <w:r>
        <w:rPr>
          <w:b/>
          <w:bCs/>
          <w:u w:val="single"/>
        </w:rPr>
        <w:t>SMB Note</w:t>
      </w:r>
      <w:r>
        <w:rPr>
          <w:b/>
          <w:bCs/>
        </w:rPr>
        <w:t xml:space="preserve">: </w:t>
      </w:r>
      <w:r>
        <w:t xml:space="preserve">For a primer on the contingent promissory note structure, please see the following: </w:t>
      </w:r>
      <w:hyperlink r:id="rId1" w:history="1">
        <w:r w:rsidRPr="00FE695E">
          <w:rPr>
            <w:rStyle w:val="Hyperlink"/>
          </w:rPr>
          <w:t>https://masterclass.thesmbcenter.com/p/quick-guide-on-forgivable-notes-now</w:t>
        </w:r>
      </w:hyperlink>
    </w:p>
  </w:footnote>
  <w:footnote w:id="7">
    <w:p w14:paraId="766555B6" w14:textId="544EFB73" w:rsidR="00FE695E" w:rsidRPr="00FE695E" w:rsidRDefault="00FE695E" w:rsidP="00D87799">
      <w:pPr>
        <w:pStyle w:val="FootnoteText"/>
        <w:jc w:val="both"/>
        <w:rPr>
          <w:b/>
          <w:bCs/>
        </w:rPr>
      </w:pPr>
      <w:r>
        <w:rPr>
          <w:rStyle w:val="FootnoteReference"/>
        </w:rPr>
        <w:footnoteRef/>
      </w:r>
      <w:r>
        <w:t xml:space="preserve"> </w:t>
      </w:r>
      <w:r>
        <w:rPr>
          <w:b/>
          <w:bCs/>
          <w:u w:val="single"/>
        </w:rPr>
        <w:t>SMB Note</w:t>
      </w:r>
      <w:r>
        <w:rPr>
          <w:b/>
          <w:bCs/>
        </w:rPr>
        <w:t xml:space="preserve">: </w:t>
      </w:r>
      <w:r w:rsidRPr="00FE695E">
        <w:t>Earnouts and other contingent consideration structures are not eligible in SBA-backed acquisitions. Remove this subsection if the transaction involves SBA financing.</w:t>
      </w:r>
    </w:p>
  </w:footnote>
  <w:footnote w:id="8">
    <w:p w14:paraId="34C2DBC2" w14:textId="3CF183F9" w:rsidR="00FE695E" w:rsidRPr="00FE695E" w:rsidRDefault="00FE695E" w:rsidP="00E67822">
      <w:pPr>
        <w:pStyle w:val="FootnoteText"/>
        <w:jc w:val="both"/>
        <w:rPr>
          <w:b/>
          <w:bCs/>
        </w:rPr>
      </w:pPr>
      <w:r>
        <w:rPr>
          <w:rStyle w:val="FootnoteReference"/>
        </w:rPr>
        <w:footnoteRef/>
      </w:r>
      <w:r>
        <w:t xml:space="preserve"> </w:t>
      </w:r>
      <w:r>
        <w:rPr>
          <w:b/>
          <w:bCs/>
          <w:u w:val="single"/>
        </w:rPr>
        <w:t>SMB Note</w:t>
      </w:r>
      <w:r>
        <w:rPr>
          <w:b/>
          <w:bCs/>
        </w:rPr>
        <w:t xml:space="preserve">: </w:t>
      </w:r>
      <w:r w:rsidRPr="00FE695E">
        <w:t>Equity rollovers introduce governance, liquidity, minority protection, and tax considerations that must be addressed in separate definitive documentation. Avoid promising specific tax outcomes (such as “tax-free rollover”) unless confirmed by tax counsel. Clearly define whether the Seller will receive voting or non-voting equity, and whether the equity is in an acquisition vehicle or a holding company. Remove this subsection if no rollover is contemplated.</w:t>
      </w:r>
      <w:r>
        <w:t xml:space="preserve"> Note that in SBA financed transactions, </w:t>
      </w:r>
      <w:r w:rsidR="0052449A">
        <w:t xml:space="preserve">if the Seller will retain equity, careful attention must be given to the structure as the transaction will be required to be structured as an acquisition of less than 100% of the outstanding </w:t>
      </w:r>
      <w:r>
        <w:t xml:space="preserve">equity rollovers and </w:t>
      </w:r>
      <w:r w:rsidR="0052449A">
        <w:t xml:space="preserve">will </w:t>
      </w:r>
      <w:r>
        <w:t xml:space="preserve">require the seller to personally guarantee the SBA debt for two (2) years. </w:t>
      </w:r>
      <w:r w:rsidR="0052449A">
        <w:t xml:space="preserve">A traditional equity rollover of a portion of the purchase price into the Buyer or a new Buyer HoldCo is not </w:t>
      </w:r>
      <w:r w:rsidR="00E67822">
        <w:t>eligible</w:t>
      </w:r>
      <w:r w:rsidR="0052449A">
        <w:t xml:space="preserve"> under the current SBA SOPs.</w:t>
      </w:r>
    </w:p>
  </w:footnote>
  <w:footnote w:id="9">
    <w:p w14:paraId="1775F9A4" w14:textId="3931FF8D" w:rsidR="00EA2F84" w:rsidRPr="00347D3B" w:rsidRDefault="00EA2F84" w:rsidP="0069538E">
      <w:pPr>
        <w:pStyle w:val="FootnoteText"/>
        <w:jc w:val="both"/>
        <w:rPr>
          <w:b/>
          <w:bCs/>
        </w:rPr>
      </w:pPr>
      <w:r w:rsidRPr="00347D3B">
        <w:rPr>
          <w:rStyle w:val="FootnoteReference"/>
        </w:rPr>
        <w:footnoteRef/>
      </w:r>
      <w:r w:rsidRPr="00347D3B">
        <w:t xml:space="preserve"> </w:t>
      </w:r>
      <w:r w:rsidR="00A954FA">
        <w:rPr>
          <w:b/>
          <w:bCs/>
          <w:u w:val="single"/>
        </w:rPr>
        <w:t>SMB Note</w:t>
      </w:r>
      <w:r w:rsidRPr="00347D3B">
        <w:rPr>
          <w:b/>
          <w:bCs/>
        </w:rPr>
        <w:t xml:space="preserve">: </w:t>
      </w:r>
      <w:r w:rsidR="00A954FA" w:rsidRPr="00A954FA">
        <w:t xml:space="preserve">Working capital is not intended to change the deal economics. It is designed to ensure the business can operate normally after closing (for example: payroll, payables, inventory, and customer delivery). This is one of the most common late-stage dispute areas in </w:t>
      </w:r>
      <w:r w:rsidR="00A954FA">
        <w:t>lower-middle-market</w:t>
      </w:r>
      <w:r w:rsidR="00A954FA" w:rsidRPr="00A954FA">
        <w:t xml:space="preserve"> M&amp;A, so clarity early reduces deal friction.</w:t>
      </w:r>
      <w:r w:rsidRPr="00347D3B">
        <w:t xml:space="preserve"> </w:t>
      </w:r>
      <w:r w:rsidRPr="00347D3B">
        <w:rPr>
          <w:b/>
          <w:bCs/>
          <w:highlight w:val="yellow"/>
          <w:u w:val="single"/>
        </w:rPr>
        <w:t>Warning to Author</w:t>
      </w:r>
      <w:r w:rsidRPr="00347D3B">
        <w:rPr>
          <w:b/>
          <w:bCs/>
          <w:highlight w:val="yellow"/>
        </w:rPr>
        <w:t>: Insufficient working capital post-closing can disrupt operations significantly, particularly in sectors with high working capital demands. Address this issue thoroughly to mitigate risk.</w:t>
      </w:r>
    </w:p>
  </w:footnote>
  <w:footnote w:id="10">
    <w:p w14:paraId="1521F27F" w14:textId="24C62E11"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Pr="00A954FA">
        <w:t xml:space="preserve">The working capital definition should match how the business </w:t>
      </w:r>
      <w:proofErr w:type="gramStart"/>
      <w:r w:rsidRPr="00A954FA">
        <w:t>actually operates</w:t>
      </w:r>
      <w:proofErr w:type="gramEnd"/>
      <w:r w:rsidRPr="00A954FA">
        <w:t>. Deferred revenue, accrued expenses, and seasonality are common sources of dispute and should be discussed early, especially in service businesses with deposits or prepaid customer contracts.</w:t>
      </w:r>
    </w:p>
  </w:footnote>
  <w:footnote w:id="11">
    <w:p w14:paraId="3DB2B524" w14:textId="07ED8FBF"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Pr="00A954FA">
        <w:t>This adjustment is a standard closing mechanic. It prevents either party from being unfairly advantaged if working capital is unusually high or low at closing compared to the agreed target.</w:t>
      </w:r>
    </w:p>
  </w:footnote>
  <w:footnote w:id="12">
    <w:p w14:paraId="71EABF6E" w14:textId="16343BFA" w:rsidR="00A954FA" w:rsidRPr="00A954FA" w:rsidRDefault="00A954FA" w:rsidP="00B51055">
      <w:pPr>
        <w:pStyle w:val="FootnoteText"/>
        <w:jc w:val="both"/>
        <w:rPr>
          <w:b/>
          <w:bCs/>
        </w:rPr>
      </w:pPr>
      <w:r>
        <w:rPr>
          <w:rStyle w:val="FootnoteReference"/>
        </w:rPr>
        <w:footnoteRef/>
      </w:r>
      <w:r>
        <w:t xml:space="preserve"> </w:t>
      </w:r>
      <w:r>
        <w:rPr>
          <w:b/>
          <w:bCs/>
          <w:u w:val="single"/>
        </w:rPr>
        <w:t>SMB Note</w:t>
      </w:r>
      <w:r>
        <w:rPr>
          <w:b/>
          <w:bCs/>
        </w:rPr>
        <w:t xml:space="preserve">: </w:t>
      </w:r>
      <w:r w:rsidRPr="00A954FA">
        <w:t>If a seller note is part of the purchase price, it is common to allow downward working capital adjustments to be netted against the seller note rather than requiring the Seller to write a check after closing.</w:t>
      </w:r>
      <w:r>
        <w:t xml:space="preserve"> This is a common SBA-lender requirement. Note that adjusting against the promissory note doesn’t provide any additional liquidity in the event of a liquidity shortfall. </w:t>
      </w:r>
    </w:p>
    <w:p w14:paraId="18E8C0EA" w14:textId="55BECC48" w:rsidR="00A954FA" w:rsidRPr="00A954FA" w:rsidRDefault="00A954FA">
      <w:pPr>
        <w:pStyle w:val="FootnoteText"/>
        <w:rPr>
          <w:b/>
          <w:bCs/>
        </w:rPr>
      </w:pPr>
    </w:p>
  </w:footnote>
  <w:footnote w:id="13">
    <w:p w14:paraId="5A6023B9" w14:textId="789664CB" w:rsidR="00630E23" w:rsidRPr="00347D3B" w:rsidRDefault="00630E23" w:rsidP="0069538E">
      <w:pPr>
        <w:pStyle w:val="FootnoteText"/>
        <w:jc w:val="both"/>
      </w:pPr>
      <w:r w:rsidRPr="00347D3B">
        <w:rPr>
          <w:rStyle w:val="FootnoteReference"/>
        </w:rPr>
        <w:footnoteRef/>
      </w:r>
      <w:r w:rsidRPr="00347D3B">
        <w:t xml:space="preserve"> </w:t>
      </w:r>
      <w:r w:rsidR="005C71EB">
        <w:rPr>
          <w:b/>
          <w:bCs/>
          <w:u w:val="single"/>
        </w:rPr>
        <w:t>SMB Note</w:t>
      </w:r>
      <w:r w:rsidRPr="00347D3B">
        <w:t xml:space="preserve">: </w:t>
      </w:r>
      <w:r w:rsidR="005C71EB" w:rsidRPr="005C71EB">
        <w:t>If a Promissory Note is not part of the purchase price structure, an indemnity escrow or holdback should be established to secure indemnification obligations. Foregoing both a seller note and an escrow meaningfully increases collection risk. Consult SMB Law Group before removing structural protection.</w:t>
      </w:r>
      <w:r w:rsidR="005C71EB">
        <w:t xml:space="preserve"> Discuss with SMB Law </w:t>
      </w:r>
      <w:r w:rsidR="00B87459">
        <w:t xml:space="preserve">Group </w:t>
      </w:r>
      <w:r w:rsidR="005C71EB">
        <w:t>team.</w:t>
      </w:r>
    </w:p>
  </w:footnote>
  <w:footnote w:id="14">
    <w:p w14:paraId="61405EBE" w14:textId="5419CB3A" w:rsidR="00630E23" w:rsidRPr="00347D3B" w:rsidRDefault="00630E23" w:rsidP="005C71EB">
      <w:pPr>
        <w:pStyle w:val="FootnoteText"/>
        <w:jc w:val="both"/>
      </w:pPr>
      <w:r w:rsidRPr="00347D3B">
        <w:rPr>
          <w:rStyle w:val="FootnoteReference"/>
        </w:rPr>
        <w:footnoteRef/>
      </w:r>
      <w:r w:rsidRPr="00347D3B">
        <w:t xml:space="preserve"> </w:t>
      </w:r>
      <w:r w:rsidR="005C71EB">
        <w:rPr>
          <w:b/>
          <w:bCs/>
          <w:u w:val="single"/>
        </w:rPr>
        <w:t>SMB Note</w:t>
      </w:r>
      <w:r w:rsidRPr="00347D3B">
        <w:t xml:space="preserve">: </w:t>
      </w:r>
      <w:r w:rsidR="005C71EB" w:rsidRPr="005C71EB">
        <w:t>The indemnification caps and basket thresholds reflected here are positioned toward the buyer-friendly end of the lower-middle-market range. Depending on deal size, industry, competitiveness, and broker involvement, these percentages may be adjusted to align with the specific transaction dynamics.</w:t>
      </w:r>
    </w:p>
  </w:footnote>
  <w:footnote w:id="15">
    <w:p w14:paraId="75421384" w14:textId="40289F69" w:rsidR="005C71EB" w:rsidRPr="005C71EB" w:rsidRDefault="005C71EB" w:rsidP="005C71EB">
      <w:pPr>
        <w:pStyle w:val="FootnoteText"/>
        <w:jc w:val="both"/>
      </w:pPr>
      <w:r>
        <w:rPr>
          <w:rStyle w:val="FootnoteReference"/>
        </w:rPr>
        <w:footnoteRef/>
      </w:r>
      <w:r>
        <w:t xml:space="preserve"> </w:t>
      </w:r>
      <w:r>
        <w:rPr>
          <w:b/>
          <w:bCs/>
          <w:u w:val="single"/>
        </w:rPr>
        <w:t>SMB Note</w:t>
      </w:r>
      <w:r>
        <w:t xml:space="preserve">: </w:t>
      </w:r>
      <w:r w:rsidRPr="005C71EB">
        <w:t>Financing is one of the most common causes of failed transactions. The language above preserves necessary lender flexibility while signaling that financing is a real condition, not a formality. If the Buyer already has committed capital or is not financing the transaction, this subsection should be tailored accordingly.</w:t>
      </w:r>
    </w:p>
  </w:footnote>
  <w:footnote w:id="16">
    <w:p w14:paraId="27B51DB1" w14:textId="1337C37E" w:rsidR="008E76F8" w:rsidRPr="008E76F8" w:rsidRDefault="008E76F8" w:rsidP="008E76F8">
      <w:pPr>
        <w:pStyle w:val="FootnoteText"/>
        <w:jc w:val="both"/>
        <w:rPr>
          <w:b/>
          <w:bCs/>
        </w:rPr>
      </w:pPr>
      <w:r>
        <w:rPr>
          <w:rStyle w:val="FootnoteReference"/>
        </w:rPr>
        <w:footnoteRef/>
      </w:r>
      <w:r>
        <w:t xml:space="preserve"> </w:t>
      </w:r>
      <w:r>
        <w:rPr>
          <w:b/>
          <w:bCs/>
          <w:u w:val="single"/>
        </w:rPr>
        <w:t>SMB Note</w:t>
      </w:r>
      <w:r>
        <w:rPr>
          <w:b/>
          <w:bCs/>
        </w:rPr>
        <w:t xml:space="preserve">: </w:t>
      </w:r>
      <w:r w:rsidR="006465D5" w:rsidRPr="006465D5">
        <w:t>In most SBA-backed acquisitions, the lender will require that the Buyer have the right to occupy the premises for a term that matches the loan term (almost always ten (10) years). This requirement can typically be satisfied through a combination of an initial fixed lease term and one or more renewal options, so long as the total available term equals at least ten (10) years in the aggregate. If the Business is remote, does not require the real estate, or the Buyer has an alternative facility available, this condition may be modified or removed, but typically only with an exception approved through the lender’s underwriting process.</w:t>
      </w:r>
      <w:r w:rsidR="006465D5">
        <w:t xml:space="preserve"> In conventional financing transactions, these conditions will vary. Check with your lender.</w:t>
      </w:r>
    </w:p>
  </w:footnote>
  <w:footnote w:id="17">
    <w:p w14:paraId="74AF80E4" w14:textId="784CBDC8" w:rsidR="006359B3" w:rsidRPr="006359B3" w:rsidRDefault="006359B3" w:rsidP="009C2AD6">
      <w:pPr>
        <w:pStyle w:val="FootnoteText"/>
        <w:jc w:val="both"/>
        <w:rPr>
          <w:b/>
          <w:bCs/>
        </w:rPr>
      </w:pPr>
      <w:r>
        <w:rPr>
          <w:rStyle w:val="FootnoteReference"/>
        </w:rPr>
        <w:footnoteRef/>
      </w:r>
      <w:r>
        <w:t xml:space="preserve"> </w:t>
      </w:r>
      <w:r>
        <w:rPr>
          <w:b/>
          <w:bCs/>
          <w:u w:val="single"/>
        </w:rPr>
        <w:t>SMB Note</w:t>
      </w:r>
      <w:r>
        <w:rPr>
          <w:b/>
          <w:bCs/>
        </w:rPr>
        <w:t xml:space="preserve">: </w:t>
      </w:r>
      <w:r w:rsidR="009C2AD6" w:rsidRPr="009C2AD6">
        <w:t>This condition is included to reduce delays, avoid miscommunications, and ensure the transaction can be negotiated efficiently on a commercially reasonable timeline. Deals frequently stall or break when the Seller is represented by counsel unfamiliar with M&amp;A transactions, who may introduce non-standard positions, extended timelines, or drafting issues that materially increase execution risk. If the Seller is already represented by qualified M&amp;A counsel, this condition is automatically satisfied.</w:t>
      </w:r>
    </w:p>
  </w:footnote>
  <w:footnote w:id="18">
    <w:p w14:paraId="4759962B" w14:textId="4CA44892" w:rsidR="006E558F" w:rsidRPr="006E558F" w:rsidRDefault="006E558F">
      <w:pPr>
        <w:pStyle w:val="FootnoteText"/>
      </w:pPr>
      <w:r>
        <w:rPr>
          <w:rStyle w:val="FootnoteReference"/>
        </w:rPr>
        <w:footnoteRef/>
      </w:r>
      <w:r>
        <w:t xml:space="preserve"> </w:t>
      </w:r>
      <w:r>
        <w:rPr>
          <w:b/>
          <w:bCs/>
          <w:u w:val="single"/>
        </w:rPr>
        <w:t>SMB Note</w:t>
      </w:r>
      <w:r>
        <w:rPr>
          <w:b/>
          <w:bCs/>
        </w:rPr>
        <w:t xml:space="preserve">: </w:t>
      </w:r>
      <w:r w:rsidRPr="006E558F">
        <w:t>Material resistance to reasonable non-competition terms may indicate misalignment regarding post-closing expectations and should prompt further discussion to ensure the Seller and Owner are fully committed to the transaction and transition.</w:t>
      </w:r>
    </w:p>
  </w:footnote>
  <w:footnote w:id="19">
    <w:p w14:paraId="2365F1BF" w14:textId="22665810" w:rsidR="008D6BAF" w:rsidRPr="008D6BAF" w:rsidRDefault="008D6BAF" w:rsidP="008D6BAF">
      <w:pPr>
        <w:pStyle w:val="FootnoteText"/>
        <w:jc w:val="both"/>
        <w:rPr>
          <w:b/>
          <w:bCs/>
        </w:rPr>
      </w:pPr>
      <w:r>
        <w:rPr>
          <w:rStyle w:val="FootnoteReference"/>
        </w:rPr>
        <w:footnoteRef/>
      </w:r>
      <w:r>
        <w:t xml:space="preserve"> </w:t>
      </w:r>
      <w:r>
        <w:rPr>
          <w:b/>
          <w:bCs/>
          <w:u w:val="single"/>
        </w:rPr>
        <w:t>SMB Note</w:t>
      </w:r>
      <w:r>
        <w:rPr>
          <w:b/>
          <w:bCs/>
        </w:rPr>
        <w:t xml:space="preserve">: </w:t>
      </w:r>
      <w:r w:rsidRPr="008D6BAF">
        <w:t>A non-competition period of no less than five (5) years is strongly recommended. This duration aligns with the expectations of most SBA lenders and is commonly enforceable in the context of a business sale (as distinguished from employment-based non-competes, which are subject to heightened scrutiny).</w:t>
      </w:r>
      <w:r>
        <w:t xml:space="preserve"> Anything shorter than three (3) years or longer than seven (7) years would be considered unreasonable in most jurisdictions. </w:t>
      </w:r>
    </w:p>
  </w:footnote>
  <w:footnote w:id="20">
    <w:p w14:paraId="5812E6C2" w14:textId="3AFAC72F" w:rsidR="008D6BAF" w:rsidRDefault="008D6BAF" w:rsidP="008D6BAF">
      <w:pPr>
        <w:pStyle w:val="FootnoteText"/>
        <w:jc w:val="both"/>
      </w:pPr>
      <w:r>
        <w:rPr>
          <w:rStyle w:val="FootnoteReference"/>
        </w:rPr>
        <w:footnoteRef/>
      </w:r>
      <w:r>
        <w:t xml:space="preserve"> </w:t>
      </w:r>
      <w:r>
        <w:rPr>
          <w:b/>
          <w:bCs/>
          <w:u w:val="single"/>
        </w:rPr>
        <w:t>SMB Note</w:t>
      </w:r>
      <w:r>
        <w:rPr>
          <w:b/>
          <w:bCs/>
        </w:rPr>
        <w:t>:</w:t>
      </w:r>
      <w:r w:rsidRPr="008D6BAF">
        <w:rPr>
          <w:sz w:val="24"/>
          <w:szCs w:val="24"/>
        </w:rPr>
        <w:t xml:space="preserve"> </w:t>
      </w:r>
      <w:r w:rsidRPr="008D6BAF">
        <w:t>Non-solicitation provisions are often as important as the non-compete itself. Consider including separate restrictions for (i) employees, and (ii) customers and referral sources, especially in relationship-driven businesses.</w:t>
      </w:r>
    </w:p>
  </w:footnote>
  <w:footnote w:id="21">
    <w:p w14:paraId="0FD9AEEA" w14:textId="0F007E16" w:rsidR="008928E3" w:rsidRPr="00347D3B" w:rsidRDefault="008928E3" w:rsidP="008D6BAF">
      <w:pPr>
        <w:pStyle w:val="FootnoteText"/>
        <w:jc w:val="both"/>
      </w:pPr>
      <w:r w:rsidRPr="00347D3B">
        <w:rPr>
          <w:rStyle w:val="FootnoteReference"/>
        </w:rPr>
        <w:footnoteRef/>
      </w:r>
      <w:r w:rsidRPr="00347D3B">
        <w:t xml:space="preserve"> </w:t>
      </w:r>
      <w:r w:rsidR="008D6BAF">
        <w:rPr>
          <w:b/>
          <w:bCs/>
          <w:u w:val="single"/>
        </w:rPr>
        <w:t>SMB Note</w:t>
      </w:r>
      <w:r w:rsidR="008D6BAF">
        <w:rPr>
          <w:b/>
          <w:bCs/>
        </w:rPr>
        <w:t>:</w:t>
      </w:r>
      <w:r w:rsidR="008D6BAF" w:rsidRPr="008D6BAF">
        <w:rPr>
          <w:sz w:val="24"/>
          <w:szCs w:val="24"/>
        </w:rPr>
        <w:t xml:space="preserve"> </w:t>
      </w:r>
      <w:r w:rsidR="008D6BAF" w:rsidRPr="008D6BAF">
        <w:t>Laws governing the enforceability of non-competes vary significantly by state. The restricted period, geographic scope, and definition of restricted activities should be reviewed with legal counsel, particularly if the Buyer intends to request a restricted period longer than five (5) years or a geographic area broader than the Business’s current operating footprint.</w:t>
      </w:r>
    </w:p>
  </w:footnote>
  <w:footnote w:id="22">
    <w:p w14:paraId="346902BB" w14:textId="1D86D708" w:rsidR="006E558F" w:rsidRPr="006E558F" w:rsidRDefault="006E558F" w:rsidP="006E558F">
      <w:pPr>
        <w:pStyle w:val="FootnoteText"/>
        <w:jc w:val="both"/>
        <w:rPr>
          <w:b/>
          <w:bCs/>
        </w:rPr>
      </w:pPr>
      <w:r>
        <w:rPr>
          <w:rStyle w:val="FootnoteReference"/>
        </w:rPr>
        <w:footnoteRef/>
      </w:r>
      <w:r>
        <w:t xml:space="preserve"> </w:t>
      </w:r>
      <w:r>
        <w:rPr>
          <w:b/>
          <w:bCs/>
          <w:u w:val="single"/>
        </w:rPr>
        <w:t>SMB Note</w:t>
      </w:r>
      <w:r>
        <w:rPr>
          <w:b/>
          <w:bCs/>
        </w:rPr>
        <w:t xml:space="preserve">: </w:t>
      </w:r>
      <w:r w:rsidRPr="006E558F">
        <w:t xml:space="preserve">Transition Services are one of the most common areas of post-closing friction in Main Street and lower-middle-market acquisitions. To avoid misunderstandings, it is strongly recommended that the parties define the Owner’s role, time commitment, duration, and compensation structure as early as practicable, ideally during the LOI or early diligence stage. This is especially important if any portion of the Transition Services is expected to be included in the Purchase Price rather than paid separately. If you would like a sample transition services scope or role description, contact SMB Law Group LLP at </w:t>
      </w:r>
      <w:hyperlink r:id="rId2" w:history="1">
        <w:r w:rsidRPr="00CB19A2">
          <w:rPr>
            <w:rStyle w:val="Hyperlink"/>
          </w:rPr>
          <w:t>info@smblaw.group</w:t>
        </w:r>
      </w:hyperlink>
      <w:r>
        <w:t>.</w:t>
      </w:r>
    </w:p>
  </w:footnote>
  <w:footnote w:id="23">
    <w:p w14:paraId="7C1B51BA" w14:textId="358AD246" w:rsidR="006E558F" w:rsidRPr="006E558F" w:rsidRDefault="006E558F" w:rsidP="006E558F">
      <w:pPr>
        <w:pStyle w:val="FootnoteText"/>
        <w:jc w:val="both"/>
        <w:rPr>
          <w:b/>
          <w:bCs/>
        </w:rPr>
      </w:pPr>
      <w:r>
        <w:rPr>
          <w:rStyle w:val="FootnoteReference"/>
        </w:rPr>
        <w:footnoteRef/>
      </w:r>
      <w:r>
        <w:t xml:space="preserve"> </w:t>
      </w:r>
      <w:r>
        <w:rPr>
          <w:b/>
          <w:bCs/>
          <w:u w:val="single"/>
        </w:rPr>
        <w:t>SMB Note</w:t>
      </w:r>
      <w:r>
        <w:rPr>
          <w:b/>
          <w:bCs/>
        </w:rPr>
        <w:t xml:space="preserve">: </w:t>
      </w:r>
      <w:r w:rsidRPr="006E558F">
        <w:t xml:space="preserve">Exclusivity protects the Buyer’s investment of time, diligence costs, and professional fees. In </w:t>
      </w:r>
      <w:proofErr w:type="gramStart"/>
      <w:r w:rsidRPr="006E558F">
        <w:t>most lower</w:t>
      </w:r>
      <w:proofErr w:type="gramEnd"/>
      <w:r w:rsidRPr="006E558F">
        <w:t xml:space="preserve">-middle-market acquisitions, </w:t>
      </w:r>
      <w:r w:rsidR="009B224C">
        <w:t>45 to 90</w:t>
      </w:r>
      <w:r w:rsidRPr="006E558F">
        <w:t xml:space="preserve"> days is a common range depending on the complexity of diligence, lender timelines, and the responsiveness of the Seller. </w:t>
      </w:r>
      <w:r w:rsidR="009B224C" w:rsidRPr="009B224C">
        <w:t>Exclusivity is as much a signaling tool as a legal protection. Buyers who appear indecisive, slow, or underprepared often lose deals even with exclusivity language in place. To protect close probability, the Buyer should demonstrate commitment by moving quickly on diligence, financing, and drafting once exclusivity begins.</w:t>
      </w:r>
    </w:p>
  </w:footnote>
  <w:footnote w:id="24">
    <w:p w14:paraId="20665BF0" w14:textId="7195E5B4"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Pr="009B224C">
        <w:t xml:space="preserve">In </w:t>
      </w:r>
      <w:proofErr w:type="gramStart"/>
      <w:r w:rsidRPr="009B224C">
        <w:t>most lower</w:t>
      </w:r>
      <w:proofErr w:type="gramEnd"/>
      <w:r w:rsidRPr="009B224C">
        <w:t>-middle-market transactions, premature disclosure can create customer, employee, or vendor disruption and materially increase deal risk. If the Seller is broker-represented, confirm that this provision aligns with any marketing or disclosure requirements imposed by the broker.</w:t>
      </w:r>
    </w:p>
  </w:footnote>
  <w:footnote w:id="25">
    <w:p w14:paraId="5D4FF1E9" w14:textId="100AD734"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Pr="009B224C">
        <w:t xml:space="preserve">This reimbursement provision is optional and may be removed if the Buyer prefers a softer exclusivity framework. However, including a reimbursement remedy is often advisable where the Buyer expects to incur meaningful diligence, lender, or legal costs during the exclusivity period. Without a reimbursement remedy, exclusivity may be difficult to enforce in </w:t>
      </w:r>
      <w:proofErr w:type="gramStart"/>
      <w:r w:rsidRPr="009B224C">
        <w:t>practice</w:t>
      </w:r>
      <w:proofErr w:type="gramEnd"/>
      <w:r w:rsidRPr="009B224C">
        <w:t xml:space="preserve"> and the Buyer may have limited recourse if the Seller shops the transaction or otherwise breaches exclusivity.</w:t>
      </w:r>
    </w:p>
  </w:footnote>
  <w:footnote w:id="26">
    <w:p w14:paraId="59FC588E" w14:textId="77777777" w:rsidR="009B224C" w:rsidRPr="009B224C" w:rsidRDefault="009B224C" w:rsidP="009B224C">
      <w:pPr>
        <w:pStyle w:val="FootnoteText"/>
        <w:jc w:val="both"/>
        <w:rPr>
          <w:b/>
          <w:bCs/>
        </w:rPr>
      </w:pPr>
      <w:r>
        <w:rPr>
          <w:rStyle w:val="FootnoteReference"/>
        </w:rPr>
        <w:footnoteRef/>
      </w:r>
      <w:r>
        <w:t xml:space="preserve"> </w:t>
      </w:r>
      <w:r>
        <w:rPr>
          <w:b/>
          <w:bCs/>
          <w:u w:val="single"/>
        </w:rPr>
        <w:t>SMB Note</w:t>
      </w:r>
      <w:r>
        <w:rPr>
          <w:b/>
          <w:bCs/>
        </w:rPr>
        <w:t xml:space="preserve">: </w:t>
      </w:r>
      <w:r w:rsidRPr="009B224C">
        <w:t xml:space="preserve">The Outside Date should allow sufficient time for completion of financial due diligence (including any </w:t>
      </w:r>
      <w:proofErr w:type="spellStart"/>
      <w:r w:rsidRPr="009B224C">
        <w:t>QoE</w:t>
      </w:r>
      <w:proofErr w:type="spellEnd"/>
      <w:r w:rsidRPr="009B224C">
        <w:t xml:space="preserve">), lender underwriting, documentation, and negotiation of the Definitive Agreements. In </w:t>
      </w:r>
      <w:proofErr w:type="gramStart"/>
      <w:r w:rsidRPr="009B224C">
        <w:t>most lower</w:t>
      </w:r>
      <w:proofErr w:type="gramEnd"/>
      <w:r w:rsidRPr="009B224C">
        <w:t>-middle-market acquisitions, this period ranges from 60 to 120 days depending on complexity and financing structure. Selecting a date that is too short may create unnecessary deadline pressure; selecting one that is too long may reduce deal momentum. The date should balance urgency with practical execution realities.</w:t>
      </w:r>
    </w:p>
    <w:p w14:paraId="78E7556D" w14:textId="40DE1D52" w:rsidR="009B224C" w:rsidRPr="009B224C" w:rsidRDefault="009B224C">
      <w:pPr>
        <w:pStyle w:val="FootnoteText"/>
        <w:rPr>
          <w:b/>
          <w:bCs/>
        </w:rPr>
      </w:pPr>
    </w:p>
  </w:footnote>
  <w:footnote w:id="27">
    <w:p w14:paraId="0FD76F73" w14:textId="57008428" w:rsidR="00D6253C" w:rsidRPr="00D6253C" w:rsidRDefault="00D6253C" w:rsidP="00D6253C">
      <w:pPr>
        <w:pStyle w:val="FootnoteText"/>
        <w:jc w:val="both"/>
        <w:rPr>
          <w:b/>
          <w:bCs/>
        </w:rPr>
      </w:pPr>
      <w:r>
        <w:rPr>
          <w:rStyle w:val="FootnoteReference"/>
        </w:rPr>
        <w:footnoteRef/>
      </w:r>
      <w:r>
        <w:t xml:space="preserve"> </w:t>
      </w:r>
      <w:r>
        <w:rPr>
          <w:b/>
          <w:bCs/>
          <w:u w:val="single"/>
        </w:rPr>
        <w:t>SMB Note</w:t>
      </w:r>
      <w:r>
        <w:rPr>
          <w:b/>
          <w:bCs/>
        </w:rPr>
        <w:t xml:space="preserve">: </w:t>
      </w:r>
      <w:r w:rsidRPr="00D6253C">
        <w:t xml:space="preserve">Choose the governing law state intentionally. </w:t>
      </w:r>
      <w:r w:rsidRPr="00D6253C">
        <w:t>In most Main Street and lower-middle-market deals, this is typically the state where the Business is located, where the Seller is formed, or where the Buyer acquisition entity is formed</w:t>
      </w:r>
      <w:r w:rsidR="000E7478">
        <w:t xml:space="preserve">, though many lower-middle market deals will select a </w:t>
      </w:r>
      <w:r w:rsidR="000E7478">
        <w:t>business</w:t>
      </w:r>
      <w:r w:rsidR="00E67822">
        <w:t>-</w:t>
      </w:r>
      <w:r w:rsidR="000E7478">
        <w:t>friendly jurisdiction such as Delaware</w:t>
      </w:r>
      <w:r w:rsidRPr="00D6253C">
        <w:t>. If you expect litigation risk or a difficult seller, consult counsel before selecting the governing law state.</w:t>
      </w:r>
    </w:p>
    <w:p w14:paraId="46FB4F02" w14:textId="56DB561C" w:rsidR="00D6253C" w:rsidRPr="00D6253C" w:rsidRDefault="00D6253C">
      <w:pPr>
        <w:pStyle w:val="FootnoteText"/>
        <w:rPr>
          <w:b/>
          <w:bCs/>
        </w:rPr>
      </w:pPr>
    </w:p>
  </w:footnote>
  <w:footnote w:id="28">
    <w:p w14:paraId="69F99C18" w14:textId="388E4AFE" w:rsidR="008928E3" w:rsidRPr="00347D3B" w:rsidRDefault="008928E3">
      <w:pPr>
        <w:pStyle w:val="FootnoteText"/>
      </w:pPr>
      <w:r w:rsidRPr="00347D3B">
        <w:rPr>
          <w:rStyle w:val="FootnoteReference"/>
        </w:rPr>
        <w:footnoteRef/>
      </w:r>
      <w:r w:rsidRPr="00347D3B">
        <w:t xml:space="preserve"> </w:t>
      </w:r>
      <w:r w:rsidR="00D6253C">
        <w:rPr>
          <w:b/>
          <w:bCs/>
          <w:u w:val="single"/>
        </w:rPr>
        <w:t>SMB Note</w:t>
      </w:r>
      <w:r w:rsidRPr="00347D3B">
        <w:rPr>
          <w:b/>
          <w:bCs/>
        </w:rPr>
        <w:t>:</w:t>
      </w:r>
      <w:r w:rsidRPr="00347D3B">
        <w:t xml:space="preserve"> If there is more than one owner, add signature blocks and try to collect as many of their signatures as possible just to ensure alignment with the Owners on the terms of the sale. That said, </w:t>
      </w:r>
      <w:proofErr w:type="gramStart"/>
      <w:r w:rsidRPr="00347D3B">
        <w:t>as long as</w:t>
      </w:r>
      <w:proofErr w:type="gramEnd"/>
      <w:r w:rsidRPr="00347D3B">
        <w:t xml:space="preserve"> you have one Owner sign you should be ok.</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1AD2F" w14:textId="3C179E2F" w:rsidR="00D04B2A" w:rsidRDefault="00D04B2A">
    <w:pPr>
      <w:pStyle w:val="Header"/>
    </w:pPr>
  </w:p>
  <w:p w14:paraId="0F015B24" w14:textId="77777777" w:rsidR="00D04B2A" w:rsidRDefault="00D04B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77D15" w14:textId="1EBE1DF9" w:rsidR="00D04B2A" w:rsidRDefault="0016515B">
    <w:pPr>
      <w:pStyle w:val="Header"/>
    </w:pPr>
    <w:r>
      <w:rPr>
        <w:noProof/>
      </w:rPr>
      <w:drawing>
        <wp:inline distT="0" distB="0" distL="0" distR="0" wp14:anchorId="7E908D14" wp14:editId="60404D98">
          <wp:extent cx="857250" cy="460955"/>
          <wp:effectExtent l="0" t="0" r="0" b="0"/>
          <wp:docPr id="2087558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558176" name="Picture 2087558176"/>
                  <pic:cNvPicPr/>
                </pic:nvPicPr>
                <pic:blipFill>
                  <a:blip r:embed="rId1">
                    <a:extLst>
                      <a:ext uri="{28A0092B-C50C-407E-A947-70E740481C1C}">
                        <a14:useLocalDpi xmlns:a14="http://schemas.microsoft.com/office/drawing/2010/main" val="0"/>
                      </a:ext>
                    </a:extLst>
                  </a:blip>
                  <a:stretch>
                    <a:fillRect/>
                  </a:stretch>
                </pic:blipFill>
                <pic:spPr>
                  <a:xfrm>
                    <a:off x="0" y="0"/>
                    <a:ext cx="865357" cy="465314"/>
                  </a:xfrm>
                  <a:prstGeom prst="rect">
                    <a:avLst/>
                  </a:prstGeom>
                </pic:spPr>
              </pic:pic>
            </a:graphicData>
          </a:graphic>
        </wp:inline>
      </w:drawing>
    </w:r>
  </w:p>
  <w:p w14:paraId="7AC197E6" w14:textId="77777777" w:rsidR="00D04B2A" w:rsidRDefault="00D04B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73F0E"/>
    <w:multiLevelType w:val="multilevel"/>
    <w:tmpl w:val="93A21B7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ADA7810"/>
    <w:multiLevelType w:val="multilevel"/>
    <w:tmpl w:val="8FBEF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88009B"/>
    <w:multiLevelType w:val="multilevel"/>
    <w:tmpl w:val="AEA80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C4611C"/>
    <w:multiLevelType w:val="multilevel"/>
    <w:tmpl w:val="867A7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405CB9"/>
    <w:multiLevelType w:val="multilevel"/>
    <w:tmpl w:val="F9EC994C"/>
    <w:lvl w:ilvl="0">
      <w:start w:val="1"/>
      <w:numFmt w:val="decimal"/>
      <w:lvlText w:val="%1."/>
      <w:lvlJc w:val="left"/>
      <w:pPr>
        <w:ind w:left="0" w:firstLine="720"/>
      </w:pPr>
      <w:rPr>
        <w:b w:val="0"/>
        <w:i w:val="0"/>
        <w:smallCaps w:val="0"/>
        <w:color w:val="010000"/>
        <w:u w:val="none"/>
      </w:rPr>
    </w:lvl>
    <w:lvl w:ilvl="1">
      <w:start w:val="1"/>
      <w:numFmt w:val="lowerLetter"/>
      <w:lvlText w:val="(%2)"/>
      <w:lvlJc w:val="left"/>
      <w:pPr>
        <w:ind w:left="0" w:firstLine="1440"/>
      </w:pPr>
      <w:rPr>
        <w:b w:val="0"/>
        <w:i w:val="0"/>
        <w:smallCaps w:val="0"/>
        <w:color w:val="010000"/>
        <w:u w:val="none"/>
      </w:rPr>
    </w:lvl>
    <w:lvl w:ilvl="2">
      <w:start w:val="1"/>
      <w:numFmt w:val="lowerRoman"/>
      <w:lvlText w:val="(%3)"/>
      <w:lvlJc w:val="left"/>
      <w:pPr>
        <w:ind w:left="0" w:firstLine="2160"/>
      </w:pPr>
      <w:rPr>
        <w:b w:val="0"/>
        <w:smallCaps w:val="0"/>
        <w:color w:val="010000"/>
        <w:u w:val="none"/>
      </w:rPr>
    </w:lvl>
    <w:lvl w:ilvl="3">
      <w:start w:val="1"/>
      <w:numFmt w:val="upperLetter"/>
      <w:lvlText w:val="(%4)"/>
      <w:lvlJc w:val="left"/>
      <w:pPr>
        <w:ind w:left="0" w:firstLine="2880"/>
      </w:pPr>
      <w:rPr>
        <w:b w:val="0"/>
        <w:i w:val="0"/>
        <w:smallCaps w:val="0"/>
        <w:color w:val="010000"/>
        <w:u w:val="none"/>
      </w:rPr>
    </w:lvl>
    <w:lvl w:ilvl="4">
      <w:start w:val="1"/>
      <w:numFmt w:val="lowerLetter"/>
      <w:lvlText w:val="%5."/>
      <w:lvlJc w:val="left"/>
      <w:pPr>
        <w:ind w:left="0" w:firstLine="2880"/>
      </w:pPr>
      <w:rPr>
        <w:b w:val="0"/>
        <w:i w:val="0"/>
        <w:smallCaps w:val="0"/>
        <w:color w:val="010000"/>
        <w:u w:val="none"/>
      </w:rPr>
    </w:lvl>
    <w:lvl w:ilvl="5">
      <w:start w:val="1"/>
      <w:numFmt w:val="lowerRoman"/>
      <w:lvlText w:val="%6."/>
      <w:lvlJc w:val="left"/>
      <w:pPr>
        <w:ind w:left="0" w:firstLine="2880"/>
      </w:pPr>
      <w:rPr>
        <w:b w:val="0"/>
        <w:i w:val="0"/>
        <w:smallCaps w:val="0"/>
        <w:color w:val="010000"/>
        <w:u w:val="none"/>
      </w:rPr>
    </w:lvl>
    <w:lvl w:ilvl="6">
      <w:start w:val="1"/>
      <w:numFmt w:val="decimal"/>
      <w:lvlText w:val="%7)"/>
      <w:lvlJc w:val="left"/>
      <w:pPr>
        <w:ind w:left="0" w:firstLine="2880"/>
      </w:pPr>
      <w:rPr>
        <w:b w:val="0"/>
        <w:i w:val="0"/>
        <w:smallCaps w:val="0"/>
        <w:color w:val="010000"/>
        <w:u w:val="none"/>
      </w:rPr>
    </w:lvl>
    <w:lvl w:ilvl="7">
      <w:start w:val="1"/>
      <w:numFmt w:val="lowerLetter"/>
      <w:lvlText w:val="%8)"/>
      <w:lvlJc w:val="left"/>
      <w:pPr>
        <w:ind w:left="0" w:firstLine="2880"/>
      </w:pPr>
      <w:rPr>
        <w:b w:val="0"/>
        <w:i w:val="0"/>
        <w:smallCaps w:val="0"/>
        <w:color w:val="010000"/>
        <w:u w:val="none"/>
      </w:rPr>
    </w:lvl>
    <w:lvl w:ilvl="8">
      <w:start w:val="1"/>
      <w:numFmt w:val="lowerRoman"/>
      <w:lvlText w:val="%9)"/>
      <w:lvlJc w:val="left"/>
      <w:pPr>
        <w:ind w:left="0" w:firstLine="2880"/>
      </w:pPr>
      <w:rPr>
        <w:b w:val="0"/>
        <w:i w:val="0"/>
        <w:smallCaps w:val="0"/>
        <w:color w:val="010000"/>
        <w:u w:val="none"/>
      </w:rPr>
    </w:lvl>
  </w:abstractNum>
  <w:abstractNum w:abstractNumId="5" w15:restartNumberingAfterBreak="0">
    <w:nsid w:val="2BD13A98"/>
    <w:multiLevelType w:val="multilevel"/>
    <w:tmpl w:val="2A3A3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6B8731D"/>
    <w:multiLevelType w:val="multilevel"/>
    <w:tmpl w:val="C852A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6022D5"/>
    <w:multiLevelType w:val="multilevel"/>
    <w:tmpl w:val="F6CA6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913415"/>
    <w:multiLevelType w:val="multilevel"/>
    <w:tmpl w:val="717E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76D4090"/>
    <w:multiLevelType w:val="hybridMultilevel"/>
    <w:tmpl w:val="9E00CCD6"/>
    <w:lvl w:ilvl="0" w:tplc="0409000F">
      <w:start w:val="1"/>
      <w:numFmt w:val="decimal"/>
      <w:lvlText w:val="%1."/>
      <w:lvlJc w:val="left"/>
      <w:pPr>
        <w:ind w:left="72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0" w15:restartNumberingAfterBreak="0">
    <w:nsid w:val="596D732B"/>
    <w:multiLevelType w:val="multilevel"/>
    <w:tmpl w:val="2DC4F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B064DE2"/>
    <w:multiLevelType w:val="multilevel"/>
    <w:tmpl w:val="36C0B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0C7BFE"/>
    <w:multiLevelType w:val="multilevel"/>
    <w:tmpl w:val="0BE6D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446CC1"/>
    <w:multiLevelType w:val="hybridMultilevel"/>
    <w:tmpl w:val="4E5A3E5E"/>
    <w:lvl w:ilvl="0" w:tplc="EBF4A074">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C194974"/>
    <w:multiLevelType w:val="multilevel"/>
    <w:tmpl w:val="5C627D68"/>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num w:numId="1" w16cid:durableId="1838692856">
    <w:abstractNumId w:val="0"/>
  </w:num>
  <w:num w:numId="2" w16cid:durableId="2036617826">
    <w:abstractNumId w:val="4"/>
  </w:num>
  <w:num w:numId="3" w16cid:durableId="938172018">
    <w:abstractNumId w:val="14"/>
  </w:num>
  <w:num w:numId="4" w16cid:durableId="208529416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7372430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3423198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515292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876174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30422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457049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8921479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480479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6682450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9544594">
    <w:abstractNumId w:val="9"/>
  </w:num>
  <w:num w:numId="15" w16cid:durableId="18773956">
    <w:abstractNumId w:val="13"/>
  </w:num>
  <w:num w:numId="16" w16cid:durableId="1790512488">
    <w:abstractNumId w:val="5"/>
  </w:num>
  <w:num w:numId="17" w16cid:durableId="1880777527">
    <w:abstractNumId w:val="2"/>
  </w:num>
  <w:num w:numId="18" w16cid:durableId="1133324375">
    <w:abstractNumId w:val="14"/>
  </w:num>
  <w:num w:numId="19" w16cid:durableId="1239553826">
    <w:abstractNumId w:val="14"/>
  </w:num>
  <w:num w:numId="20" w16cid:durableId="1187525865">
    <w:abstractNumId w:val="14"/>
  </w:num>
  <w:num w:numId="21" w16cid:durableId="753236940">
    <w:abstractNumId w:val="14"/>
  </w:num>
  <w:num w:numId="22" w16cid:durableId="1604803435">
    <w:abstractNumId w:val="14"/>
  </w:num>
  <w:num w:numId="23" w16cid:durableId="1411267489">
    <w:abstractNumId w:val="11"/>
  </w:num>
  <w:num w:numId="24" w16cid:durableId="988678354">
    <w:abstractNumId w:val="12"/>
  </w:num>
  <w:num w:numId="25" w16cid:durableId="1985044198">
    <w:abstractNumId w:val="7"/>
  </w:num>
  <w:num w:numId="26" w16cid:durableId="626738337">
    <w:abstractNumId w:val="10"/>
  </w:num>
  <w:num w:numId="27" w16cid:durableId="2000421002">
    <w:abstractNumId w:val="3"/>
  </w:num>
  <w:num w:numId="28" w16cid:durableId="1649045092">
    <w:abstractNumId w:val="1"/>
  </w:num>
  <w:num w:numId="29" w16cid:durableId="936256453">
    <w:abstractNumId w:val="8"/>
  </w:num>
  <w:num w:numId="30" w16cid:durableId="3309082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858"/>
    <w:rsid w:val="000113C9"/>
    <w:rsid w:val="0007650B"/>
    <w:rsid w:val="00076B29"/>
    <w:rsid w:val="000841DC"/>
    <w:rsid w:val="000860FA"/>
    <w:rsid w:val="000B4F7A"/>
    <w:rsid w:val="000C1434"/>
    <w:rsid w:val="000D1171"/>
    <w:rsid w:val="000E0882"/>
    <w:rsid w:val="000E1858"/>
    <w:rsid w:val="000E4583"/>
    <w:rsid w:val="000E45EA"/>
    <w:rsid w:val="000E7478"/>
    <w:rsid w:val="00121E34"/>
    <w:rsid w:val="00131C74"/>
    <w:rsid w:val="00141361"/>
    <w:rsid w:val="0016515B"/>
    <w:rsid w:val="0017473A"/>
    <w:rsid w:val="001973A4"/>
    <w:rsid w:val="001B26EE"/>
    <w:rsid w:val="001B3535"/>
    <w:rsid w:val="001C608E"/>
    <w:rsid w:val="001F6457"/>
    <w:rsid w:val="001F7C86"/>
    <w:rsid w:val="00202B07"/>
    <w:rsid w:val="00232A95"/>
    <w:rsid w:val="00263C72"/>
    <w:rsid w:val="002C0AB2"/>
    <w:rsid w:val="002C43AB"/>
    <w:rsid w:val="002D59B6"/>
    <w:rsid w:val="00311BE7"/>
    <w:rsid w:val="0032650F"/>
    <w:rsid w:val="00347D3B"/>
    <w:rsid w:val="0035216B"/>
    <w:rsid w:val="00355B7D"/>
    <w:rsid w:val="003E3FF3"/>
    <w:rsid w:val="004041D2"/>
    <w:rsid w:val="00410238"/>
    <w:rsid w:val="00430DF8"/>
    <w:rsid w:val="00465540"/>
    <w:rsid w:val="004C52A1"/>
    <w:rsid w:val="004E061B"/>
    <w:rsid w:val="0051443D"/>
    <w:rsid w:val="0052449A"/>
    <w:rsid w:val="00540EE4"/>
    <w:rsid w:val="005C71EB"/>
    <w:rsid w:val="005E2B3E"/>
    <w:rsid w:val="005F3BD9"/>
    <w:rsid w:val="00600B9C"/>
    <w:rsid w:val="00630E23"/>
    <w:rsid w:val="00631550"/>
    <w:rsid w:val="006359B3"/>
    <w:rsid w:val="00641FE6"/>
    <w:rsid w:val="00642585"/>
    <w:rsid w:val="006465D5"/>
    <w:rsid w:val="00662130"/>
    <w:rsid w:val="00662EF7"/>
    <w:rsid w:val="006731B4"/>
    <w:rsid w:val="00681845"/>
    <w:rsid w:val="0069538E"/>
    <w:rsid w:val="006D0CB0"/>
    <w:rsid w:val="006E3108"/>
    <w:rsid w:val="006E558F"/>
    <w:rsid w:val="00751F82"/>
    <w:rsid w:val="00770420"/>
    <w:rsid w:val="007764A5"/>
    <w:rsid w:val="00795547"/>
    <w:rsid w:val="007F3FB9"/>
    <w:rsid w:val="0080099A"/>
    <w:rsid w:val="008045D9"/>
    <w:rsid w:val="0081637B"/>
    <w:rsid w:val="00826CDE"/>
    <w:rsid w:val="0084204E"/>
    <w:rsid w:val="00844A5C"/>
    <w:rsid w:val="008928E3"/>
    <w:rsid w:val="00896538"/>
    <w:rsid w:val="008C1210"/>
    <w:rsid w:val="008D36E9"/>
    <w:rsid w:val="008D6BAF"/>
    <w:rsid w:val="008E76F8"/>
    <w:rsid w:val="00942421"/>
    <w:rsid w:val="009739D5"/>
    <w:rsid w:val="0098300E"/>
    <w:rsid w:val="009A4FEB"/>
    <w:rsid w:val="009B224C"/>
    <w:rsid w:val="009C0D84"/>
    <w:rsid w:val="009C2AD6"/>
    <w:rsid w:val="009D5790"/>
    <w:rsid w:val="00A255DE"/>
    <w:rsid w:val="00A954FA"/>
    <w:rsid w:val="00AA2126"/>
    <w:rsid w:val="00AD670B"/>
    <w:rsid w:val="00AE0432"/>
    <w:rsid w:val="00B16EF2"/>
    <w:rsid w:val="00B276AE"/>
    <w:rsid w:val="00B51055"/>
    <w:rsid w:val="00B51DCE"/>
    <w:rsid w:val="00B53B69"/>
    <w:rsid w:val="00B674AB"/>
    <w:rsid w:val="00B7179E"/>
    <w:rsid w:val="00B87459"/>
    <w:rsid w:val="00BB58D5"/>
    <w:rsid w:val="00BD15B1"/>
    <w:rsid w:val="00C50777"/>
    <w:rsid w:val="00C60EE1"/>
    <w:rsid w:val="00C6284F"/>
    <w:rsid w:val="00C85ACB"/>
    <w:rsid w:val="00C95631"/>
    <w:rsid w:val="00CA108E"/>
    <w:rsid w:val="00CC0B7F"/>
    <w:rsid w:val="00CF5372"/>
    <w:rsid w:val="00D04B2A"/>
    <w:rsid w:val="00D6253C"/>
    <w:rsid w:val="00D87799"/>
    <w:rsid w:val="00D9025A"/>
    <w:rsid w:val="00DA513B"/>
    <w:rsid w:val="00DB04D1"/>
    <w:rsid w:val="00E10599"/>
    <w:rsid w:val="00E35360"/>
    <w:rsid w:val="00E44D08"/>
    <w:rsid w:val="00E52CBE"/>
    <w:rsid w:val="00E56496"/>
    <w:rsid w:val="00E67822"/>
    <w:rsid w:val="00EA2F84"/>
    <w:rsid w:val="00EB69BF"/>
    <w:rsid w:val="00EC77D8"/>
    <w:rsid w:val="00F1255C"/>
    <w:rsid w:val="00F3372E"/>
    <w:rsid w:val="00F443E4"/>
    <w:rsid w:val="00F57361"/>
    <w:rsid w:val="00F57C9F"/>
    <w:rsid w:val="00F843CB"/>
    <w:rsid w:val="00FC214C"/>
    <w:rsid w:val="00FE1F9A"/>
    <w:rsid w:val="00FE695E"/>
    <w:rsid w:val="00FF5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C8ACB"/>
  <w15:docId w15:val="{B637C18D-F30A-4C39-97DD-FA88EB7E1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53C"/>
  </w:style>
  <w:style w:type="paragraph" w:styleId="Heading1">
    <w:name w:val="heading 1"/>
    <w:basedOn w:val="Normal"/>
    <w:link w:val="Heading1Char"/>
    <w:uiPriority w:val="9"/>
    <w:qFormat/>
    <w:rsid w:val="00C85ACB"/>
    <w:pPr>
      <w:numPr>
        <w:numId w:val="3"/>
      </w:numPr>
      <w:spacing w:before="240" w:after="80"/>
      <w:outlineLvl w:val="0"/>
    </w:pPr>
    <w:rPr>
      <w:rFonts w:eastAsia="SimHei"/>
      <w:b/>
      <w:bCs/>
      <w:color w:val="206273" w:themeColor="accent1"/>
      <w:szCs w:val="28"/>
    </w:rPr>
  </w:style>
  <w:style w:type="paragraph" w:styleId="Heading2">
    <w:name w:val="heading 2"/>
    <w:basedOn w:val="Normal"/>
    <w:link w:val="Heading2Char"/>
    <w:uiPriority w:val="9"/>
    <w:unhideWhenUsed/>
    <w:qFormat/>
    <w:rsid w:val="005F48C4"/>
    <w:pPr>
      <w:numPr>
        <w:ilvl w:val="1"/>
        <w:numId w:val="3"/>
      </w:numPr>
      <w:tabs>
        <w:tab w:val="left" w:pos="2160"/>
      </w:tabs>
      <w:spacing w:before="240"/>
      <w:outlineLvl w:val="1"/>
    </w:pPr>
    <w:rPr>
      <w:rFonts w:eastAsia="SimHei"/>
      <w:bCs/>
      <w:color w:val="000000"/>
      <w:szCs w:val="26"/>
    </w:rPr>
  </w:style>
  <w:style w:type="paragraph" w:styleId="Heading3">
    <w:name w:val="heading 3"/>
    <w:basedOn w:val="Normal"/>
    <w:link w:val="Heading3Char"/>
    <w:uiPriority w:val="9"/>
    <w:semiHidden/>
    <w:unhideWhenUsed/>
    <w:qFormat/>
    <w:rsid w:val="005F48C4"/>
    <w:pPr>
      <w:numPr>
        <w:ilvl w:val="2"/>
        <w:numId w:val="3"/>
      </w:numPr>
      <w:tabs>
        <w:tab w:val="left" w:pos="2880"/>
      </w:tabs>
      <w:spacing w:before="240"/>
      <w:outlineLvl w:val="2"/>
    </w:pPr>
    <w:rPr>
      <w:rFonts w:eastAsia="SimHei"/>
      <w:bCs/>
      <w:color w:val="000000"/>
    </w:rPr>
  </w:style>
  <w:style w:type="paragraph" w:styleId="Heading4">
    <w:name w:val="heading 4"/>
    <w:basedOn w:val="Normal"/>
    <w:link w:val="Heading4Char"/>
    <w:uiPriority w:val="9"/>
    <w:semiHidden/>
    <w:unhideWhenUsed/>
    <w:qFormat/>
    <w:rsid w:val="000F51D5"/>
    <w:pPr>
      <w:numPr>
        <w:ilvl w:val="3"/>
        <w:numId w:val="3"/>
      </w:numPr>
      <w:tabs>
        <w:tab w:val="left" w:pos="3600"/>
      </w:tabs>
      <w:spacing w:before="240"/>
      <w:outlineLvl w:val="3"/>
    </w:pPr>
    <w:rPr>
      <w:rFonts w:eastAsia="SimHei"/>
      <w:bCs/>
      <w:iCs/>
      <w:color w:val="000000"/>
    </w:rPr>
  </w:style>
  <w:style w:type="paragraph" w:styleId="Heading5">
    <w:name w:val="heading 5"/>
    <w:basedOn w:val="Normal"/>
    <w:link w:val="Heading5Char"/>
    <w:uiPriority w:val="9"/>
    <w:semiHidden/>
    <w:unhideWhenUsed/>
    <w:qFormat/>
    <w:rsid w:val="005F48C4"/>
    <w:pPr>
      <w:numPr>
        <w:ilvl w:val="4"/>
        <w:numId w:val="3"/>
      </w:numPr>
      <w:tabs>
        <w:tab w:val="left" w:pos="3600"/>
      </w:tabs>
      <w:spacing w:before="240"/>
      <w:outlineLvl w:val="4"/>
    </w:pPr>
    <w:rPr>
      <w:rFonts w:eastAsia="SimHei"/>
      <w:color w:val="000000"/>
    </w:rPr>
  </w:style>
  <w:style w:type="paragraph" w:styleId="Heading6">
    <w:name w:val="heading 6"/>
    <w:basedOn w:val="Normal"/>
    <w:link w:val="Heading6Char"/>
    <w:uiPriority w:val="9"/>
    <w:semiHidden/>
    <w:unhideWhenUsed/>
    <w:qFormat/>
    <w:rsid w:val="005F48C4"/>
    <w:pPr>
      <w:numPr>
        <w:ilvl w:val="5"/>
        <w:numId w:val="3"/>
      </w:numPr>
      <w:tabs>
        <w:tab w:val="left" w:pos="3600"/>
      </w:tabs>
      <w:spacing w:before="240"/>
      <w:outlineLvl w:val="5"/>
    </w:pPr>
    <w:rPr>
      <w:rFonts w:eastAsia="SimHei"/>
      <w:iCs/>
      <w:color w:val="000000"/>
    </w:rPr>
  </w:style>
  <w:style w:type="paragraph" w:styleId="Heading7">
    <w:name w:val="heading 7"/>
    <w:basedOn w:val="Normal"/>
    <w:link w:val="Heading7Char"/>
    <w:unhideWhenUsed/>
    <w:qFormat/>
    <w:rsid w:val="005F48C4"/>
    <w:pPr>
      <w:numPr>
        <w:ilvl w:val="6"/>
        <w:numId w:val="3"/>
      </w:numPr>
      <w:tabs>
        <w:tab w:val="left" w:pos="3600"/>
      </w:tabs>
      <w:spacing w:before="240"/>
      <w:outlineLvl w:val="6"/>
    </w:pPr>
    <w:rPr>
      <w:rFonts w:eastAsia="SimHei"/>
      <w:iCs/>
      <w:color w:val="000000"/>
    </w:rPr>
  </w:style>
  <w:style w:type="paragraph" w:styleId="Heading8">
    <w:name w:val="heading 8"/>
    <w:basedOn w:val="Normal"/>
    <w:link w:val="Heading8Char"/>
    <w:unhideWhenUsed/>
    <w:qFormat/>
    <w:rsid w:val="005F48C4"/>
    <w:pPr>
      <w:numPr>
        <w:ilvl w:val="7"/>
        <w:numId w:val="3"/>
      </w:numPr>
      <w:tabs>
        <w:tab w:val="left" w:pos="3600"/>
      </w:tabs>
      <w:spacing w:before="240"/>
      <w:outlineLvl w:val="7"/>
    </w:pPr>
    <w:rPr>
      <w:rFonts w:eastAsia="SimHei"/>
      <w:color w:val="000000"/>
      <w:szCs w:val="20"/>
    </w:rPr>
  </w:style>
  <w:style w:type="paragraph" w:styleId="Heading9">
    <w:name w:val="heading 9"/>
    <w:basedOn w:val="Normal"/>
    <w:link w:val="Heading9Char"/>
    <w:unhideWhenUsed/>
    <w:qFormat/>
    <w:rsid w:val="005F48C4"/>
    <w:pPr>
      <w:numPr>
        <w:ilvl w:val="8"/>
        <w:numId w:val="3"/>
      </w:numPr>
      <w:tabs>
        <w:tab w:val="left" w:pos="3600"/>
      </w:tabs>
      <w:spacing w:before="240"/>
      <w:outlineLvl w:val="8"/>
    </w:pPr>
    <w:rPr>
      <w:rFonts w:eastAsia="SimHei"/>
      <w:iCs/>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Single"/>
    <w:link w:val="TitleChar"/>
    <w:uiPriority w:val="10"/>
    <w:qFormat/>
    <w:rsid w:val="00C85ACB"/>
    <w:pPr>
      <w:keepNext/>
      <w:spacing w:before="240" w:after="120"/>
      <w:jc w:val="center"/>
    </w:pPr>
    <w:rPr>
      <w:rFonts w:asciiTheme="majorHAnsi" w:eastAsia="SimHei" w:hAnsiTheme="majorHAnsi"/>
      <w:b/>
      <w:caps/>
      <w:color w:val="206273" w:themeColor="accent1"/>
      <w:sz w:val="32"/>
      <w:szCs w:val="52"/>
    </w:rPr>
  </w:style>
  <w:style w:type="paragraph" w:customStyle="1" w:styleId="Single">
    <w:name w:val="Single"/>
    <w:basedOn w:val="Normal"/>
    <w:link w:val="SingleChar"/>
    <w:qFormat/>
    <w:rsid w:val="005F48C4"/>
    <w:pPr>
      <w:spacing w:before="240"/>
      <w:ind w:firstLine="720"/>
    </w:pPr>
  </w:style>
  <w:style w:type="paragraph" w:customStyle="1" w:styleId="15">
    <w:name w:val="1/.5"/>
    <w:basedOn w:val="Single"/>
    <w:pPr>
      <w:ind w:left="720"/>
    </w:pPr>
  </w:style>
  <w:style w:type="paragraph" w:customStyle="1" w:styleId="151">
    <w:name w:val="1.5/1"/>
    <w:basedOn w:val="15"/>
    <w:pPr>
      <w:ind w:left="1440"/>
    </w:pPr>
  </w:style>
  <w:style w:type="paragraph" w:customStyle="1" w:styleId="215">
    <w:name w:val="2/1.5"/>
    <w:basedOn w:val="151"/>
    <w:pPr>
      <w:ind w:left="2160"/>
    </w:pPr>
  </w:style>
  <w:style w:type="paragraph" w:styleId="Footer">
    <w:name w:val="footer"/>
    <w:basedOn w:val="Normal"/>
    <w:link w:val="FooterChar"/>
    <w:uiPriority w:val="99"/>
    <w:unhideWhenUsed/>
    <w:rsid w:val="005F48C4"/>
    <w:pPr>
      <w:tabs>
        <w:tab w:val="center" w:pos="4680"/>
        <w:tab w:val="right" w:pos="9360"/>
      </w:tabs>
    </w:pPr>
  </w:style>
  <w:style w:type="paragraph" w:customStyle="1" w:styleId="DoubleBlock">
    <w:name w:val="Double Block"/>
    <w:basedOn w:val="Double"/>
    <w:qFormat/>
    <w:rsid w:val="005F48C4"/>
    <w:pPr>
      <w:ind w:firstLine="0"/>
    </w:pPr>
  </w:style>
  <w:style w:type="paragraph" w:customStyle="1" w:styleId="Double">
    <w:name w:val="Double"/>
    <w:basedOn w:val="Normal"/>
    <w:qFormat/>
    <w:rsid w:val="005F48C4"/>
    <w:pPr>
      <w:spacing w:line="480" w:lineRule="auto"/>
      <w:ind w:firstLine="720"/>
    </w:pPr>
  </w:style>
  <w:style w:type="paragraph" w:customStyle="1" w:styleId="DoubleCenter">
    <w:name w:val="Double Center"/>
    <w:basedOn w:val="Double"/>
    <w:next w:val="Double"/>
    <w:qFormat/>
    <w:rsid w:val="005F48C4"/>
    <w:pPr>
      <w:ind w:firstLine="0"/>
      <w:jc w:val="center"/>
    </w:pPr>
  </w:style>
  <w:style w:type="paragraph" w:customStyle="1" w:styleId="DoubleHanging">
    <w:name w:val="Double Hanging"/>
    <w:basedOn w:val="Double"/>
    <w:qFormat/>
    <w:rsid w:val="005F48C4"/>
    <w:pPr>
      <w:ind w:left="720" w:hanging="720"/>
    </w:pPr>
  </w:style>
  <w:style w:type="paragraph" w:customStyle="1" w:styleId="DoubleIndent">
    <w:name w:val="Double Indent"/>
    <w:basedOn w:val="Double"/>
    <w:qFormat/>
    <w:rsid w:val="005F48C4"/>
    <w:pPr>
      <w:ind w:left="720" w:right="720" w:firstLine="0"/>
    </w:pPr>
  </w:style>
  <w:style w:type="paragraph" w:styleId="Header">
    <w:name w:val="header"/>
    <w:basedOn w:val="Normal"/>
    <w:link w:val="HeaderChar"/>
    <w:uiPriority w:val="99"/>
    <w:unhideWhenUsed/>
    <w:rsid w:val="005F48C4"/>
    <w:pPr>
      <w:tabs>
        <w:tab w:val="center" w:pos="4680"/>
        <w:tab w:val="right" w:pos="9360"/>
      </w:tabs>
    </w:pPr>
  </w:style>
  <w:style w:type="paragraph" w:customStyle="1" w:styleId="SingleBlock">
    <w:name w:val="Single Block"/>
    <w:basedOn w:val="Single"/>
    <w:qFormat/>
    <w:rsid w:val="005F48C4"/>
    <w:pPr>
      <w:ind w:firstLine="0"/>
    </w:pPr>
  </w:style>
  <w:style w:type="character" w:styleId="FootnoteReference">
    <w:name w:val="footnote reference"/>
    <w:uiPriority w:val="99"/>
    <w:unhideWhenUsed/>
    <w:rsid w:val="005F48C4"/>
    <w:rPr>
      <w:color w:val="auto"/>
      <w:position w:val="0"/>
      <w:sz w:val="20"/>
      <w:vertAlign w:val="superscript"/>
    </w:rPr>
  </w:style>
  <w:style w:type="paragraph" w:customStyle="1" w:styleId="SingleHanging">
    <w:name w:val="Single Hanging"/>
    <w:basedOn w:val="Single"/>
    <w:qFormat/>
    <w:rsid w:val="005F48C4"/>
    <w:pPr>
      <w:ind w:left="720" w:hanging="720"/>
    </w:pPr>
  </w:style>
  <w:style w:type="paragraph" w:styleId="FootnoteText">
    <w:name w:val="footnote text"/>
    <w:aliases w:val="Car"/>
    <w:basedOn w:val="Normal"/>
    <w:link w:val="FootnoteTextChar"/>
    <w:uiPriority w:val="99"/>
    <w:unhideWhenUsed/>
    <w:rsid w:val="005F48C4"/>
    <w:pPr>
      <w:tabs>
        <w:tab w:val="right" w:pos="216"/>
        <w:tab w:val="left" w:pos="360"/>
      </w:tabs>
      <w:spacing w:after="120"/>
      <w:ind w:left="360" w:hanging="360"/>
    </w:pPr>
    <w:rPr>
      <w:sz w:val="20"/>
      <w:szCs w:val="20"/>
    </w:rPr>
  </w:style>
  <w:style w:type="paragraph" w:customStyle="1" w:styleId="RightHalf">
    <w:name w:val="Right Half"/>
    <w:basedOn w:val="Normal"/>
    <w:qFormat/>
    <w:rsid w:val="005F48C4"/>
    <w:pPr>
      <w:keepLines/>
      <w:tabs>
        <w:tab w:val="right" w:leader="underscore" w:pos="9360"/>
      </w:tabs>
      <w:spacing w:before="480"/>
      <w:ind w:left="4320"/>
    </w:pPr>
  </w:style>
  <w:style w:type="paragraph" w:customStyle="1" w:styleId="SingleCenter">
    <w:name w:val="Single Center"/>
    <w:basedOn w:val="Single"/>
    <w:next w:val="Single"/>
    <w:qFormat/>
    <w:rsid w:val="005F48C4"/>
    <w:pPr>
      <w:ind w:firstLine="0"/>
      <w:jc w:val="center"/>
    </w:pPr>
  </w:style>
  <w:style w:type="paragraph" w:customStyle="1" w:styleId="SingleIndent">
    <w:name w:val="Single Indent"/>
    <w:basedOn w:val="Single"/>
    <w:qFormat/>
    <w:rsid w:val="005F48C4"/>
    <w:pPr>
      <w:ind w:left="720" w:right="720" w:firstLine="0"/>
    </w:pPr>
  </w:style>
  <w:style w:type="character" w:styleId="PageNumber">
    <w:name w:val="page number"/>
    <w:uiPriority w:val="99"/>
    <w:unhideWhenUsed/>
    <w:rsid w:val="005F48C4"/>
  </w:style>
  <w:style w:type="paragraph" w:styleId="TOC1">
    <w:name w:val="toc 1"/>
    <w:basedOn w:val="Normal"/>
    <w:next w:val="Normal"/>
    <w:autoRedefine/>
    <w:semiHidden/>
    <w:rsid w:val="005F48C4"/>
    <w:pPr>
      <w:ind w:right="720"/>
    </w:pPr>
  </w:style>
  <w:style w:type="paragraph" w:styleId="TOC2">
    <w:name w:val="toc 2"/>
    <w:basedOn w:val="Normal"/>
    <w:next w:val="Normal"/>
    <w:autoRedefine/>
    <w:semiHidden/>
    <w:rsid w:val="005F48C4"/>
    <w:pPr>
      <w:tabs>
        <w:tab w:val="right" w:leader="dot" w:pos="9350"/>
      </w:tabs>
      <w:ind w:left="950" w:right="720" w:hanging="475"/>
    </w:pPr>
  </w:style>
  <w:style w:type="paragraph" w:styleId="TOC3">
    <w:name w:val="toc 3"/>
    <w:basedOn w:val="Normal"/>
    <w:next w:val="Normal"/>
    <w:autoRedefine/>
    <w:semiHidden/>
    <w:rsid w:val="005F48C4"/>
    <w:pPr>
      <w:tabs>
        <w:tab w:val="right" w:leader="dot" w:pos="9350"/>
      </w:tabs>
      <w:ind w:left="950" w:right="720" w:hanging="475"/>
    </w:pPr>
  </w:style>
  <w:style w:type="paragraph" w:styleId="TOC4">
    <w:name w:val="toc 4"/>
    <w:basedOn w:val="Normal"/>
    <w:next w:val="Normal"/>
    <w:autoRedefine/>
    <w:semiHidden/>
    <w:rsid w:val="005F48C4"/>
    <w:pPr>
      <w:tabs>
        <w:tab w:val="right" w:leader="dot" w:pos="9350"/>
      </w:tabs>
      <w:ind w:left="1440" w:right="720" w:hanging="475"/>
    </w:pPr>
  </w:style>
  <w:style w:type="paragraph" w:styleId="EnvelopeAddress">
    <w:name w:val="envelope address"/>
    <w:basedOn w:val="Normal"/>
    <w:uiPriority w:val="99"/>
    <w:unhideWhenUsed/>
    <w:rsid w:val="005F48C4"/>
    <w:pPr>
      <w:framePr w:w="7920" w:h="1980" w:hRule="exact" w:hSpace="180" w:wrap="auto" w:hAnchor="page" w:xAlign="center" w:yAlign="bottom"/>
      <w:ind w:left="2880"/>
    </w:pPr>
    <w:rPr>
      <w:rFonts w:eastAsia="SimHei"/>
    </w:rPr>
  </w:style>
  <w:style w:type="paragraph" w:styleId="EnvelopeReturn">
    <w:name w:val="envelope return"/>
    <w:basedOn w:val="Normal"/>
    <w:uiPriority w:val="99"/>
    <w:unhideWhenUsed/>
    <w:rsid w:val="005F48C4"/>
    <w:rPr>
      <w:rFonts w:eastAsia="SimHei"/>
      <w:sz w:val="20"/>
      <w:szCs w:val="20"/>
    </w:rPr>
  </w:style>
  <w:style w:type="paragraph" w:styleId="TOC5">
    <w:name w:val="toc 5"/>
    <w:basedOn w:val="Normal"/>
    <w:next w:val="Normal"/>
    <w:autoRedefine/>
    <w:semiHidden/>
    <w:rsid w:val="005F48C4"/>
    <w:pPr>
      <w:tabs>
        <w:tab w:val="right" w:leader="dot" w:pos="9350"/>
      </w:tabs>
      <w:ind w:left="1800" w:right="389" w:hanging="360"/>
    </w:pPr>
  </w:style>
  <w:style w:type="paragraph" w:customStyle="1" w:styleId="TOC0">
    <w:name w:val="TOC 0"/>
    <w:basedOn w:val="Normal"/>
    <w:next w:val="TOC1"/>
    <w:pPr>
      <w:spacing w:before="240"/>
    </w:pPr>
    <w:rPr>
      <w:color w:val="0000FF"/>
    </w:rPr>
  </w:style>
  <w:style w:type="character" w:styleId="PlaceholderText">
    <w:name w:val="Placeholder Text"/>
    <w:uiPriority w:val="99"/>
    <w:semiHidden/>
    <w:rsid w:val="005F48C4"/>
    <w:rPr>
      <w:color w:val="808080"/>
    </w:rPr>
  </w:style>
  <w:style w:type="character" w:customStyle="1" w:styleId="DocID">
    <w:name w:val="DocID"/>
    <w:rsid w:val="005F48C4"/>
    <w:rPr>
      <w:caps/>
      <w:smallCaps w:val="0"/>
      <w:sz w:val="16"/>
    </w:rPr>
  </w:style>
  <w:style w:type="paragraph" w:customStyle="1" w:styleId="TextBox">
    <w:name w:val="Text Box"/>
    <w:basedOn w:val="Normal"/>
    <w:pPr>
      <w:spacing w:before="120"/>
      <w:ind w:left="180"/>
    </w:pPr>
    <w:rPr>
      <w:b/>
      <w:sz w:val="20"/>
      <w:szCs w:val="20"/>
    </w:rPr>
  </w:style>
  <w:style w:type="character" w:customStyle="1" w:styleId="FootnoteTextChar">
    <w:name w:val="Footnote Text Char"/>
    <w:aliases w:val="Car Char"/>
    <w:link w:val="FootnoteText"/>
    <w:uiPriority w:val="99"/>
    <w:rsid w:val="005F48C4"/>
  </w:style>
  <w:style w:type="character" w:customStyle="1" w:styleId="HeaderChar">
    <w:name w:val="Header Char"/>
    <w:link w:val="Header"/>
    <w:uiPriority w:val="99"/>
    <w:rsid w:val="005F48C4"/>
    <w:rPr>
      <w:sz w:val="24"/>
      <w:szCs w:val="24"/>
    </w:rPr>
  </w:style>
  <w:style w:type="character" w:customStyle="1" w:styleId="FooterChar">
    <w:name w:val="Footer Char"/>
    <w:link w:val="Footer"/>
    <w:uiPriority w:val="99"/>
    <w:rsid w:val="005F48C4"/>
    <w:rPr>
      <w:sz w:val="24"/>
      <w:szCs w:val="24"/>
    </w:rPr>
  </w:style>
  <w:style w:type="paragraph" w:styleId="BlockText">
    <w:name w:val="Block Text"/>
    <w:basedOn w:val="Normal"/>
    <w:uiPriority w:val="99"/>
    <w:unhideWhenUsed/>
    <w:rsid w:val="005F48C4"/>
    <w:pPr>
      <w:pBdr>
        <w:top w:val="single" w:sz="2" w:space="10" w:color="4F81BD" w:frame="1"/>
        <w:left w:val="single" w:sz="2" w:space="10" w:color="4F81BD" w:frame="1"/>
        <w:bottom w:val="single" w:sz="2" w:space="10" w:color="4F81BD" w:frame="1"/>
        <w:right w:val="single" w:sz="2" w:space="10" w:color="4F81BD" w:frame="1"/>
      </w:pBdr>
      <w:ind w:left="1152" w:right="1152"/>
    </w:pPr>
    <w:rPr>
      <w:rFonts w:eastAsia="SimSun"/>
      <w:i/>
      <w:iCs/>
      <w:color w:val="4F81BD"/>
    </w:rPr>
  </w:style>
  <w:style w:type="paragraph" w:styleId="Index1">
    <w:name w:val="index 1"/>
    <w:basedOn w:val="Normal"/>
    <w:next w:val="Normal"/>
    <w:autoRedefine/>
    <w:uiPriority w:val="99"/>
    <w:unhideWhenUsed/>
    <w:rsid w:val="005F48C4"/>
    <w:pPr>
      <w:ind w:left="240" w:hanging="240"/>
    </w:pPr>
  </w:style>
  <w:style w:type="paragraph" w:styleId="IndexHeading">
    <w:name w:val="index heading"/>
    <w:basedOn w:val="Normal"/>
    <w:next w:val="Index1"/>
    <w:uiPriority w:val="99"/>
    <w:unhideWhenUsed/>
    <w:rsid w:val="005F48C4"/>
    <w:rPr>
      <w:rFonts w:eastAsia="SimHei"/>
      <w:b/>
      <w:bCs/>
    </w:rPr>
  </w:style>
  <w:style w:type="table" w:styleId="MediumGrid2">
    <w:name w:val="Medium Grid 2"/>
    <w:basedOn w:val="TableNormal"/>
    <w:uiPriority w:val="68"/>
    <w:rsid w:val="005F48C4"/>
    <w:rPr>
      <w:rFonts w:eastAsia="SimHei"/>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5F48C4"/>
    <w:rPr>
      <w:rFonts w:eastAsia="SimHei"/>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5F48C4"/>
    <w:rPr>
      <w:rFonts w:eastAsia="SimHei"/>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5F48C4"/>
    <w:rPr>
      <w:rFonts w:eastAsia="SimHei"/>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5F48C4"/>
    <w:rPr>
      <w:rFonts w:eastAsia="SimHei"/>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5F48C4"/>
    <w:rPr>
      <w:rFonts w:eastAsia="SimHei"/>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5F48C4"/>
    <w:rPr>
      <w:rFonts w:eastAsia="SimHei"/>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List2">
    <w:name w:val="Medium List 2"/>
    <w:basedOn w:val="TableNormal"/>
    <w:uiPriority w:val="66"/>
    <w:rsid w:val="005F48C4"/>
    <w:rPr>
      <w:rFonts w:eastAsia="SimHei"/>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5F48C4"/>
    <w:rPr>
      <w:rFonts w:eastAsia="SimHei"/>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5F48C4"/>
    <w:rPr>
      <w:rFonts w:eastAsia="SimHei"/>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5F48C4"/>
    <w:rPr>
      <w:rFonts w:eastAsia="SimHei"/>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5F48C4"/>
    <w:rPr>
      <w:rFonts w:eastAsia="SimHei"/>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5F48C4"/>
    <w:rPr>
      <w:rFonts w:eastAsia="SimHei"/>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5F48C4"/>
    <w:rPr>
      <w:rFonts w:eastAsia="SimHei"/>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paragraph" w:styleId="MessageHeader">
    <w:name w:val="Message Header"/>
    <w:basedOn w:val="Normal"/>
    <w:link w:val="MessageHeaderChar"/>
    <w:uiPriority w:val="99"/>
    <w:unhideWhenUsed/>
    <w:rsid w:val="005F48C4"/>
    <w:pPr>
      <w:pBdr>
        <w:top w:val="single" w:sz="6" w:space="1" w:color="auto"/>
        <w:left w:val="single" w:sz="6" w:space="1" w:color="auto"/>
        <w:bottom w:val="single" w:sz="6" w:space="1" w:color="auto"/>
        <w:right w:val="single" w:sz="6" w:space="1" w:color="auto"/>
      </w:pBdr>
      <w:shd w:val="pct20" w:color="auto" w:fill="auto"/>
      <w:ind w:left="1080" w:hanging="1080"/>
    </w:pPr>
    <w:rPr>
      <w:rFonts w:eastAsia="SimHei"/>
    </w:rPr>
  </w:style>
  <w:style w:type="character" w:customStyle="1" w:styleId="MessageHeaderChar">
    <w:name w:val="Message Header Char"/>
    <w:link w:val="MessageHeader"/>
    <w:uiPriority w:val="99"/>
    <w:rsid w:val="005F48C4"/>
    <w:rPr>
      <w:rFonts w:eastAsia="SimHei"/>
      <w:sz w:val="24"/>
      <w:szCs w:val="24"/>
      <w:shd w:val="pct20" w:color="auto" w:fill="auto"/>
    </w:rPr>
  </w:style>
  <w:style w:type="paragraph" w:styleId="Subtitle">
    <w:name w:val="Subtitle"/>
    <w:basedOn w:val="Normal"/>
    <w:next w:val="Normal"/>
    <w:link w:val="SubtitleChar"/>
    <w:uiPriority w:val="11"/>
    <w:qFormat/>
    <w:rsid w:val="00C85ACB"/>
    <w:pPr>
      <w:spacing w:before="240"/>
    </w:pPr>
    <w:rPr>
      <w:sz w:val="22"/>
    </w:rPr>
  </w:style>
  <w:style w:type="character" w:customStyle="1" w:styleId="SubtitleChar">
    <w:name w:val="Subtitle Char"/>
    <w:link w:val="Subtitle"/>
    <w:uiPriority w:val="11"/>
    <w:rsid w:val="00C85ACB"/>
    <w:rPr>
      <w:sz w:val="22"/>
    </w:rPr>
  </w:style>
  <w:style w:type="character" w:customStyle="1" w:styleId="TitleChar">
    <w:name w:val="Title Char"/>
    <w:link w:val="Title"/>
    <w:uiPriority w:val="10"/>
    <w:rsid w:val="00C85ACB"/>
    <w:rPr>
      <w:rFonts w:asciiTheme="majorHAnsi" w:eastAsia="SimHei" w:hAnsiTheme="majorHAnsi"/>
      <w:b/>
      <w:caps/>
      <w:color w:val="206273" w:themeColor="accent1"/>
      <w:sz w:val="32"/>
      <w:szCs w:val="52"/>
    </w:rPr>
  </w:style>
  <w:style w:type="paragraph" w:styleId="TOAHeading">
    <w:name w:val="toa heading"/>
    <w:basedOn w:val="Normal"/>
    <w:next w:val="Normal"/>
    <w:uiPriority w:val="99"/>
    <w:unhideWhenUsed/>
    <w:rsid w:val="005F48C4"/>
    <w:pPr>
      <w:spacing w:before="120"/>
    </w:pPr>
    <w:rPr>
      <w:rFonts w:eastAsia="SimHei"/>
      <w:b/>
      <w:bCs/>
    </w:rPr>
  </w:style>
  <w:style w:type="character" w:customStyle="1" w:styleId="Heading1Char">
    <w:name w:val="Heading 1 Char"/>
    <w:link w:val="Heading1"/>
    <w:uiPriority w:val="9"/>
    <w:rsid w:val="00C85ACB"/>
    <w:rPr>
      <w:rFonts w:eastAsia="SimHei"/>
      <w:b/>
      <w:bCs/>
      <w:color w:val="206273" w:themeColor="accent1"/>
      <w:szCs w:val="28"/>
    </w:rPr>
  </w:style>
  <w:style w:type="paragraph" w:styleId="TOCHeading">
    <w:name w:val="TOC Heading"/>
    <w:basedOn w:val="Normal"/>
    <w:next w:val="TOCPage"/>
    <w:uiPriority w:val="39"/>
    <w:semiHidden/>
    <w:qFormat/>
    <w:rsid w:val="005F48C4"/>
    <w:pPr>
      <w:spacing w:after="240"/>
      <w:jc w:val="center"/>
    </w:pPr>
    <w:rPr>
      <w:b/>
      <w:caps/>
    </w:rPr>
  </w:style>
  <w:style w:type="character" w:customStyle="1" w:styleId="Heading9Char">
    <w:name w:val="Heading 9 Char"/>
    <w:link w:val="Heading9"/>
    <w:rsid w:val="005F48C4"/>
    <w:rPr>
      <w:rFonts w:eastAsia="SimHei"/>
      <w:iCs/>
      <w:color w:val="000000"/>
      <w:sz w:val="24"/>
    </w:rPr>
  </w:style>
  <w:style w:type="character" w:customStyle="1" w:styleId="Heading8Char">
    <w:name w:val="Heading 8 Char"/>
    <w:link w:val="Heading8"/>
    <w:rsid w:val="005F48C4"/>
    <w:rPr>
      <w:rFonts w:eastAsia="SimHei"/>
      <w:color w:val="000000"/>
      <w:sz w:val="24"/>
    </w:rPr>
  </w:style>
  <w:style w:type="character" w:customStyle="1" w:styleId="Heading7Char">
    <w:name w:val="Heading 7 Char"/>
    <w:link w:val="Heading7"/>
    <w:rsid w:val="005F48C4"/>
    <w:rPr>
      <w:rFonts w:eastAsia="SimHei"/>
      <w:iCs/>
      <w:color w:val="000000"/>
      <w:sz w:val="24"/>
      <w:szCs w:val="24"/>
    </w:rPr>
  </w:style>
  <w:style w:type="character" w:customStyle="1" w:styleId="Heading6Char">
    <w:name w:val="Heading 6 Char"/>
    <w:link w:val="Heading6"/>
    <w:rsid w:val="005F48C4"/>
    <w:rPr>
      <w:rFonts w:eastAsia="SimHei"/>
      <w:iCs/>
      <w:color w:val="000000"/>
      <w:sz w:val="24"/>
      <w:szCs w:val="24"/>
    </w:rPr>
  </w:style>
  <w:style w:type="character" w:customStyle="1" w:styleId="Heading5Char">
    <w:name w:val="Heading 5 Char"/>
    <w:link w:val="Heading5"/>
    <w:rsid w:val="005F48C4"/>
    <w:rPr>
      <w:rFonts w:eastAsia="SimHei"/>
      <w:color w:val="000000"/>
      <w:sz w:val="24"/>
      <w:szCs w:val="24"/>
    </w:rPr>
  </w:style>
  <w:style w:type="character" w:customStyle="1" w:styleId="Heading4Char">
    <w:name w:val="Heading 4 Char"/>
    <w:link w:val="Heading4"/>
    <w:rsid w:val="000F51D5"/>
    <w:rPr>
      <w:rFonts w:eastAsia="SimHei"/>
      <w:bCs/>
      <w:iCs/>
      <w:color w:val="000000"/>
      <w:sz w:val="24"/>
      <w:szCs w:val="24"/>
    </w:rPr>
  </w:style>
  <w:style w:type="character" w:customStyle="1" w:styleId="Heading3Char">
    <w:name w:val="Heading 3 Char"/>
    <w:link w:val="Heading3"/>
    <w:rsid w:val="005F48C4"/>
    <w:rPr>
      <w:rFonts w:eastAsia="SimHei"/>
      <w:bCs/>
      <w:color w:val="000000"/>
      <w:sz w:val="24"/>
      <w:szCs w:val="24"/>
    </w:rPr>
  </w:style>
  <w:style w:type="character" w:customStyle="1" w:styleId="Heading2Char">
    <w:name w:val="Heading 2 Char"/>
    <w:link w:val="Heading2"/>
    <w:uiPriority w:val="9"/>
    <w:rsid w:val="005F48C4"/>
    <w:rPr>
      <w:rFonts w:eastAsia="SimHei"/>
      <w:bCs/>
      <w:color w:val="000000"/>
      <w:sz w:val="24"/>
      <w:szCs w:val="26"/>
    </w:rPr>
  </w:style>
  <w:style w:type="paragraph" w:styleId="TOC6">
    <w:name w:val="toc 6"/>
    <w:basedOn w:val="Normal"/>
    <w:next w:val="Normal"/>
    <w:autoRedefine/>
    <w:rsid w:val="005F48C4"/>
    <w:pPr>
      <w:tabs>
        <w:tab w:val="right" w:leader="dot" w:pos="9350"/>
      </w:tabs>
      <w:ind w:left="2160" w:right="389" w:hanging="360"/>
    </w:pPr>
  </w:style>
  <w:style w:type="paragraph" w:styleId="TOC7">
    <w:name w:val="toc 7"/>
    <w:basedOn w:val="Normal"/>
    <w:next w:val="Normal"/>
    <w:autoRedefine/>
    <w:rsid w:val="005F48C4"/>
    <w:pPr>
      <w:tabs>
        <w:tab w:val="right" w:leader="dot" w:pos="9350"/>
      </w:tabs>
      <w:ind w:left="2160" w:right="389" w:hanging="360"/>
    </w:pPr>
  </w:style>
  <w:style w:type="paragraph" w:styleId="TOC8">
    <w:name w:val="toc 8"/>
    <w:basedOn w:val="Normal"/>
    <w:next w:val="Normal"/>
    <w:autoRedefine/>
    <w:rsid w:val="005F48C4"/>
    <w:pPr>
      <w:tabs>
        <w:tab w:val="right" w:leader="dot" w:pos="9350"/>
      </w:tabs>
      <w:ind w:left="2160" w:right="389" w:hanging="360"/>
    </w:pPr>
  </w:style>
  <w:style w:type="paragraph" w:styleId="TOC9">
    <w:name w:val="toc 9"/>
    <w:basedOn w:val="Normal"/>
    <w:next w:val="Normal"/>
    <w:autoRedefine/>
    <w:rsid w:val="005F48C4"/>
    <w:pPr>
      <w:tabs>
        <w:tab w:val="right" w:leader="dot" w:pos="9350"/>
      </w:tabs>
      <w:ind w:left="2160" w:right="389" w:hanging="360"/>
    </w:pPr>
  </w:style>
  <w:style w:type="paragraph" w:customStyle="1" w:styleId="SingleIndent5">
    <w:name w:val="Single Indent .5"/>
    <w:basedOn w:val="Normal"/>
    <w:semiHidden/>
    <w:qFormat/>
    <w:rsid w:val="005F48C4"/>
    <w:pPr>
      <w:spacing w:before="240"/>
      <w:ind w:left="720" w:right="29"/>
    </w:pPr>
  </w:style>
  <w:style w:type="paragraph" w:customStyle="1" w:styleId="SingleIndent1">
    <w:name w:val="Single Indent 1"/>
    <w:basedOn w:val="Normal"/>
    <w:semiHidden/>
    <w:qFormat/>
    <w:rsid w:val="005F48C4"/>
    <w:pPr>
      <w:spacing w:before="240"/>
      <w:ind w:left="1440"/>
    </w:pPr>
  </w:style>
  <w:style w:type="paragraph" w:customStyle="1" w:styleId="SingleIndent15">
    <w:name w:val="Single Indent 1.5"/>
    <w:basedOn w:val="Normal"/>
    <w:semiHidden/>
    <w:qFormat/>
    <w:rsid w:val="005F48C4"/>
    <w:pPr>
      <w:spacing w:before="240"/>
      <w:ind w:left="2160"/>
    </w:pPr>
  </w:style>
  <w:style w:type="paragraph" w:customStyle="1" w:styleId="SingleIndent2">
    <w:name w:val="Single Indent 2"/>
    <w:basedOn w:val="Normal"/>
    <w:semiHidden/>
    <w:qFormat/>
    <w:rsid w:val="005F48C4"/>
    <w:pPr>
      <w:spacing w:before="240"/>
      <w:ind w:left="2880"/>
    </w:pPr>
  </w:style>
  <w:style w:type="paragraph" w:customStyle="1" w:styleId="TOCPage">
    <w:name w:val="TOC Page"/>
    <w:basedOn w:val="Normal"/>
    <w:next w:val="TOC1"/>
    <w:link w:val="TOCPageChar"/>
    <w:semiHidden/>
    <w:rsid w:val="005F48C4"/>
    <w:pPr>
      <w:spacing w:after="240"/>
      <w:jc w:val="right"/>
    </w:pPr>
    <w:rPr>
      <w:sz w:val="20"/>
      <w:u w:val="single"/>
    </w:rPr>
  </w:style>
  <w:style w:type="character" w:customStyle="1" w:styleId="SingleChar">
    <w:name w:val="Single Char"/>
    <w:link w:val="Single"/>
    <w:rsid w:val="005F48C4"/>
    <w:rPr>
      <w:sz w:val="24"/>
      <w:szCs w:val="24"/>
    </w:rPr>
  </w:style>
  <w:style w:type="character" w:customStyle="1" w:styleId="TOCPageChar">
    <w:name w:val="TOC Page Char"/>
    <w:link w:val="TOCPage"/>
    <w:semiHidden/>
    <w:rsid w:val="005F48C4"/>
    <w:rPr>
      <w:szCs w:val="24"/>
      <w:u w:val="single"/>
    </w:rPr>
  </w:style>
  <w:style w:type="paragraph" w:styleId="ListBullet">
    <w:name w:val="List Bullet"/>
    <w:basedOn w:val="Normal"/>
    <w:unhideWhenUsed/>
    <w:qFormat/>
    <w:rsid w:val="005F48C4"/>
    <w:pPr>
      <w:tabs>
        <w:tab w:val="num" w:pos="720"/>
      </w:tabs>
      <w:ind w:left="720" w:hanging="720"/>
    </w:pPr>
  </w:style>
  <w:style w:type="paragraph" w:styleId="ListNumber">
    <w:name w:val="List Number"/>
    <w:basedOn w:val="Normal"/>
    <w:unhideWhenUsed/>
    <w:qFormat/>
    <w:rsid w:val="005F48C4"/>
    <w:pPr>
      <w:tabs>
        <w:tab w:val="num" w:pos="720"/>
      </w:tabs>
      <w:ind w:left="720" w:hanging="720"/>
    </w:pPr>
  </w:style>
  <w:style w:type="paragraph" w:styleId="Index2">
    <w:name w:val="index 2"/>
    <w:basedOn w:val="Normal"/>
    <w:next w:val="Normal"/>
    <w:autoRedefine/>
    <w:uiPriority w:val="99"/>
    <w:unhideWhenUsed/>
    <w:rsid w:val="005F48C4"/>
    <w:pPr>
      <w:ind w:left="480" w:hanging="240"/>
    </w:pPr>
  </w:style>
  <w:style w:type="paragraph" w:styleId="Index3">
    <w:name w:val="index 3"/>
    <w:basedOn w:val="Normal"/>
    <w:next w:val="Normal"/>
    <w:autoRedefine/>
    <w:uiPriority w:val="99"/>
    <w:unhideWhenUsed/>
    <w:rsid w:val="005F48C4"/>
    <w:pPr>
      <w:ind w:left="720" w:hanging="240"/>
    </w:pPr>
  </w:style>
  <w:style w:type="paragraph" w:styleId="Index4">
    <w:name w:val="index 4"/>
    <w:basedOn w:val="Normal"/>
    <w:next w:val="Normal"/>
    <w:autoRedefine/>
    <w:uiPriority w:val="99"/>
    <w:unhideWhenUsed/>
    <w:rsid w:val="005F48C4"/>
    <w:pPr>
      <w:ind w:left="960" w:hanging="240"/>
    </w:pPr>
  </w:style>
  <w:style w:type="paragraph" w:styleId="Index5">
    <w:name w:val="index 5"/>
    <w:basedOn w:val="Normal"/>
    <w:next w:val="Normal"/>
    <w:autoRedefine/>
    <w:uiPriority w:val="99"/>
    <w:unhideWhenUsed/>
    <w:rsid w:val="005F48C4"/>
    <w:pPr>
      <w:ind w:left="1200" w:hanging="240"/>
    </w:pPr>
  </w:style>
  <w:style w:type="paragraph" w:styleId="Index6">
    <w:name w:val="index 6"/>
    <w:basedOn w:val="Normal"/>
    <w:next w:val="Normal"/>
    <w:autoRedefine/>
    <w:uiPriority w:val="99"/>
    <w:unhideWhenUsed/>
    <w:rsid w:val="005F48C4"/>
    <w:pPr>
      <w:ind w:left="1440" w:hanging="240"/>
    </w:pPr>
  </w:style>
  <w:style w:type="paragraph" w:styleId="Index7">
    <w:name w:val="index 7"/>
    <w:basedOn w:val="Normal"/>
    <w:next w:val="Normal"/>
    <w:autoRedefine/>
    <w:uiPriority w:val="99"/>
    <w:unhideWhenUsed/>
    <w:rsid w:val="005F48C4"/>
    <w:pPr>
      <w:ind w:left="1680" w:hanging="240"/>
    </w:pPr>
  </w:style>
  <w:style w:type="paragraph" w:styleId="Index8">
    <w:name w:val="index 8"/>
    <w:basedOn w:val="Normal"/>
    <w:next w:val="Normal"/>
    <w:autoRedefine/>
    <w:uiPriority w:val="99"/>
    <w:unhideWhenUsed/>
    <w:rsid w:val="005F48C4"/>
    <w:pPr>
      <w:ind w:left="1920" w:hanging="240"/>
    </w:pPr>
  </w:style>
  <w:style w:type="paragraph" w:styleId="Index9">
    <w:name w:val="index 9"/>
    <w:basedOn w:val="Normal"/>
    <w:next w:val="Normal"/>
    <w:autoRedefine/>
    <w:uiPriority w:val="99"/>
    <w:unhideWhenUsed/>
    <w:rsid w:val="005F48C4"/>
    <w:pPr>
      <w:ind w:left="2160" w:hanging="240"/>
    </w:pPr>
  </w:style>
  <w:style w:type="paragraph" w:styleId="NormalIndent">
    <w:name w:val="Normal Indent"/>
    <w:basedOn w:val="Normal"/>
    <w:uiPriority w:val="99"/>
    <w:unhideWhenUsed/>
    <w:rsid w:val="005F48C4"/>
    <w:pPr>
      <w:ind w:left="720"/>
    </w:pPr>
  </w:style>
  <w:style w:type="paragraph" w:styleId="CommentText">
    <w:name w:val="annotation text"/>
    <w:basedOn w:val="Normal"/>
    <w:link w:val="CommentTextChar"/>
    <w:uiPriority w:val="99"/>
    <w:unhideWhenUsed/>
    <w:rsid w:val="005F48C4"/>
    <w:rPr>
      <w:sz w:val="20"/>
      <w:szCs w:val="20"/>
    </w:rPr>
  </w:style>
  <w:style w:type="character" w:customStyle="1" w:styleId="CommentTextChar">
    <w:name w:val="Comment Text Char"/>
    <w:link w:val="CommentText"/>
    <w:uiPriority w:val="99"/>
    <w:rsid w:val="005F48C4"/>
  </w:style>
  <w:style w:type="paragraph" w:styleId="Caption">
    <w:name w:val="caption"/>
    <w:basedOn w:val="Normal"/>
    <w:next w:val="Normal"/>
    <w:uiPriority w:val="35"/>
    <w:semiHidden/>
    <w:unhideWhenUsed/>
    <w:qFormat/>
    <w:rsid w:val="005F48C4"/>
    <w:pPr>
      <w:spacing w:after="200"/>
    </w:pPr>
    <w:rPr>
      <w:b/>
      <w:bCs/>
      <w:color w:val="4F81BD"/>
      <w:sz w:val="18"/>
      <w:szCs w:val="18"/>
    </w:rPr>
  </w:style>
  <w:style w:type="paragraph" w:styleId="TableofFigures">
    <w:name w:val="table of figures"/>
    <w:basedOn w:val="Normal"/>
    <w:next w:val="Normal"/>
    <w:uiPriority w:val="99"/>
    <w:unhideWhenUsed/>
    <w:rsid w:val="005F48C4"/>
  </w:style>
  <w:style w:type="character" w:styleId="CommentReference">
    <w:name w:val="annotation reference"/>
    <w:uiPriority w:val="99"/>
    <w:unhideWhenUsed/>
    <w:rsid w:val="005F48C4"/>
    <w:rPr>
      <w:sz w:val="16"/>
      <w:szCs w:val="16"/>
    </w:rPr>
  </w:style>
  <w:style w:type="character" w:styleId="LineNumber">
    <w:name w:val="line number"/>
    <w:uiPriority w:val="99"/>
    <w:unhideWhenUsed/>
    <w:rsid w:val="005F48C4"/>
  </w:style>
  <w:style w:type="character" w:styleId="EndnoteReference">
    <w:name w:val="endnote reference"/>
    <w:uiPriority w:val="99"/>
    <w:unhideWhenUsed/>
    <w:rsid w:val="005F48C4"/>
    <w:rPr>
      <w:vertAlign w:val="superscript"/>
    </w:rPr>
  </w:style>
  <w:style w:type="paragraph" w:styleId="EndnoteText">
    <w:name w:val="endnote text"/>
    <w:basedOn w:val="Normal"/>
    <w:link w:val="EndnoteTextChar"/>
    <w:uiPriority w:val="99"/>
    <w:unhideWhenUsed/>
    <w:rsid w:val="005F48C4"/>
    <w:rPr>
      <w:sz w:val="20"/>
      <w:szCs w:val="20"/>
    </w:rPr>
  </w:style>
  <w:style w:type="character" w:customStyle="1" w:styleId="EndnoteTextChar">
    <w:name w:val="Endnote Text Char"/>
    <w:link w:val="EndnoteText"/>
    <w:uiPriority w:val="99"/>
    <w:rsid w:val="005F48C4"/>
  </w:style>
  <w:style w:type="paragraph" w:styleId="TableofAuthorities">
    <w:name w:val="table of authorities"/>
    <w:basedOn w:val="Normal"/>
    <w:next w:val="Normal"/>
    <w:uiPriority w:val="99"/>
    <w:unhideWhenUsed/>
    <w:rsid w:val="005F48C4"/>
    <w:pPr>
      <w:ind w:left="240" w:hanging="240"/>
    </w:pPr>
  </w:style>
  <w:style w:type="paragraph" w:styleId="MacroText">
    <w:name w:val="macro"/>
    <w:link w:val="MacroTextChar"/>
    <w:uiPriority w:val="99"/>
    <w:unhideWhenUsed/>
    <w:rsid w:val="005F48C4"/>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link w:val="MacroText"/>
    <w:uiPriority w:val="99"/>
    <w:rsid w:val="005F48C4"/>
    <w:rPr>
      <w:rFonts w:ascii="Consolas" w:hAnsi="Consolas"/>
    </w:rPr>
  </w:style>
  <w:style w:type="paragraph" w:styleId="List">
    <w:name w:val="List"/>
    <w:basedOn w:val="Normal"/>
    <w:uiPriority w:val="99"/>
    <w:unhideWhenUsed/>
    <w:rsid w:val="005F48C4"/>
    <w:pPr>
      <w:ind w:left="360" w:hanging="360"/>
      <w:contextualSpacing/>
    </w:pPr>
  </w:style>
  <w:style w:type="paragraph" w:styleId="List2">
    <w:name w:val="List 2"/>
    <w:basedOn w:val="Normal"/>
    <w:uiPriority w:val="99"/>
    <w:unhideWhenUsed/>
    <w:rsid w:val="005F48C4"/>
    <w:pPr>
      <w:ind w:left="720" w:hanging="360"/>
      <w:contextualSpacing/>
    </w:pPr>
  </w:style>
  <w:style w:type="paragraph" w:styleId="List3">
    <w:name w:val="List 3"/>
    <w:basedOn w:val="Normal"/>
    <w:uiPriority w:val="99"/>
    <w:unhideWhenUsed/>
    <w:rsid w:val="005F48C4"/>
    <w:pPr>
      <w:ind w:left="1080" w:hanging="360"/>
      <w:contextualSpacing/>
    </w:pPr>
  </w:style>
  <w:style w:type="paragraph" w:styleId="List4">
    <w:name w:val="List 4"/>
    <w:basedOn w:val="Normal"/>
    <w:uiPriority w:val="99"/>
    <w:unhideWhenUsed/>
    <w:rsid w:val="005F48C4"/>
    <w:pPr>
      <w:ind w:left="1440" w:hanging="360"/>
      <w:contextualSpacing/>
    </w:pPr>
  </w:style>
  <w:style w:type="paragraph" w:styleId="List5">
    <w:name w:val="List 5"/>
    <w:basedOn w:val="Normal"/>
    <w:uiPriority w:val="99"/>
    <w:unhideWhenUsed/>
    <w:rsid w:val="005F48C4"/>
    <w:pPr>
      <w:ind w:left="1800" w:hanging="360"/>
      <w:contextualSpacing/>
    </w:pPr>
  </w:style>
  <w:style w:type="paragraph" w:styleId="ListBullet2">
    <w:name w:val="List Bullet 2"/>
    <w:basedOn w:val="Normal"/>
    <w:uiPriority w:val="99"/>
    <w:unhideWhenUsed/>
    <w:rsid w:val="005F48C4"/>
    <w:pPr>
      <w:tabs>
        <w:tab w:val="num" w:pos="720"/>
      </w:tabs>
      <w:ind w:left="720" w:hanging="720"/>
      <w:contextualSpacing/>
    </w:pPr>
  </w:style>
  <w:style w:type="paragraph" w:styleId="ListBullet3">
    <w:name w:val="List Bullet 3"/>
    <w:basedOn w:val="Normal"/>
    <w:uiPriority w:val="99"/>
    <w:unhideWhenUsed/>
    <w:rsid w:val="005F48C4"/>
    <w:pPr>
      <w:tabs>
        <w:tab w:val="num" w:pos="720"/>
      </w:tabs>
      <w:ind w:left="720" w:hanging="720"/>
      <w:contextualSpacing/>
    </w:pPr>
  </w:style>
  <w:style w:type="paragraph" w:styleId="ListBullet4">
    <w:name w:val="List Bullet 4"/>
    <w:basedOn w:val="Normal"/>
    <w:uiPriority w:val="99"/>
    <w:unhideWhenUsed/>
    <w:rsid w:val="005F48C4"/>
    <w:pPr>
      <w:tabs>
        <w:tab w:val="num" w:pos="720"/>
      </w:tabs>
      <w:ind w:left="720" w:hanging="720"/>
      <w:contextualSpacing/>
    </w:pPr>
  </w:style>
  <w:style w:type="paragraph" w:styleId="ListBullet5">
    <w:name w:val="List Bullet 5"/>
    <w:basedOn w:val="Normal"/>
    <w:uiPriority w:val="99"/>
    <w:unhideWhenUsed/>
    <w:rsid w:val="005F48C4"/>
    <w:pPr>
      <w:tabs>
        <w:tab w:val="num" w:pos="720"/>
      </w:tabs>
      <w:ind w:left="720" w:hanging="720"/>
      <w:contextualSpacing/>
    </w:pPr>
  </w:style>
  <w:style w:type="paragraph" w:styleId="ListNumber2">
    <w:name w:val="List Number 2"/>
    <w:basedOn w:val="Normal"/>
    <w:uiPriority w:val="99"/>
    <w:unhideWhenUsed/>
    <w:rsid w:val="005F48C4"/>
    <w:pPr>
      <w:tabs>
        <w:tab w:val="num" w:pos="720"/>
      </w:tabs>
      <w:ind w:left="720" w:hanging="720"/>
      <w:contextualSpacing/>
    </w:pPr>
  </w:style>
  <w:style w:type="paragraph" w:styleId="ListNumber3">
    <w:name w:val="List Number 3"/>
    <w:basedOn w:val="Normal"/>
    <w:uiPriority w:val="99"/>
    <w:unhideWhenUsed/>
    <w:rsid w:val="005F48C4"/>
    <w:pPr>
      <w:tabs>
        <w:tab w:val="num" w:pos="720"/>
      </w:tabs>
      <w:ind w:left="720" w:hanging="720"/>
      <w:contextualSpacing/>
    </w:pPr>
  </w:style>
  <w:style w:type="paragraph" w:styleId="ListNumber4">
    <w:name w:val="List Number 4"/>
    <w:basedOn w:val="Normal"/>
    <w:uiPriority w:val="99"/>
    <w:unhideWhenUsed/>
    <w:rsid w:val="005F48C4"/>
    <w:pPr>
      <w:tabs>
        <w:tab w:val="num" w:pos="720"/>
      </w:tabs>
      <w:ind w:left="720" w:hanging="720"/>
      <w:contextualSpacing/>
    </w:pPr>
  </w:style>
  <w:style w:type="paragraph" w:styleId="ListNumber5">
    <w:name w:val="List Number 5"/>
    <w:basedOn w:val="Normal"/>
    <w:uiPriority w:val="99"/>
    <w:unhideWhenUsed/>
    <w:rsid w:val="005F48C4"/>
    <w:pPr>
      <w:tabs>
        <w:tab w:val="num" w:pos="720"/>
      </w:tabs>
      <w:ind w:left="720" w:hanging="720"/>
      <w:contextualSpacing/>
    </w:pPr>
  </w:style>
  <w:style w:type="paragraph" w:styleId="Closing">
    <w:name w:val="Closing"/>
    <w:basedOn w:val="Normal"/>
    <w:link w:val="ClosingChar"/>
    <w:uiPriority w:val="99"/>
    <w:unhideWhenUsed/>
    <w:rsid w:val="005F48C4"/>
    <w:pPr>
      <w:ind w:left="4320"/>
    </w:pPr>
  </w:style>
  <w:style w:type="character" w:customStyle="1" w:styleId="ClosingChar">
    <w:name w:val="Closing Char"/>
    <w:link w:val="Closing"/>
    <w:uiPriority w:val="99"/>
    <w:rsid w:val="005F48C4"/>
    <w:rPr>
      <w:sz w:val="24"/>
      <w:szCs w:val="24"/>
    </w:rPr>
  </w:style>
  <w:style w:type="paragraph" w:styleId="Signature">
    <w:name w:val="Signature"/>
    <w:basedOn w:val="Normal"/>
    <w:link w:val="SignatureChar"/>
    <w:uiPriority w:val="99"/>
    <w:unhideWhenUsed/>
    <w:rsid w:val="005F48C4"/>
    <w:pPr>
      <w:ind w:left="4320"/>
    </w:pPr>
  </w:style>
  <w:style w:type="character" w:customStyle="1" w:styleId="SignatureChar">
    <w:name w:val="Signature Char"/>
    <w:link w:val="Signature"/>
    <w:uiPriority w:val="99"/>
    <w:rsid w:val="005F48C4"/>
    <w:rPr>
      <w:sz w:val="24"/>
      <w:szCs w:val="24"/>
    </w:rPr>
  </w:style>
  <w:style w:type="paragraph" w:styleId="BodyText">
    <w:name w:val="Body Text"/>
    <w:basedOn w:val="Normal"/>
    <w:link w:val="BodyTextChar"/>
    <w:uiPriority w:val="99"/>
    <w:unhideWhenUsed/>
    <w:rsid w:val="00C85ACB"/>
    <w:pPr>
      <w:spacing w:after="120" w:line="23" w:lineRule="exact"/>
    </w:pPr>
    <w:rPr>
      <w:sz w:val="22"/>
    </w:rPr>
  </w:style>
  <w:style w:type="character" w:customStyle="1" w:styleId="BodyTextChar">
    <w:name w:val="Body Text Char"/>
    <w:link w:val="BodyText"/>
    <w:uiPriority w:val="99"/>
    <w:rsid w:val="00C85ACB"/>
    <w:rPr>
      <w:sz w:val="22"/>
    </w:rPr>
  </w:style>
  <w:style w:type="paragraph" w:styleId="BodyTextIndent">
    <w:name w:val="Body Text Indent"/>
    <w:basedOn w:val="Normal"/>
    <w:link w:val="BodyTextIndentChar"/>
    <w:uiPriority w:val="99"/>
    <w:unhideWhenUsed/>
    <w:rsid w:val="005F48C4"/>
    <w:pPr>
      <w:spacing w:after="120"/>
      <w:ind w:left="360"/>
    </w:pPr>
  </w:style>
  <w:style w:type="character" w:customStyle="1" w:styleId="BodyTextIndentChar">
    <w:name w:val="Body Text Indent Char"/>
    <w:link w:val="BodyTextIndent"/>
    <w:uiPriority w:val="99"/>
    <w:rsid w:val="005F48C4"/>
    <w:rPr>
      <w:sz w:val="24"/>
      <w:szCs w:val="24"/>
    </w:rPr>
  </w:style>
  <w:style w:type="paragraph" w:styleId="ListContinue">
    <w:name w:val="List Continue"/>
    <w:basedOn w:val="Normal"/>
    <w:uiPriority w:val="99"/>
    <w:unhideWhenUsed/>
    <w:rsid w:val="005F48C4"/>
    <w:pPr>
      <w:spacing w:after="120"/>
      <w:ind w:left="360"/>
      <w:contextualSpacing/>
    </w:pPr>
  </w:style>
  <w:style w:type="paragraph" w:styleId="ListContinue2">
    <w:name w:val="List Continue 2"/>
    <w:basedOn w:val="Normal"/>
    <w:uiPriority w:val="99"/>
    <w:unhideWhenUsed/>
    <w:rsid w:val="005F48C4"/>
    <w:pPr>
      <w:spacing w:after="120"/>
      <w:ind w:left="720"/>
      <w:contextualSpacing/>
    </w:pPr>
  </w:style>
  <w:style w:type="paragraph" w:styleId="ListContinue3">
    <w:name w:val="List Continue 3"/>
    <w:basedOn w:val="Normal"/>
    <w:uiPriority w:val="99"/>
    <w:unhideWhenUsed/>
    <w:rsid w:val="005F48C4"/>
    <w:pPr>
      <w:spacing w:after="120"/>
      <w:ind w:left="1080"/>
      <w:contextualSpacing/>
    </w:pPr>
  </w:style>
  <w:style w:type="paragraph" w:styleId="ListContinue4">
    <w:name w:val="List Continue 4"/>
    <w:basedOn w:val="Normal"/>
    <w:uiPriority w:val="99"/>
    <w:unhideWhenUsed/>
    <w:rsid w:val="005F48C4"/>
    <w:pPr>
      <w:spacing w:after="120"/>
      <w:ind w:left="1440"/>
      <w:contextualSpacing/>
    </w:pPr>
  </w:style>
  <w:style w:type="paragraph" w:styleId="ListContinue5">
    <w:name w:val="List Continue 5"/>
    <w:basedOn w:val="Normal"/>
    <w:uiPriority w:val="99"/>
    <w:unhideWhenUsed/>
    <w:rsid w:val="005F48C4"/>
    <w:pPr>
      <w:spacing w:after="120"/>
      <w:ind w:left="1800"/>
      <w:contextualSpacing/>
    </w:pPr>
  </w:style>
  <w:style w:type="paragraph" w:styleId="Salutation">
    <w:name w:val="Salutation"/>
    <w:basedOn w:val="Normal"/>
    <w:next w:val="Normal"/>
    <w:link w:val="SalutationChar"/>
    <w:uiPriority w:val="99"/>
    <w:unhideWhenUsed/>
    <w:rsid w:val="005F48C4"/>
  </w:style>
  <w:style w:type="character" w:customStyle="1" w:styleId="SalutationChar">
    <w:name w:val="Salutation Char"/>
    <w:link w:val="Salutation"/>
    <w:uiPriority w:val="99"/>
    <w:rsid w:val="005F48C4"/>
    <w:rPr>
      <w:sz w:val="24"/>
      <w:szCs w:val="24"/>
    </w:rPr>
  </w:style>
  <w:style w:type="paragraph" w:styleId="Date">
    <w:name w:val="Date"/>
    <w:basedOn w:val="Normal"/>
    <w:next w:val="Normal"/>
    <w:link w:val="DateChar"/>
    <w:uiPriority w:val="99"/>
    <w:unhideWhenUsed/>
    <w:rsid w:val="005F48C4"/>
  </w:style>
  <w:style w:type="character" w:customStyle="1" w:styleId="DateChar">
    <w:name w:val="Date Char"/>
    <w:link w:val="Date"/>
    <w:uiPriority w:val="99"/>
    <w:rsid w:val="005F48C4"/>
    <w:rPr>
      <w:sz w:val="24"/>
      <w:szCs w:val="24"/>
    </w:rPr>
  </w:style>
  <w:style w:type="paragraph" w:styleId="BodyTextFirstIndent">
    <w:name w:val="Body Text First Indent"/>
    <w:basedOn w:val="BodyText"/>
    <w:link w:val="BodyTextFirstIndentChar"/>
    <w:uiPriority w:val="99"/>
    <w:unhideWhenUsed/>
    <w:rsid w:val="005F48C4"/>
    <w:pPr>
      <w:spacing w:after="0"/>
      <w:ind w:firstLine="360"/>
    </w:pPr>
  </w:style>
  <w:style w:type="character" w:customStyle="1" w:styleId="BodyTextFirstIndentChar">
    <w:name w:val="Body Text First Indent Char"/>
    <w:link w:val="BodyTextFirstIndent"/>
    <w:uiPriority w:val="99"/>
    <w:rsid w:val="005F48C4"/>
    <w:rPr>
      <w:sz w:val="24"/>
      <w:szCs w:val="24"/>
    </w:rPr>
  </w:style>
  <w:style w:type="paragraph" w:styleId="BodyTextFirstIndent2">
    <w:name w:val="Body Text First Indent 2"/>
    <w:basedOn w:val="BodyTextIndent"/>
    <w:link w:val="BodyTextFirstIndent2Char"/>
    <w:uiPriority w:val="99"/>
    <w:unhideWhenUsed/>
    <w:rsid w:val="005F48C4"/>
    <w:pPr>
      <w:spacing w:after="0"/>
      <w:ind w:firstLine="360"/>
    </w:pPr>
  </w:style>
  <w:style w:type="character" w:customStyle="1" w:styleId="BodyTextFirstIndent2Char">
    <w:name w:val="Body Text First Indent 2 Char"/>
    <w:link w:val="BodyTextFirstIndent2"/>
    <w:uiPriority w:val="99"/>
    <w:rsid w:val="005F48C4"/>
    <w:rPr>
      <w:sz w:val="24"/>
      <w:szCs w:val="24"/>
    </w:rPr>
  </w:style>
  <w:style w:type="paragraph" w:styleId="NoteHeading">
    <w:name w:val="Note Heading"/>
    <w:basedOn w:val="Normal"/>
    <w:next w:val="Normal"/>
    <w:link w:val="NoteHeadingChar"/>
    <w:uiPriority w:val="99"/>
    <w:unhideWhenUsed/>
    <w:rsid w:val="005F48C4"/>
  </w:style>
  <w:style w:type="character" w:customStyle="1" w:styleId="NoteHeadingChar">
    <w:name w:val="Note Heading Char"/>
    <w:link w:val="NoteHeading"/>
    <w:uiPriority w:val="99"/>
    <w:rsid w:val="005F48C4"/>
    <w:rPr>
      <w:sz w:val="24"/>
      <w:szCs w:val="24"/>
    </w:rPr>
  </w:style>
  <w:style w:type="paragraph" w:styleId="BodyText2">
    <w:name w:val="Body Text 2"/>
    <w:basedOn w:val="Normal"/>
    <w:link w:val="BodyText2Char"/>
    <w:uiPriority w:val="99"/>
    <w:unhideWhenUsed/>
    <w:rsid w:val="005F48C4"/>
    <w:pPr>
      <w:spacing w:after="120" w:line="480" w:lineRule="auto"/>
    </w:pPr>
  </w:style>
  <w:style w:type="character" w:customStyle="1" w:styleId="BodyText2Char">
    <w:name w:val="Body Text 2 Char"/>
    <w:link w:val="BodyText2"/>
    <w:uiPriority w:val="99"/>
    <w:rsid w:val="005F48C4"/>
    <w:rPr>
      <w:sz w:val="24"/>
      <w:szCs w:val="24"/>
    </w:rPr>
  </w:style>
  <w:style w:type="paragraph" w:styleId="BodyText3">
    <w:name w:val="Body Text 3"/>
    <w:basedOn w:val="Normal"/>
    <w:link w:val="BodyText3Char"/>
    <w:uiPriority w:val="99"/>
    <w:unhideWhenUsed/>
    <w:rsid w:val="005F48C4"/>
    <w:pPr>
      <w:spacing w:after="120"/>
    </w:pPr>
    <w:rPr>
      <w:sz w:val="16"/>
      <w:szCs w:val="16"/>
    </w:rPr>
  </w:style>
  <w:style w:type="character" w:customStyle="1" w:styleId="BodyText3Char">
    <w:name w:val="Body Text 3 Char"/>
    <w:link w:val="BodyText3"/>
    <w:uiPriority w:val="99"/>
    <w:rsid w:val="005F48C4"/>
    <w:rPr>
      <w:sz w:val="16"/>
      <w:szCs w:val="16"/>
    </w:rPr>
  </w:style>
  <w:style w:type="paragraph" w:styleId="BodyTextIndent2">
    <w:name w:val="Body Text Indent 2"/>
    <w:basedOn w:val="Normal"/>
    <w:link w:val="BodyTextIndent2Char"/>
    <w:uiPriority w:val="99"/>
    <w:unhideWhenUsed/>
    <w:rsid w:val="005F48C4"/>
    <w:pPr>
      <w:spacing w:after="120" w:line="480" w:lineRule="auto"/>
      <w:ind w:left="360"/>
    </w:pPr>
  </w:style>
  <w:style w:type="character" w:customStyle="1" w:styleId="BodyTextIndent2Char">
    <w:name w:val="Body Text Indent 2 Char"/>
    <w:link w:val="BodyTextIndent2"/>
    <w:uiPriority w:val="99"/>
    <w:rsid w:val="005F48C4"/>
    <w:rPr>
      <w:sz w:val="24"/>
      <w:szCs w:val="24"/>
    </w:rPr>
  </w:style>
  <w:style w:type="paragraph" w:styleId="BodyTextIndent3">
    <w:name w:val="Body Text Indent 3"/>
    <w:basedOn w:val="Normal"/>
    <w:link w:val="BodyTextIndent3Char"/>
    <w:uiPriority w:val="99"/>
    <w:unhideWhenUsed/>
    <w:rsid w:val="005F48C4"/>
    <w:pPr>
      <w:spacing w:after="120"/>
      <w:ind w:left="360"/>
    </w:pPr>
    <w:rPr>
      <w:sz w:val="16"/>
      <w:szCs w:val="16"/>
    </w:rPr>
  </w:style>
  <w:style w:type="character" w:customStyle="1" w:styleId="BodyTextIndent3Char">
    <w:name w:val="Body Text Indent 3 Char"/>
    <w:link w:val="BodyTextIndent3"/>
    <w:uiPriority w:val="99"/>
    <w:rsid w:val="005F48C4"/>
    <w:rPr>
      <w:sz w:val="16"/>
      <w:szCs w:val="16"/>
    </w:rPr>
  </w:style>
  <w:style w:type="character" w:styleId="Hyperlink">
    <w:name w:val="Hyperlink"/>
    <w:uiPriority w:val="99"/>
    <w:unhideWhenUsed/>
    <w:rsid w:val="005F48C4"/>
    <w:rPr>
      <w:color w:val="0000FF"/>
      <w:u w:val="single"/>
    </w:rPr>
  </w:style>
  <w:style w:type="character" w:styleId="FollowedHyperlink">
    <w:name w:val="FollowedHyperlink"/>
    <w:uiPriority w:val="99"/>
    <w:unhideWhenUsed/>
    <w:rsid w:val="005F48C4"/>
    <w:rPr>
      <w:color w:val="800080"/>
      <w:u w:val="single"/>
    </w:rPr>
  </w:style>
  <w:style w:type="character" w:styleId="Strong">
    <w:name w:val="Strong"/>
    <w:uiPriority w:val="22"/>
    <w:qFormat/>
    <w:rsid w:val="005F48C4"/>
    <w:rPr>
      <w:b/>
      <w:bCs/>
    </w:rPr>
  </w:style>
  <w:style w:type="character" w:styleId="Emphasis">
    <w:name w:val="Emphasis"/>
    <w:uiPriority w:val="20"/>
    <w:rsid w:val="005F48C4"/>
    <w:rPr>
      <w:i/>
      <w:iCs/>
    </w:rPr>
  </w:style>
  <w:style w:type="paragraph" w:styleId="DocumentMap">
    <w:name w:val="Document Map"/>
    <w:basedOn w:val="Normal"/>
    <w:link w:val="DocumentMapChar"/>
    <w:uiPriority w:val="99"/>
    <w:unhideWhenUsed/>
    <w:rsid w:val="005F48C4"/>
    <w:rPr>
      <w:rFonts w:ascii="Tahoma" w:hAnsi="Tahoma" w:cs="Tahoma"/>
      <w:sz w:val="16"/>
      <w:szCs w:val="16"/>
    </w:rPr>
  </w:style>
  <w:style w:type="character" w:customStyle="1" w:styleId="DocumentMapChar">
    <w:name w:val="Document Map Char"/>
    <w:link w:val="DocumentMap"/>
    <w:uiPriority w:val="99"/>
    <w:rsid w:val="005F48C4"/>
    <w:rPr>
      <w:rFonts w:ascii="Tahoma" w:hAnsi="Tahoma" w:cs="Tahoma"/>
      <w:sz w:val="16"/>
      <w:szCs w:val="16"/>
    </w:rPr>
  </w:style>
  <w:style w:type="paragraph" w:styleId="PlainText">
    <w:name w:val="Plain Text"/>
    <w:basedOn w:val="Normal"/>
    <w:link w:val="PlainTextChar"/>
    <w:uiPriority w:val="99"/>
    <w:unhideWhenUsed/>
    <w:rsid w:val="005F48C4"/>
    <w:rPr>
      <w:rFonts w:ascii="Consolas" w:hAnsi="Consolas"/>
      <w:sz w:val="21"/>
      <w:szCs w:val="21"/>
    </w:rPr>
  </w:style>
  <w:style w:type="character" w:customStyle="1" w:styleId="PlainTextChar">
    <w:name w:val="Plain Text Char"/>
    <w:link w:val="PlainText"/>
    <w:uiPriority w:val="99"/>
    <w:rsid w:val="005F48C4"/>
    <w:rPr>
      <w:rFonts w:ascii="Consolas" w:hAnsi="Consolas"/>
      <w:sz w:val="21"/>
      <w:szCs w:val="21"/>
    </w:rPr>
  </w:style>
  <w:style w:type="paragraph" w:styleId="E-mailSignature">
    <w:name w:val="E-mail Signature"/>
    <w:basedOn w:val="Normal"/>
    <w:link w:val="E-mailSignatureChar"/>
    <w:uiPriority w:val="99"/>
    <w:unhideWhenUsed/>
    <w:rsid w:val="005F48C4"/>
  </w:style>
  <w:style w:type="character" w:customStyle="1" w:styleId="E-mailSignatureChar">
    <w:name w:val="E-mail Signature Char"/>
    <w:link w:val="E-mailSignature"/>
    <w:uiPriority w:val="99"/>
    <w:rsid w:val="005F48C4"/>
    <w:rPr>
      <w:sz w:val="24"/>
      <w:szCs w:val="24"/>
    </w:rPr>
  </w:style>
  <w:style w:type="paragraph" w:styleId="NormalWeb">
    <w:name w:val="Normal (Web)"/>
    <w:basedOn w:val="Normal"/>
    <w:uiPriority w:val="99"/>
    <w:unhideWhenUsed/>
    <w:rsid w:val="005F48C4"/>
  </w:style>
  <w:style w:type="character" w:styleId="HTMLAcronym">
    <w:name w:val="HTML Acronym"/>
    <w:uiPriority w:val="99"/>
    <w:unhideWhenUsed/>
    <w:rsid w:val="005F48C4"/>
  </w:style>
  <w:style w:type="paragraph" w:styleId="HTMLAddress">
    <w:name w:val="HTML Address"/>
    <w:basedOn w:val="Normal"/>
    <w:link w:val="HTMLAddressChar"/>
    <w:uiPriority w:val="99"/>
    <w:unhideWhenUsed/>
    <w:rsid w:val="005F48C4"/>
    <w:rPr>
      <w:i/>
      <w:iCs/>
    </w:rPr>
  </w:style>
  <w:style w:type="character" w:customStyle="1" w:styleId="HTMLAddressChar">
    <w:name w:val="HTML Address Char"/>
    <w:link w:val="HTMLAddress"/>
    <w:uiPriority w:val="99"/>
    <w:rsid w:val="005F48C4"/>
    <w:rPr>
      <w:i/>
      <w:iCs/>
      <w:sz w:val="24"/>
      <w:szCs w:val="24"/>
    </w:rPr>
  </w:style>
  <w:style w:type="character" w:styleId="HTMLCite">
    <w:name w:val="HTML Cite"/>
    <w:uiPriority w:val="99"/>
    <w:unhideWhenUsed/>
    <w:rsid w:val="005F48C4"/>
    <w:rPr>
      <w:i/>
      <w:iCs/>
    </w:rPr>
  </w:style>
  <w:style w:type="character" w:styleId="HTMLCode">
    <w:name w:val="HTML Code"/>
    <w:uiPriority w:val="99"/>
    <w:unhideWhenUsed/>
    <w:rsid w:val="005F48C4"/>
    <w:rPr>
      <w:rFonts w:ascii="Consolas" w:hAnsi="Consolas"/>
      <w:sz w:val="20"/>
      <w:szCs w:val="20"/>
    </w:rPr>
  </w:style>
  <w:style w:type="character" w:styleId="HTMLDefinition">
    <w:name w:val="HTML Definition"/>
    <w:uiPriority w:val="99"/>
    <w:unhideWhenUsed/>
    <w:rsid w:val="005F48C4"/>
    <w:rPr>
      <w:i/>
      <w:iCs/>
    </w:rPr>
  </w:style>
  <w:style w:type="character" w:styleId="HTMLKeyboard">
    <w:name w:val="HTML Keyboard"/>
    <w:uiPriority w:val="99"/>
    <w:unhideWhenUsed/>
    <w:rsid w:val="005F48C4"/>
    <w:rPr>
      <w:rFonts w:ascii="Consolas" w:hAnsi="Consolas"/>
      <w:sz w:val="20"/>
      <w:szCs w:val="20"/>
    </w:rPr>
  </w:style>
  <w:style w:type="paragraph" w:styleId="HTMLPreformatted">
    <w:name w:val="HTML Preformatted"/>
    <w:basedOn w:val="Normal"/>
    <w:link w:val="HTMLPreformattedChar"/>
    <w:uiPriority w:val="99"/>
    <w:unhideWhenUsed/>
    <w:rsid w:val="005F48C4"/>
    <w:rPr>
      <w:rFonts w:ascii="Consolas" w:hAnsi="Consolas"/>
      <w:sz w:val="20"/>
      <w:szCs w:val="20"/>
    </w:rPr>
  </w:style>
  <w:style w:type="character" w:customStyle="1" w:styleId="HTMLPreformattedChar">
    <w:name w:val="HTML Preformatted Char"/>
    <w:link w:val="HTMLPreformatted"/>
    <w:uiPriority w:val="99"/>
    <w:rsid w:val="005F48C4"/>
    <w:rPr>
      <w:rFonts w:ascii="Consolas" w:hAnsi="Consolas"/>
    </w:rPr>
  </w:style>
  <w:style w:type="character" w:styleId="HTMLSample">
    <w:name w:val="HTML Sample"/>
    <w:uiPriority w:val="99"/>
    <w:unhideWhenUsed/>
    <w:rsid w:val="005F48C4"/>
    <w:rPr>
      <w:rFonts w:ascii="Consolas" w:hAnsi="Consolas"/>
      <w:sz w:val="24"/>
      <w:szCs w:val="24"/>
    </w:rPr>
  </w:style>
  <w:style w:type="character" w:styleId="HTMLTypewriter">
    <w:name w:val="HTML Typewriter"/>
    <w:uiPriority w:val="99"/>
    <w:unhideWhenUsed/>
    <w:rsid w:val="005F48C4"/>
    <w:rPr>
      <w:rFonts w:ascii="Consolas" w:hAnsi="Consolas"/>
      <w:sz w:val="20"/>
      <w:szCs w:val="20"/>
    </w:rPr>
  </w:style>
  <w:style w:type="character" w:styleId="HTMLVariable">
    <w:name w:val="HTML Variable"/>
    <w:uiPriority w:val="99"/>
    <w:unhideWhenUsed/>
    <w:rsid w:val="005F48C4"/>
    <w:rPr>
      <w:i/>
      <w:iCs/>
    </w:rPr>
  </w:style>
  <w:style w:type="paragraph" w:styleId="CommentSubject">
    <w:name w:val="annotation subject"/>
    <w:basedOn w:val="CommentText"/>
    <w:next w:val="CommentText"/>
    <w:link w:val="CommentSubjectChar"/>
    <w:uiPriority w:val="99"/>
    <w:unhideWhenUsed/>
    <w:rsid w:val="005F48C4"/>
    <w:rPr>
      <w:b/>
      <w:bCs/>
    </w:rPr>
  </w:style>
  <w:style w:type="character" w:customStyle="1" w:styleId="CommentSubjectChar">
    <w:name w:val="Comment Subject Char"/>
    <w:link w:val="CommentSubject"/>
    <w:uiPriority w:val="99"/>
    <w:rsid w:val="005F48C4"/>
    <w:rPr>
      <w:b/>
      <w:bCs/>
    </w:rPr>
  </w:style>
  <w:style w:type="paragraph" w:styleId="BalloonText">
    <w:name w:val="Balloon Text"/>
    <w:basedOn w:val="Normal"/>
    <w:link w:val="BalloonTextChar"/>
    <w:uiPriority w:val="99"/>
    <w:unhideWhenUsed/>
    <w:rsid w:val="005F48C4"/>
    <w:rPr>
      <w:rFonts w:ascii="Tahoma" w:hAnsi="Tahoma" w:cs="Tahoma"/>
      <w:sz w:val="16"/>
      <w:szCs w:val="16"/>
    </w:rPr>
  </w:style>
  <w:style w:type="character" w:customStyle="1" w:styleId="BalloonTextChar">
    <w:name w:val="Balloon Text Char"/>
    <w:link w:val="BalloonText"/>
    <w:uiPriority w:val="99"/>
    <w:rsid w:val="005F48C4"/>
    <w:rPr>
      <w:rFonts w:ascii="Tahoma" w:hAnsi="Tahoma" w:cs="Tahoma"/>
      <w:sz w:val="16"/>
      <w:szCs w:val="16"/>
    </w:rPr>
  </w:style>
  <w:style w:type="paragraph" w:styleId="NoSpacing">
    <w:name w:val="No Spacing"/>
    <w:uiPriority w:val="1"/>
    <w:rsid w:val="005F48C4"/>
  </w:style>
  <w:style w:type="paragraph" w:styleId="ListParagraph">
    <w:name w:val="List Paragraph"/>
    <w:basedOn w:val="Normal"/>
    <w:uiPriority w:val="34"/>
    <w:rsid w:val="00C85ACB"/>
    <w:pPr>
      <w:spacing w:after="40"/>
      <w:ind w:left="360"/>
      <w:contextualSpacing/>
    </w:pPr>
    <w:rPr>
      <w:rFonts w:asciiTheme="minorHAnsi" w:hAnsiTheme="minorHAnsi"/>
    </w:rPr>
  </w:style>
  <w:style w:type="paragraph" w:styleId="Quote">
    <w:name w:val="Quote"/>
    <w:basedOn w:val="Normal"/>
    <w:next w:val="Normal"/>
    <w:link w:val="QuoteChar"/>
    <w:uiPriority w:val="29"/>
    <w:rsid w:val="005F48C4"/>
    <w:rPr>
      <w:i/>
      <w:iCs/>
      <w:color w:val="000000"/>
    </w:rPr>
  </w:style>
  <w:style w:type="character" w:customStyle="1" w:styleId="QuoteChar">
    <w:name w:val="Quote Char"/>
    <w:link w:val="Quote"/>
    <w:uiPriority w:val="29"/>
    <w:rsid w:val="005F48C4"/>
    <w:rPr>
      <w:i/>
      <w:iCs/>
      <w:color w:val="000000"/>
      <w:sz w:val="24"/>
      <w:szCs w:val="24"/>
    </w:rPr>
  </w:style>
  <w:style w:type="paragraph" w:styleId="IntenseQuote">
    <w:name w:val="Intense Quote"/>
    <w:basedOn w:val="Normal"/>
    <w:next w:val="Normal"/>
    <w:link w:val="IntenseQuoteChar"/>
    <w:uiPriority w:val="30"/>
    <w:rsid w:val="005F48C4"/>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5F48C4"/>
    <w:rPr>
      <w:b/>
      <w:bCs/>
      <w:i/>
      <w:iCs/>
      <w:color w:val="4F81BD"/>
      <w:sz w:val="24"/>
      <w:szCs w:val="24"/>
    </w:rPr>
  </w:style>
  <w:style w:type="character" w:styleId="SubtleEmphasis">
    <w:name w:val="Subtle Emphasis"/>
    <w:uiPriority w:val="19"/>
    <w:rsid w:val="005F48C4"/>
    <w:rPr>
      <w:i/>
      <w:iCs/>
      <w:color w:val="808080"/>
    </w:rPr>
  </w:style>
  <w:style w:type="character" w:styleId="IntenseEmphasis">
    <w:name w:val="Intense Emphasis"/>
    <w:uiPriority w:val="21"/>
    <w:rsid w:val="005F48C4"/>
    <w:rPr>
      <w:b/>
      <w:bCs/>
      <w:i/>
      <w:iCs/>
      <w:color w:val="4F81BD"/>
    </w:rPr>
  </w:style>
  <w:style w:type="character" w:styleId="SubtleReference">
    <w:name w:val="Subtle Reference"/>
    <w:uiPriority w:val="31"/>
    <w:rsid w:val="005F48C4"/>
    <w:rPr>
      <w:smallCaps/>
      <w:color w:val="C0504D"/>
      <w:u w:val="single"/>
    </w:rPr>
  </w:style>
  <w:style w:type="character" w:styleId="IntenseReference">
    <w:name w:val="Intense Reference"/>
    <w:uiPriority w:val="32"/>
    <w:rsid w:val="005F48C4"/>
    <w:rPr>
      <w:b/>
      <w:bCs/>
      <w:smallCaps/>
      <w:color w:val="C0504D"/>
      <w:spacing w:val="5"/>
      <w:u w:val="single"/>
    </w:rPr>
  </w:style>
  <w:style w:type="character" w:styleId="BookTitle">
    <w:name w:val="Book Title"/>
    <w:uiPriority w:val="33"/>
    <w:rsid w:val="005F48C4"/>
    <w:rPr>
      <w:b/>
      <w:bCs/>
      <w:smallCaps/>
      <w:spacing w:val="5"/>
    </w:rPr>
  </w:style>
  <w:style w:type="paragraph" w:styleId="Bibliography">
    <w:name w:val="Bibliography"/>
    <w:basedOn w:val="Normal"/>
    <w:next w:val="Normal"/>
    <w:uiPriority w:val="37"/>
    <w:semiHidden/>
    <w:unhideWhenUsed/>
    <w:rsid w:val="005F48C4"/>
  </w:style>
  <w:style w:type="paragraph" w:styleId="Revision">
    <w:name w:val="Revision"/>
    <w:hidden/>
    <w:uiPriority w:val="99"/>
    <w:semiHidden/>
    <w:rsid w:val="007F3FB9"/>
  </w:style>
  <w:style w:type="character" w:styleId="UnresolvedMention">
    <w:name w:val="Unresolved Mention"/>
    <w:basedOn w:val="DefaultParagraphFont"/>
    <w:uiPriority w:val="99"/>
    <w:semiHidden/>
    <w:unhideWhenUsed/>
    <w:rsid w:val="0035216B"/>
    <w:rPr>
      <w:color w:val="605E5C"/>
      <w:shd w:val="clear" w:color="auto" w:fill="E1DFDD"/>
    </w:rPr>
  </w:style>
  <w:style w:type="table" w:styleId="TableGrid">
    <w:name w:val="Table Grid"/>
    <w:basedOn w:val="TableNormal"/>
    <w:uiPriority w:val="39"/>
    <w:rsid w:val="002C0A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00912">
      <w:bodyDiv w:val="1"/>
      <w:marLeft w:val="0"/>
      <w:marRight w:val="0"/>
      <w:marTop w:val="0"/>
      <w:marBottom w:val="0"/>
      <w:divBdr>
        <w:top w:val="none" w:sz="0" w:space="0" w:color="auto"/>
        <w:left w:val="none" w:sz="0" w:space="0" w:color="auto"/>
        <w:bottom w:val="none" w:sz="0" w:space="0" w:color="auto"/>
        <w:right w:val="none" w:sz="0" w:space="0" w:color="auto"/>
      </w:divBdr>
      <w:divsChild>
        <w:div w:id="781460976">
          <w:marLeft w:val="0"/>
          <w:marRight w:val="0"/>
          <w:marTop w:val="0"/>
          <w:marBottom w:val="0"/>
          <w:divBdr>
            <w:top w:val="none" w:sz="0" w:space="0" w:color="auto"/>
            <w:left w:val="none" w:sz="0" w:space="0" w:color="auto"/>
            <w:bottom w:val="none" w:sz="0" w:space="0" w:color="auto"/>
            <w:right w:val="none" w:sz="0" w:space="0" w:color="auto"/>
          </w:divBdr>
          <w:divsChild>
            <w:div w:id="1578586215">
              <w:marLeft w:val="0"/>
              <w:marRight w:val="0"/>
              <w:marTop w:val="0"/>
              <w:marBottom w:val="0"/>
              <w:divBdr>
                <w:top w:val="none" w:sz="0" w:space="0" w:color="auto"/>
                <w:left w:val="none" w:sz="0" w:space="0" w:color="auto"/>
                <w:bottom w:val="none" w:sz="0" w:space="0" w:color="auto"/>
                <w:right w:val="none" w:sz="0" w:space="0" w:color="auto"/>
              </w:divBdr>
              <w:divsChild>
                <w:div w:id="127864231">
                  <w:marLeft w:val="0"/>
                  <w:marRight w:val="0"/>
                  <w:marTop w:val="0"/>
                  <w:marBottom w:val="0"/>
                  <w:divBdr>
                    <w:top w:val="none" w:sz="0" w:space="0" w:color="auto"/>
                    <w:left w:val="none" w:sz="0" w:space="0" w:color="auto"/>
                    <w:bottom w:val="none" w:sz="0" w:space="0" w:color="auto"/>
                    <w:right w:val="none" w:sz="0" w:space="0" w:color="auto"/>
                  </w:divBdr>
                  <w:divsChild>
                    <w:div w:id="1991906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54614">
      <w:bodyDiv w:val="1"/>
      <w:marLeft w:val="0"/>
      <w:marRight w:val="0"/>
      <w:marTop w:val="0"/>
      <w:marBottom w:val="0"/>
      <w:divBdr>
        <w:top w:val="none" w:sz="0" w:space="0" w:color="auto"/>
        <w:left w:val="none" w:sz="0" w:space="0" w:color="auto"/>
        <w:bottom w:val="none" w:sz="0" w:space="0" w:color="auto"/>
        <w:right w:val="none" w:sz="0" w:space="0" w:color="auto"/>
      </w:divBdr>
    </w:div>
    <w:div w:id="109587925">
      <w:bodyDiv w:val="1"/>
      <w:marLeft w:val="0"/>
      <w:marRight w:val="0"/>
      <w:marTop w:val="0"/>
      <w:marBottom w:val="0"/>
      <w:divBdr>
        <w:top w:val="none" w:sz="0" w:space="0" w:color="auto"/>
        <w:left w:val="none" w:sz="0" w:space="0" w:color="auto"/>
        <w:bottom w:val="none" w:sz="0" w:space="0" w:color="auto"/>
        <w:right w:val="none" w:sz="0" w:space="0" w:color="auto"/>
      </w:divBdr>
    </w:div>
    <w:div w:id="361177128">
      <w:bodyDiv w:val="1"/>
      <w:marLeft w:val="0"/>
      <w:marRight w:val="0"/>
      <w:marTop w:val="0"/>
      <w:marBottom w:val="0"/>
      <w:divBdr>
        <w:top w:val="none" w:sz="0" w:space="0" w:color="auto"/>
        <w:left w:val="none" w:sz="0" w:space="0" w:color="auto"/>
        <w:bottom w:val="none" w:sz="0" w:space="0" w:color="auto"/>
        <w:right w:val="none" w:sz="0" w:space="0" w:color="auto"/>
      </w:divBdr>
      <w:divsChild>
        <w:div w:id="850606755">
          <w:marLeft w:val="0"/>
          <w:marRight w:val="0"/>
          <w:marTop w:val="0"/>
          <w:marBottom w:val="0"/>
          <w:divBdr>
            <w:top w:val="none" w:sz="0" w:space="0" w:color="auto"/>
            <w:left w:val="none" w:sz="0" w:space="0" w:color="auto"/>
            <w:bottom w:val="none" w:sz="0" w:space="0" w:color="auto"/>
            <w:right w:val="none" w:sz="0" w:space="0" w:color="auto"/>
          </w:divBdr>
          <w:divsChild>
            <w:div w:id="186864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367552">
      <w:bodyDiv w:val="1"/>
      <w:marLeft w:val="0"/>
      <w:marRight w:val="0"/>
      <w:marTop w:val="0"/>
      <w:marBottom w:val="0"/>
      <w:divBdr>
        <w:top w:val="none" w:sz="0" w:space="0" w:color="auto"/>
        <w:left w:val="none" w:sz="0" w:space="0" w:color="auto"/>
        <w:bottom w:val="none" w:sz="0" w:space="0" w:color="auto"/>
        <w:right w:val="none" w:sz="0" w:space="0" w:color="auto"/>
      </w:divBdr>
    </w:div>
    <w:div w:id="808401182">
      <w:bodyDiv w:val="1"/>
      <w:marLeft w:val="0"/>
      <w:marRight w:val="0"/>
      <w:marTop w:val="0"/>
      <w:marBottom w:val="0"/>
      <w:divBdr>
        <w:top w:val="none" w:sz="0" w:space="0" w:color="auto"/>
        <w:left w:val="none" w:sz="0" w:space="0" w:color="auto"/>
        <w:bottom w:val="none" w:sz="0" w:space="0" w:color="auto"/>
        <w:right w:val="none" w:sz="0" w:space="0" w:color="auto"/>
      </w:divBdr>
      <w:divsChild>
        <w:div w:id="704256416">
          <w:marLeft w:val="0"/>
          <w:marRight w:val="0"/>
          <w:marTop w:val="0"/>
          <w:marBottom w:val="0"/>
          <w:divBdr>
            <w:top w:val="none" w:sz="0" w:space="0" w:color="auto"/>
            <w:left w:val="none" w:sz="0" w:space="0" w:color="auto"/>
            <w:bottom w:val="none" w:sz="0" w:space="0" w:color="auto"/>
            <w:right w:val="none" w:sz="0" w:space="0" w:color="auto"/>
          </w:divBdr>
          <w:divsChild>
            <w:div w:id="10624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77278">
      <w:bodyDiv w:val="1"/>
      <w:marLeft w:val="0"/>
      <w:marRight w:val="0"/>
      <w:marTop w:val="0"/>
      <w:marBottom w:val="0"/>
      <w:divBdr>
        <w:top w:val="none" w:sz="0" w:space="0" w:color="auto"/>
        <w:left w:val="none" w:sz="0" w:space="0" w:color="auto"/>
        <w:bottom w:val="none" w:sz="0" w:space="0" w:color="auto"/>
        <w:right w:val="none" w:sz="0" w:space="0" w:color="auto"/>
      </w:divBdr>
      <w:divsChild>
        <w:div w:id="158664279">
          <w:marLeft w:val="0"/>
          <w:marRight w:val="0"/>
          <w:marTop w:val="0"/>
          <w:marBottom w:val="0"/>
          <w:divBdr>
            <w:top w:val="none" w:sz="0" w:space="0" w:color="auto"/>
            <w:left w:val="none" w:sz="0" w:space="0" w:color="auto"/>
            <w:bottom w:val="none" w:sz="0" w:space="0" w:color="auto"/>
            <w:right w:val="none" w:sz="0" w:space="0" w:color="auto"/>
          </w:divBdr>
          <w:divsChild>
            <w:div w:id="634486673">
              <w:marLeft w:val="0"/>
              <w:marRight w:val="0"/>
              <w:marTop w:val="0"/>
              <w:marBottom w:val="0"/>
              <w:divBdr>
                <w:top w:val="none" w:sz="0" w:space="0" w:color="auto"/>
                <w:left w:val="none" w:sz="0" w:space="0" w:color="auto"/>
                <w:bottom w:val="none" w:sz="0" w:space="0" w:color="auto"/>
                <w:right w:val="none" w:sz="0" w:space="0" w:color="auto"/>
              </w:divBdr>
              <w:divsChild>
                <w:div w:id="199588707">
                  <w:marLeft w:val="0"/>
                  <w:marRight w:val="0"/>
                  <w:marTop w:val="0"/>
                  <w:marBottom w:val="0"/>
                  <w:divBdr>
                    <w:top w:val="none" w:sz="0" w:space="0" w:color="auto"/>
                    <w:left w:val="none" w:sz="0" w:space="0" w:color="auto"/>
                    <w:bottom w:val="none" w:sz="0" w:space="0" w:color="auto"/>
                    <w:right w:val="none" w:sz="0" w:space="0" w:color="auto"/>
                  </w:divBdr>
                  <w:divsChild>
                    <w:div w:id="4169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040472">
      <w:bodyDiv w:val="1"/>
      <w:marLeft w:val="0"/>
      <w:marRight w:val="0"/>
      <w:marTop w:val="0"/>
      <w:marBottom w:val="0"/>
      <w:divBdr>
        <w:top w:val="none" w:sz="0" w:space="0" w:color="auto"/>
        <w:left w:val="none" w:sz="0" w:space="0" w:color="auto"/>
        <w:bottom w:val="none" w:sz="0" w:space="0" w:color="auto"/>
        <w:right w:val="none" w:sz="0" w:space="0" w:color="auto"/>
      </w:divBdr>
    </w:div>
    <w:div w:id="1079328449">
      <w:bodyDiv w:val="1"/>
      <w:marLeft w:val="0"/>
      <w:marRight w:val="0"/>
      <w:marTop w:val="0"/>
      <w:marBottom w:val="0"/>
      <w:divBdr>
        <w:top w:val="none" w:sz="0" w:space="0" w:color="auto"/>
        <w:left w:val="none" w:sz="0" w:space="0" w:color="auto"/>
        <w:bottom w:val="none" w:sz="0" w:space="0" w:color="auto"/>
        <w:right w:val="none" w:sz="0" w:space="0" w:color="auto"/>
      </w:divBdr>
      <w:divsChild>
        <w:div w:id="1378622157">
          <w:marLeft w:val="0"/>
          <w:marRight w:val="0"/>
          <w:marTop w:val="0"/>
          <w:marBottom w:val="0"/>
          <w:divBdr>
            <w:top w:val="none" w:sz="0" w:space="0" w:color="auto"/>
            <w:left w:val="none" w:sz="0" w:space="0" w:color="auto"/>
            <w:bottom w:val="none" w:sz="0" w:space="0" w:color="auto"/>
            <w:right w:val="none" w:sz="0" w:space="0" w:color="auto"/>
          </w:divBdr>
          <w:divsChild>
            <w:div w:id="152740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066309">
      <w:bodyDiv w:val="1"/>
      <w:marLeft w:val="0"/>
      <w:marRight w:val="0"/>
      <w:marTop w:val="0"/>
      <w:marBottom w:val="0"/>
      <w:divBdr>
        <w:top w:val="none" w:sz="0" w:space="0" w:color="auto"/>
        <w:left w:val="none" w:sz="0" w:space="0" w:color="auto"/>
        <w:bottom w:val="none" w:sz="0" w:space="0" w:color="auto"/>
        <w:right w:val="none" w:sz="0" w:space="0" w:color="auto"/>
      </w:divBdr>
    </w:div>
    <w:div w:id="1210997716">
      <w:bodyDiv w:val="1"/>
      <w:marLeft w:val="0"/>
      <w:marRight w:val="0"/>
      <w:marTop w:val="0"/>
      <w:marBottom w:val="0"/>
      <w:divBdr>
        <w:top w:val="none" w:sz="0" w:space="0" w:color="auto"/>
        <w:left w:val="none" w:sz="0" w:space="0" w:color="auto"/>
        <w:bottom w:val="none" w:sz="0" w:space="0" w:color="auto"/>
        <w:right w:val="none" w:sz="0" w:space="0" w:color="auto"/>
      </w:divBdr>
    </w:div>
    <w:div w:id="1266310550">
      <w:bodyDiv w:val="1"/>
      <w:marLeft w:val="0"/>
      <w:marRight w:val="0"/>
      <w:marTop w:val="0"/>
      <w:marBottom w:val="0"/>
      <w:divBdr>
        <w:top w:val="none" w:sz="0" w:space="0" w:color="auto"/>
        <w:left w:val="none" w:sz="0" w:space="0" w:color="auto"/>
        <w:bottom w:val="none" w:sz="0" w:space="0" w:color="auto"/>
        <w:right w:val="none" w:sz="0" w:space="0" w:color="auto"/>
      </w:divBdr>
    </w:div>
    <w:div w:id="1542210838">
      <w:bodyDiv w:val="1"/>
      <w:marLeft w:val="0"/>
      <w:marRight w:val="0"/>
      <w:marTop w:val="0"/>
      <w:marBottom w:val="0"/>
      <w:divBdr>
        <w:top w:val="none" w:sz="0" w:space="0" w:color="auto"/>
        <w:left w:val="none" w:sz="0" w:space="0" w:color="auto"/>
        <w:bottom w:val="none" w:sz="0" w:space="0" w:color="auto"/>
        <w:right w:val="none" w:sz="0" w:space="0" w:color="auto"/>
      </w:divBdr>
    </w:div>
    <w:div w:id="1640106999">
      <w:bodyDiv w:val="1"/>
      <w:marLeft w:val="0"/>
      <w:marRight w:val="0"/>
      <w:marTop w:val="0"/>
      <w:marBottom w:val="0"/>
      <w:divBdr>
        <w:top w:val="none" w:sz="0" w:space="0" w:color="auto"/>
        <w:left w:val="none" w:sz="0" w:space="0" w:color="auto"/>
        <w:bottom w:val="none" w:sz="0" w:space="0" w:color="auto"/>
        <w:right w:val="none" w:sz="0" w:space="0" w:color="auto"/>
      </w:divBdr>
      <w:divsChild>
        <w:div w:id="1008797062">
          <w:marLeft w:val="0"/>
          <w:marRight w:val="0"/>
          <w:marTop w:val="0"/>
          <w:marBottom w:val="0"/>
          <w:divBdr>
            <w:top w:val="none" w:sz="0" w:space="0" w:color="auto"/>
            <w:left w:val="none" w:sz="0" w:space="0" w:color="auto"/>
            <w:bottom w:val="none" w:sz="0" w:space="0" w:color="auto"/>
            <w:right w:val="none" w:sz="0" w:space="0" w:color="auto"/>
          </w:divBdr>
          <w:divsChild>
            <w:div w:id="6627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84441">
      <w:bodyDiv w:val="1"/>
      <w:marLeft w:val="0"/>
      <w:marRight w:val="0"/>
      <w:marTop w:val="0"/>
      <w:marBottom w:val="0"/>
      <w:divBdr>
        <w:top w:val="none" w:sz="0" w:space="0" w:color="auto"/>
        <w:left w:val="none" w:sz="0" w:space="0" w:color="auto"/>
        <w:bottom w:val="none" w:sz="0" w:space="0" w:color="auto"/>
        <w:right w:val="none" w:sz="0" w:space="0" w:color="auto"/>
      </w:divBdr>
    </w:div>
    <w:div w:id="2095079123">
      <w:bodyDiv w:val="1"/>
      <w:marLeft w:val="0"/>
      <w:marRight w:val="0"/>
      <w:marTop w:val="0"/>
      <w:marBottom w:val="0"/>
      <w:divBdr>
        <w:top w:val="none" w:sz="0" w:space="0" w:color="auto"/>
        <w:left w:val="none" w:sz="0" w:space="0" w:color="auto"/>
        <w:bottom w:val="none" w:sz="0" w:space="0" w:color="auto"/>
        <w:right w:val="none" w:sz="0" w:space="0" w:color="auto"/>
      </w:divBdr>
    </w:div>
    <w:div w:id="2131589337">
      <w:bodyDiv w:val="1"/>
      <w:marLeft w:val="0"/>
      <w:marRight w:val="0"/>
      <w:marTop w:val="0"/>
      <w:marBottom w:val="0"/>
      <w:divBdr>
        <w:top w:val="none" w:sz="0" w:space="0" w:color="auto"/>
        <w:left w:val="none" w:sz="0" w:space="0" w:color="auto"/>
        <w:bottom w:val="none" w:sz="0" w:space="0" w:color="auto"/>
        <w:right w:val="none" w:sz="0" w:space="0" w:color="auto"/>
      </w:divBdr>
      <w:divsChild>
        <w:div w:id="2003269337">
          <w:marLeft w:val="0"/>
          <w:marRight w:val="0"/>
          <w:marTop w:val="0"/>
          <w:marBottom w:val="0"/>
          <w:divBdr>
            <w:top w:val="none" w:sz="0" w:space="0" w:color="auto"/>
            <w:left w:val="none" w:sz="0" w:space="0" w:color="auto"/>
            <w:bottom w:val="none" w:sz="0" w:space="0" w:color="auto"/>
            <w:right w:val="none" w:sz="0" w:space="0" w:color="auto"/>
          </w:divBdr>
          <w:divsChild>
            <w:div w:id="21120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info@smblaw.group"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mailto:info@smblaw.group" TargetMode="External"/><Relationship Id="rId1" Type="http://schemas.openxmlformats.org/officeDocument/2006/relationships/hyperlink" Target="https://masterclass.thesmbcenter.com/p/quick-guide-on-forgivable-notes-now"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206273"/>
      </a:accent1>
      <a:accent2>
        <a:srgbClr val="B86A4A"/>
      </a:accent2>
      <a:accent3>
        <a:srgbClr val="F2A23A"/>
      </a:accent3>
      <a:accent4>
        <a:srgbClr val="FFC000"/>
      </a:accent4>
      <a:accent5>
        <a:srgbClr val="4472C4"/>
      </a:accent5>
      <a:accent6>
        <a:srgbClr val="70AD47"/>
      </a:accent6>
      <a:hlink>
        <a:srgbClr val="0563C1"/>
      </a:hlink>
      <a:folHlink>
        <a:srgbClr val="954F72"/>
      </a:folHlink>
    </a:clrScheme>
    <a:fontScheme name="SMB Fonts">
      <a:majorFont>
        <a:latin typeface="Montserrat"/>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6C07324003C9943BF2D5957E24CD95E" ma:contentTypeVersion="13" ma:contentTypeDescription="Create a new document." ma:contentTypeScope="" ma:versionID="68601f096bfbac29f6d18524b816bdb9">
  <xsd:schema xmlns:xsd="http://www.w3.org/2001/XMLSchema" xmlns:xs="http://www.w3.org/2001/XMLSchema" xmlns:p="http://schemas.microsoft.com/office/2006/metadata/properties" xmlns:ns2="e1caf2ea-3084-4d28-b0d3-40878b9e0324" xmlns:ns3="8497469a-88cc-4f84-8e5b-b28699903b3a" targetNamespace="http://schemas.microsoft.com/office/2006/metadata/properties" ma:root="true" ma:fieldsID="62f948915386322ad909100f819e35f5" ns2:_="" ns3:_="">
    <xsd:import namespace="e1caf2ea-3084-4d28-b0d3-40878b9e0324"/>
    <xsd:import namespace="8497469a-88cc-4f84-8e5b-b28699903b3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caf2ea-3084-4d28-b0d3-40878b9e03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758be9e-a148-4946-b40f-c97ccffaf8c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497469a-88cc-4f84-8e5b-b28699903b3a"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0f6730d-0779-45c8-94e4-a0acd0d75f7b}" ma:internalName="TaxCatchAll" ma:showField="CatchAllData" ma:web="8497469a-88cc-4f84-8e5b-b28699903b3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caf2ea-3084-4d28-b0d3-40878b9e0324">
      <Terms xmlns="http://schemas.microsoft.com/office/infopath/2007/PartnerControls"/>
    </lcf76f155ced4ddcb4097134ff3c332f>
    <TaxCatchAll xmlns="8497469a-88cc-4f84-8e5b-b28699903b3a" xsi:nil="true"/>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g4VDFUHjFgBqu7HgY4434BagR8NQ==">AMUW2mXfXPPLqfLyxRwKldYVPehKsEHOS/BjHyHhbAWd5BWxqmYun3/L7s7+HcM+CqzogAHjPFZGzAkptYN2X0I241+0FfUdCcXvw/XqLFICzfsOXCPZomr+RI61Wdm/w233pvk0ew21q5iM+prV5zINwApq4T6y1u17p5WAXM3BRzNsCqYsPFE=</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788867-97BE-4552-B669-959CBE651EF5}">
  <ds:schemaRefs>
    <ds:schemaRef ds:uri="http://schemas.microsoft.com/sharepoint/v3/contenttype/forms"/>
  </ds:schemaRefs>
</ds:datastoreItem>
</file>

<file path=customXml/itemProps2.xml><?xml version="1.0" encoding="utf-8"?>
<ds:datastoreItem xmlns:ds="http://schemas.openxmlformats.org/officeDocument/2006/customXml" ds:itemID="{9F158342-3DCE-4821-907E-E3ACC6651A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caf2ea-3084-4d28-b0d3-40878b9e0324"/>
    <ds:schemaRef ds:uri="8497469a-88cc-4f84-8e5b-b28699903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FFA141-6073-4CC5-9DAB-0DE580CB3117}">
  <ds:schemaRefs>
    <ds:schemaRef ds:uri="http://schemas.microsoft.com/office/2006/metadata/properties"/>
    <ds:schemaRef ds:uri="http://schemas.microsoft.com/office/infopath/2007/PartnerControls"/>
    <ds:schemaRef ds:uri="e1caf2ea-3084-4d28-b0d3-40878b9e0324"/>
    <ds:schemaRef ds:uri="8497469a-88cc-4f84-8e5b-b28699903b3a"/>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A82AFAB4-C5F7-8244-8C8C-375E5DAF0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4158</Words>
  <Characters>23953</Characters>
  <Application>Microsoft Office Word</Application>
  <DocSecurity>0</DocSecurity>
  <Lines>347</Lines>
  <Paragraphs>99</Paragraphs>
  <ScaleCrop>false</ScaleCrop>
  <HeadingPairs>
    <vt:vector size="2" baseType="variant">
      <vt:variant>
        <vt:lpstr>Title</vt:lpstr>
      </vt:variant>
      <vt:variant>
        <vt:i4>1</vt:i4>
      </vt:variant>
    </vt:vector>
  </HeadingPairs>
  <TitlesOfParts>
    <vt:vector size="1" baseType="lpstr">
      <vt:lpstr>SMB Law Group - Template Letter of Intent (Asset)</vt:lpstr>
    </vt:vector>
  </TitlesOfParts>
  <Manager/>
  <Company/>
  <LinksUpToDate>false</LinksUpToDate>
  <CharactersWithSpaces>28012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SMB Law Group - Template Letter of Intent (Asset)</dc:title>
  <dc:subject>Confidential Legal Template</dc:subject>
  <dc:creator>Kevin@smblaw.group;eric@smblaw.group</dc:creator>
  <cp:keywords>LOI, Template, SMB Law Group, Confidential, Asset Purchase</cp:keywords>
  <dc:description/>
  <cp:lastModifiedBy>Eric Pacifici</cp:lastModifiedBy>
  <cp:revision>2</cp:revision>
  <cp:lastPrinted>2026-01-28T15:27:00Z</cp:lastPrinted>
  <dcterms:created xsi:type="dcterms:W3CDTF">2026-02-18T15:08:00Z</dcterms:created>
  <dcterms:modified xsi:type="dcterms:W3CDTF">2026-02-18T15:08:00Z</dcterms:modified>
  <cp:category>Templates</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0x010100F6C07324003C9943BF2D5957E24CD95E</vt:lpwstr>
  </property>
  <property fmtid="{D5CDD505-2E9C-101B-9397-08002B2CF9AE}" pid="3" name="MediaServiceImageTags">
    <vt:lpwstr/>
  </property>
  <property fmtid="{D5CDD505-2E9C-101B-9397-08002B2CF9AE}" pid="4" name="ndDocumentId">
    <vt:lpwstr>4885-2297-8897</vt:lpwstr>
  </property>
</Properties>
</file>