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04BEB6F5" w:rsidR="000F108B" w:rsidRDefault="00200FBB" w:rsidP="00235853">
      <w:r>
        <w:rPr>
          <w:noProof/>
        </w:rPr>
        <w:drawing>
          <wp:anchor distT="0" distB="0" distL="114300" distR="114300" simplePos="0" relativeHeight="251645947" behindDoc="0" locked="0" layoutInCell="1" allowOverlap="1" wp14:anchorId="20A03B5E" wp14:editId="57FC8477">
            <wp:simplePos x="0" y="0"/>
            <wp:positionH relativeFrom="column">
              <wp:posOffset>-742315</wp:posOffset>
            </wp:positionH>
            <wp:positionV relativeFrom="paragraph">
              <wp:posOffset>-2876550</wp:posOffset>
            </wp:positionV>
            <wp:extent cx="8191500" cy="14700250"/>
            <wp:effectExtent l="0" t="0" r="0" b="6350"/>
            <wp:wrapNone/>
            <wp:docPr id="431997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997999" name=""/>
                    <pic:cNvPicPr/>
                  </pic:nvPicPr>
                  <pic:blipFill>
                    <a:blip r:embed="rId7"/>
                    <a:stretch>
                      <a:fillRect/>
                    </a:stretch>
                  </pic:blipFill>
                  <pic:spPr>
                    <a:xfrm>
                      <a:off x="0" y="0"/>
                      <a:ext cx="8191500" cy="1470025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3BC62523">
                <wp:simplePos x="0" y="0"/>
                <wp:positionH relativeFrom="column">
                  <wp:posOffset>-752302</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7953B9FC" w:rsidR="001F059D" w:rsidRPr="001C6A9D" w:rsidRDefault="00886C98" w:rsidP="001C6A9D">
                              <w:pPr>
                                <w:pStyle w:val="Title"/>
                              </w:pPr>
                              <w:r>
                                <w:t>Charging Ahead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3"/>
                            <a:ext cx="7546340" cy="1140464"/>
                          </a:xfrm>
                          <a:prstGeom prst="rect">
                            <a:avLst/>
                          </a:prstGeom>
                          <a:noFill/>
                          <a:ln w="6350">
                            <a:noFill/>
                          </a:ln>
                        </wps:spPr>
                        <wps:txbx>
                          <w:txbxContent>
                            <w:p w14:paraId="7B295F16" w14:textId="4EE9196F" w:rsidR="00262BED" w:rsidRPr="00262BED" w:rsidRDefault="00DF4E71" w:rsidP="00235853">
                              <w:pPr>
                                <w:pStyle w:val="Subtitle"/>
                              </w:pPr>
                              <w:r>
                                <w:t xml:space="preserve">The Constitutional Validity </w:t>
                              </w:r>
                              <w:r w:rsidR="00976DED">
                                <w:t xml:space="preserve">of Victoria’s Electric Vehicle </w:t>
                              </w:r>
                              <w:r w:rsidR="00F43F04">
                                <w:t xml:space="preserve">Road User </w:t>
                              </w:r>
                              <w:r w:rsidR="00BC60C0">
                                <w:t xml:space="preserve">Charge in </w:t>
                              </w:r>
                              <w:proofErr w:type="spellStart"/>
                              <w:r w:rsidR="00BC60C0">
                                <w:t>Vander</w:t>
                              </w:r>
                              <w:r w:rsidR="001854F0">
                                <w:t>stock</w:t>
                              </w:r>
                              <w:proofErr w:type="spellEnd"/>
                              <w:r w:rsidR="001854F0">
                                <w:t xml:space="preserve"> v Victoria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cei="http://schemas.microsoft.com/office/word/2026/wordml/cei">
            <w:pict>
              <v:group w14:anchorId="62F50521" id="Group 31" o:spid="_x0000_s1026" style="position:absolute;margin-left:-59.25pt;margin-top:-1in;width:605.7pt;height:845.75pt;z-index:251677696;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gv1WgQAAAsSAAAOAAAAZHJzL2Uyb0RvYy54bWzsWNtu2zgQfV9g/4HQe2JRV8uIUmTdTbBA&#13;&#10;0AZNFn2mZcoWIJFakomV/frOkJJ8qTdNb9miuy+yKA6Hw+MzZ0Y6e9U1NXngSldS5B499T3CRSGX&#13;&#10;lVjl3p93lydTj2jDxJLVUvDce+Tae3X+6y9nm3bGA7mW9ZIrAk6Enm3a3Fsb084mE12secP0qWy5&#13;&#10;gMlSqoYZGKrVZKnYBrw39STw/WSykWrZKllwreHpazfpnVv/ZckL87YsNTekzj2IzdirstcFXifn&#13;&#10;Z2y2UqxdV0UfBvuCKBpWCdh0dPWaGUbuVfWRq6YqlNSyNKeFbCayLKuC2zPAaah/cJorJe9be5bV&#13;&#10;bLNqR5gA2gOcvtht8ebhSrW37Y0CJDbtCrCwIzxLV6oGfyFK0lnIHkfIeGdIAQ/TJAvCjHqkgDnq&#13;&#10;pxH1g9ihWqwBelx4koY0TD0CFid0SqdJNBj8vuMlCeH/Gb3QOECjyRDFZC+2TQts0VtA9NcBcrtm&#13;&#10;Lbc46xkAcqNItcy9JJsmNA4zCEuwBrj7DtjExKrmJEgwOIwCzEfw9EwDjkeQ+ycAtiDSLMqCJ47P&#13;&#10;Zq3S5orLhuBN7imIxRKOPVxr45AaTDACLetqeVnVtR1gNvF5rcgDgzwwHXVL63bN3COa+b5NBgDc&#13;&#10;5h5aW/j3HNXiU75ZUXBhnH+9Zkve+4+f4R/2xg3grx6QtHfmsea4bS3e8RL+GWBUYOMfA3V7fPbW&#13;&#10;1iF6LgGn0Xcf+z5kg28HdG+PS7nVmHGx/1RgbvG4wu4shRkXN5WQ6piDGgDtd3b2A0gOGkTJdIsO&#13;&#10;TPB2IZePQGElndjptrisgDPXTJsbpkDdgNCg2OYtXMpabnJP9nceWUv197HnaA85BrMe2YBa5p7+&#13;&#10;654p7pH6DwHZl9EoQnm1gyhOAxio3ZnF7oy4b+YSiAiyAdHZW7Q39XBbKtm8B2G/wF1hiokC9s69&#13;&#10;wqhhMDdOxaE0FPziwpqBpLbMXIvbtkDnCDDmxF33nqm2TxwDSfdGDhnPZgf542xxpZAX90aWlU2u&#13;&#10;La499KA+Du3vLkM0iIMkoIkPaDkdukPd+E12JEgPZIiYDp7j2XsuPCVIiVVkyHyaObEFNu/qcZA5&#13;&#10;QYpp4DvJHtX4s+VISNQiCArTmADlkjB2uTLOHM9+5LVV4/FIPzG9zX+O3MDsaRSFwL+e27dGsWq1&#13;&#10;NmQuhYAaJ9U+y+ei71SGEjE0CGObEtIUGO24HWdpkvRN3sDtJKOhn0I7gr3GUPOGVmcoob1Y1JXA&#13;&#10;vuAjlcBCvOVyEEdQPHG8VywPytNiNYj4jtVx0usjJe8ZZel4PXtGSXrpeoYNyCfqmctyNELpfUG1&#13;&#10;TdOEZmkYgjo6tf2mjAySaZBGUzz9Vm0dI+FF6X9GjrxwHZlF6SU6rB+ZkUkaZYlrqb5V/YeWCsQv&#13;&#10;yGI/SsJ9MqYxPMJezr6K0Qgs7Ovav1n77avgtgX7KVvbH6r227dt+OIA8rv3SWN3bKV5+w3n/AMA&#13;&#10;AAD//wMAUEsDBBQABgAIAAAAIQDQPpsy5wAAABQBAAAPAAAAZHJzL2Rvd25yZXYueG1sTE9Nb4JA&#13;&#10;EL036X/YTJPedFkLrSKLMfbjZEyqTYy3FUYgsruEXQH/fYdTe5m8ybx5H8lq0DXrsHWVNRLENACG&#13;&#10;JrN5ZQoJP4fPyRyY88rkqrYGJdzRwSp9fEhUnNvefGO39wUjEeNiJaH0vok5d1mJWrmpbdDQ7WJb&#13;&#10;rTytbcHzVvUkrms+C4JXrlVlyKFUDW5KzK77m5bw1at+/SI+uu31srmfDtHuuBUo5fPT8L6ksV4C&#13;&#10;8zj4vw8YO1B+SCnY2d5M7lgtYSLEPCLuiMKQuo2cYDFbADsTisK3CHia8P9l0l8AAAD//wMAUEsB&#13;&#10;Ai0AFAAGAAgAAAAhALaDOJL+AAAA4QEAABMAAAAAAAAAAAAAAAAAAAAAAFtDb250ZW50X1R5cGVz&#13;&#10;XS54bWxQSwECLQAUAAYACAAAACEAOP0h/9YAAACUAQAACwAAAAAAAAAAAAAAAAAvAQAAX3JlbHMv&#13;&#10;LnJlbHNQSwECLQAUAAYACAAAACEA/vYL9VoEAAALEgAADgAAAAAAAAAAAAAAAAAuAgAAZHJzL2Uy&#13;&#10;b0RvYy54bWxQSwECLQAUAAYACAAAACEA0D6bMucAAAAUAQAADwAAAAAAAAAAAAAAAAC0BgAAZHJz&#13;&#10;L2Rvd25yZXYueG1sUEsFBgAAAAAEAAQA8wAAAMgHA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7953B9FC" w:rsidR="001F059D" w:rsidRPr="001C6A9D" w:rsidRDefault="00886C98" w:rsidP="001C6A9D">
                        <w:pPr>
                          <w:pStyle w:val="Title"/>
                        </w:pPr>
                        <w:r>
                          <w:t>Charging Ahead</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114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4EE9196F" w:rsidR="00262BED" w:rsidRPr="00262BED" w:rsidRDefault="00DF4E71" w:rsidP="00235853">
                        <w:pPr>
                          <w:pStyle w:val="Subtitle"/>
                        </w:pPr>
                        <w:r>
                          <w:t xml:space="preserve">The Constitutional Validity </w:t>
                        </w:r>
                        <w:r w:rsidR="00976DED">
                          <w:t xml:space="preserve">of Victoria’s Electric Vehicle </w:t>
                        </w:r>
                        <w:r w:rsidR="00F43F04">
                          <w:t xml:space="preserve">Road User </w:t>
                        </w:r>
                        <w:r w:rsidR="00BC60C0">
                          <w:t xml:space="preserve">Charge in </w:t>
                        </w:r>
                        <w:proofErr w:type="spellStart"/>
                        <w:r w:rsidR="00BC60C0">
                          <w:t>Vander</w:t>
                        </w:r>
                        <w:r w:rsidR="001854F0">
                          <w:t>stock</w:t>
                        </w:r>
                        <w:proofErr w:type="spellEnd"/>
                        <w:r w:rsidR="001854F0">
                          <w:t xml:space="preserve"> v Victoria</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2CB81F78">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14911950" w:rsidR="000F108B" w:rsidRDefault="000F108B" w:rsidP="00241065">
                            <w:pPr>
                              <w:pStyle w:val="Subtitle"/>
                            </w:pPr>
                            <w:r w:rsidRPr="00262BED">
                              <w:t xml:space="preserve">By </w:t>
                            </w:r>
                            <w:r w:rsidR="00FA6FB5">
                              <w:t>Adib</w:t>
                            </w:r>
                            <w:r w:rsidR="00A8627A">
                              <w:t xml:space="preserve"> Chow</w:t>
                            </w:r>
                            <w:r w:rsidR="008415AC">
                              <w:t>dhury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1C0EEE" id="_x0000_t202" coordsize="21600,21600" o:spt="202" path="m,l,21600r21600,l21600,xe">
                <v:stroke joinstyle="miter"/>
                <v:path gradientshapeok="t" o:connecttype="rect"/>
              </v:shapetype>
              <v:shap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14911950" w:rsidR="000F108B" w:rsidRDefault="000F108B" w:rsidP="00241065">
                      <w:pPr>
                        <w:pStyle w:val="Subtitle"/>
                      </w:pPr>
                      <w:r w:rsidRPr="00262BED">
                        <w:t xml:space="preserve">By </w:t>
                      </w:r>
                      <w:r w:rsidR="00FA6FB5">
                        <w:t>Adib</w:t>
                      </w:r>
                      <w:r w:rsidR="00A8627A">
                        <w:t xml:space="preserve"> Chow</w:t>
                      </w:r>
                      <w:r w:rsidR="008415AC">
                        <w:t>dhury</w:t>
                      </w: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6695B61E" w14:textId="05A7784C" w:rsidR="00FD42E0" w:rsidRDefault="001F059D" w:rsidP="00D74462">
      <w:pPr>
        <w:pStyle w:val="Heading1"/>
      </w:pPr>
      <w:r w:rsidRPr="00E23ACE">
        <w:lastRenderedPageBreak/>
        <w:t xml:space="preserve">I </w:t>
      </w:r>
      <w:r w:rsidR="00B70718">
        <w:t>BACKGROUND</w:t>
      </w:r>
    </w:p>
    <w:p w14:paraId="50CD322A"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 xml:space="preserve">The High Court’s decision in </w:t>
      </w:r>
      <w:proofErr w:type="spellStart"/>
      <w:r w:rsidRPr="00B70718">
        <w:rPr>
          <w:i/>
          <w:iCs/>
          <w:kern w:val="2"/>
          <w14:ligatures w14:val="standardContextual"/>
        </w:rPr>
        <w:t>Vanderstock</w:t>
      </w:r>
      <w:proofErr w:type="spellEnd"/>
      <w:r w:rsidRPr="00B70718">
        <w:rPr>
          <w:i/>
          <w:iCs/>
          <w:kern w:val="2"/>
          <w14:ligatures w14:val="standardContextual"/>
        </w:rPr>
        <w:t xml:space="preserve"> v Victoria</w:t>
      </w:r>
      <w:r w:rsidRPr="00B70718">
        <w:rPr>
          <w:kern w:val="2"/>
          <w14:ligatures w14:val="standardContextual"/>
        </w:rPr>
        <w:t xml:space="preserve"> [2023] HCA 30</w:t>
      </w:r>
      <w:r w:rsidRPr="00B70718">
        <w:rPr>
          <w:kern w:val="2"/>
          <w:vertAlign w:val="superscript"/>
          <w14:ligatures w14:val="standardContextual"/>
        </w:rPr>
        <w:footnoteReference w:id="1"/>
      </w:r>
      <w:r w:rsidRPr="00B70718">
        <w:rPr>
          <w:kern w:val="2"/>
          <w14:ligatures w14:val="standardContextual"/>
        </w:rPr>
        <w:t xml:space="preserve"> stands as one of the most significant constitutional law decisions in recent years. At surface level, the case relates to a seemingly modest Victorian road-user charge imposed on electric and plug-in hybrid vehicles. However, diving deeper reveals a larger constitutional question: What falls within the meaning of a “duty of excise” under s 90 of the Constitution?</w:t>
      </w:r>
      <w:r w:rsidRPr="00B70718">
        <w:rPr>
          <w:kern w:val="2"/>
          <w:vertAlign w:val="superscript"/>
          <w14:ligatures w14:val="standardContextual"/>
        </w:rPr>
        <w:footnoteReference w:id="2"/>
      </w:r>
      <w:r w:rsidRPr="00B70718">
        <w:rPr>
          <w:kern w:val="2"/>
          <w14:ligatures w14:val="standardContextual"/>
        </w:rPr>
        <w:t xml:space="preserve"> This question is relevant in that s 90 gives the Commonwealth exclusive power to impose duties of customs and excise. If Victoria’s charge was properly characterised as an excise, then the State would have acted beyond its constitutional limits. </w:t>
      </w:r>
    </w:p>
    <w:p w14:paraId="6B0A4C66"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By majority, the High Court held that Victoria’s Zero and Low Emission Vehicle Distance-based Charge Act 2021 (Vic</w:t>
      </w:r>
      <w:r w:rsidRPr="00B70718">
        <w:rPr>
          <w:b/>
          <w:bCs/>
          <w:kern w:val="2"/>
          <w14:ligatures w14:val="standardContextual"/>
        </w:rPr>
        <w:t>)</w:t>
      </w:r>
      <w:r w:rsidRPr="00B70718">
        <w:rPr>
          <w:b/>
          <w:bCs/>
          <w:kern w:val="2"/>
          <w:vertAlign w:val="superscript"/>
          <w14:ligatures w14:val="standardContextual"/>
        </w:rPr>
        <w:footnoteReference w:id="3"/>
      </w:r>
      <w:r w:rsidRPr="00B70718">
        <w:rPr>
          <w:kern w:val="2"/>
          <w14:ligatures w14:val="standardContextual"/>
        </w:rPr>
        <w:t xml:space="preserve"> was invalid as it imposed a duty of excise. The decision accomplished more than just the striking down of one State road-user charge. It clarified, and arguably expanded, the constitutional meaning of excise by holding that an inland tax on goods can be an excise even when imposed at the stage of consumption or use. In doing so, the Court reopened and overruled part of Dickenson’s Arcade Pty Ltd v Tasmania,</w:t>
      </w:r>
      <w:r w:rsidRPr="00B70718">
        <w:rPr>
          <w:kern w:val="2"/>
          <w:vertAlign w:val="superscript"/>
          <w14:ligatures w14:val="standardContextual"/>
        </w:rPr>
        <w:footnoteReference w:id="4"/>
      </w:r>
      <w:r w:rsidRPr="00B70718">
        <w:rPr>
          <w:kern w:val="2"/>
          <w14:ligatures w14:val="standardContextual"/>
        </w:rPr>
        <w:t xml:space="preserve"> while refusing to reopen the modern authorities of Capital Duplicators [No 2]</w:t>
      </w:r>
      <w:r w:rsidRPr="00B70718">
        <w:rPr>
          <w:kern w:val="2"/>
          <w:vertAlign w:val="superscript"/>
          <w14:ligatures w14:val="standardContextual"/>
        </w:rPr>
        <w:footnoteReference w:id="5"/>
      </w:r>
      <w:r w:rsidRPr="00B70718">
        <w:rPr>
          <w:kern w:val="2"/>
          <w14:ligatures w14:val="standardContextual"/>
        </w:rPr>
        <w:t xml:space="preserve"> and Ha v New South Wale</w:t>
      </w:r>
      <w:r w:rsidRPr="00B70718">
        <w:rPr>
          <w:b/>
          <w:bCs/>
          <w:kern w:val="2"/>
          <w14:ligatures w14:val="standardContextual"/>
        </w:rPr>
        <w:t>s</w:t>
      </w:r>
      <w:r w:rsidRPr="00B70718">
        <w:rPr>
          <w:kern w:val="2"/>
          <w14:ligatures w14:val="standardContextual"/>
        </w:rPr>
        <w:t>.</w:t>
      </w:r>
      <w:r w:rsidRPr="00B70718">
        <w:rPr>
          <w:kern w:val="2"/>
          <w:vertAlign w:val="superscript"/>
          <w14:ligatures w14:val="standardContextual"/>
        </w:rPr>
        <w:footnoteReference w:id="6"/>
      </w:r>
      <w:r w:rsidRPr="00B70718">
        <w:rPr>
          <w:kern w:val="2"/>
          <w14:ligatures w14:val="standardContextual"/>
        </w:rPr>
        <w:t xml:space="preserve"> The result is a major constraint on States' revenue-raising powers, especially where States seek to impose charges on the use of goods.</w:t>
      </w:r>
    </w:p>
    <w:p w14:paraId="5751A846" w14:textId="36A4F8A8" w:rsidR="00B70718" w:rsidRPr="00B70718" w:rsidRDefault="00B70718" w:rsidP="00B70718">
      <w:pPr>
        <w:jc w:val="center"/>
        <w:outlineLvl w:val="0"/>
        <w:rPr>
          <w:b/>
          <w:bCs/>
          <w:color w:val="000000" w:themeColor="text1"/>
          <w:sz w:val="28"/>
          <w:szCs w:val="28"/>
        </w:rPr>
      </w:pPr>
      <w:r w:rsidRPr="00B70718">
        <w:rPr>
          <w:b/>
          <w:bCs/>
          <w:color w:val="000000" w:themeColor="text1"/>
          <w:sz w:val="28"/>
          <w:szCs w:val="28"/>
        </w:rPr>
        <w:t>I</w:t>
      </w:r>
      <w:r>
        <w:rPr>
          <w:b/>
          <w:bCs/>
          <w:color w:val="000000" w:themeColor="text1"/>
          <w:sz w:val="28"/>
          <w:szCs w:val="28"/>
        </w:rPr>
        <w:t>I FACTS AND STATUTORY BACKGROUND</w:t>
      </w:r>
    </w:p>
    <w:p w14:paraId="7C12386F"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plaintiffs, Christopher Vanderstock and Kathleen Davies, were Victorian residents who owned zero or low-emission vehicles.</w:t>
      </w:r>
      <w:r w:rsidRPr="00B70718">
        <w:rPr>
          <w:kern w:val="2"/>
          <w:vertAlign w:val="superscript"/>
          <w14:ligatures w14:val="standardContextual"/>
        </w:rPr>
        <w:footnoteReference w:id="7"/>
      </w:r>
      <w:r w:rsidRPr="00B70718">
        <w:rPr>
          <w:kern w:val="2"/>
          <w14:ligatures w14:val="standardContextual"/>
        </w:rPr>
        <w:t xml:space="preserve"> </w:t>
      </w:r>
      <w:proofErr w:type="spellStart"/>
      <w:r w:rsidRPr="00B70718">
        <w:rPr>
          <w:kern w:val="2"/>
          <w14:ligatures w14:val="standardContextual"/>
        </w:rPr>
        <w:t>Vanderstock</w:t>
      </w:r>
      <w:proofErr w:type="spellEnd"/>
      <w:r w:rsidRPr="00B70718">
        <w:rPr>
          <w:kern w:val="2"/>
          <w14:ligatures w14:val="standardContextual"/>
        </w:rPr>
        <w:t xml:space="preserve"> owned a fully electric vehicle, while Davies owned a plug-in hybrid electric vehicle.</w:t>
      </w:r>
      <w:r w:rsidRPr="00B70718">
        <w:rPr>
          <w:kern w:val="2"/>
          <w:vertAlign w:val="superscript"/>
          <w14:ligatures w14:val="standardContextual"/>
        </w:rPr>
        <w:footnoteReference w:id="8"/>
      </w:r>
      <w:r w:rsidRPr="00B70718">
        <w:rPr>
          <w:kern w:val="2"/>
          <w14:ligatures w14:val="standardContextual"/>
        </w:rPr>
        <w:t xml:space="preserve"> From 1 July 2021, Victoria’s ZLEV Act required registered operators of such vehicles to pay a charge based on the number of kilometres travelled on “specified roads”.</w:t>
      </w:r>
      <w:r w:rsidRPr="00B70718">
        <w:rPr>
          <w:kern w:val="2"/>
          <w:vertAlign w:val="superscript"/>
          <w14:ligatures w14:val="standardContextual"/>
        </w:rPr>
        <w:footnoteReference w:id="9"/>
      </w:r>
      <w:r w:rsidRPr="00B70718">
        <w:rPr>
          <w:kern w:val="2"/>
          <w14:ligatures w14:val="standardContextual"/>
        </w:rPr>
        <w:t xml:space="preserve"> The Act defined “specified roads” broadly, effectively covering public roads in Victoria and others in Australia.</w:t>
      </w:r>
      <w:r w:rsidRPr="00B70718">
        <w:rPr>
          <w:kern w:val="2"/>
          <w:vertAlign w:val="superscript"/>
          <w14:ligatures w14:val="standardContextual"/>
        </w:rPr>
        <w:footnoteReference w:id="10"/>
      </w:r>
      <w:r w:rsidRPr="00B70718">
        <w:rPr>
          <w:kern w:val="2"/>
          <w14:ligatures w14:val="standardContextual"/>
        </w:rPr>
        <w:t xml:space="preserve"> The charge was calculated annually at a prescribed rate per kilometre and was payable by the registered operator of the vehicle, not necessarily the person who drove it.</w:t>
      </w:r>
      <w:r w:rsidRPr="00B70718">
        <w:rPr>
          <w:kern w:val="2"/>
          <w:vertAlign w:val="superscript"/>
          <w14:ligatures w14:val="standardContextual"/>
        </w:rPr>
        <w:footnoteReference w:id="11"/>
      </w:r>
      <w:r w:rsidRPr="00B70718">
        <w:rPr>
          <w:kern w:val="2"/>
          <w14:ligatures w14:val="standardContextual"/>
        </w:rPr>
        <w:t xml:space="preserve"> The amount charged depended on odometer declarations made by the registered operator.</w:t>
      </w:r>
      <w:r w:rsidRPr="00B70718">
        <w:rPr>
          <w:kern w:val="2"/>
          <w:vertAlign w:val="superscript"/>
          <w14:ligatures w14:val="standardContextual"/>
        </w:rPr>
        <w:footnoteReference w:id="12"/>
      </w:r>
      <w:r w:rsidRPr="00B70718">
        <w:rPr>
          <w:kern w:val="2"/>
          <w14:ligatures w14:val="standardContextual"/>
        </w:rPr>
        <w:t xml:space="preserve"> If the operator claimed that some travel occurred on non-specified roads, the burden of providing evidence was on the operator.</w:t>
      </w:r>
      <w:r w:rsidRPr="00B70718">
        <w:rPr>
          <w:kern w:val="2"/>
          <w:vertAlign w:val="superscript"/>
          <w14:ligatures w14:val="standardContextual"/>
        </w:rPr>
        <w:footnoteReference w:id="13"/>
      </w:r>
      <w:r w:rsidRPr="00B70718">
        <w:rPr>
          <w:kern w:val="2"/>
          <w14:ligatures w14:val="standardContextual"/>
        </w:rPr>
        <w:t xml:space="preserve"> Otherwise, the Secretary could assume that all travel occurred on specified roads.</w:t>
      </w:r>
      <w:r w:rsidRPr="00B70718">
        <w:rPr>
          <w:kern w:val="2"/>
          <w:vertAlign w:val="superscript"/>
          <w14:ligatures w14:val="standardContextual"/>
        </w:rPr>
        <w:footnoteReference w:id="14"/>
      </w:r>
      <w:r w:rsidRPr="00B70718">
        <w:rPr>
          <w:kern w:val="2"/>
          <w14:ligatures w14:val="standardContextual"/>
        </w:rPr>
        <w:t xml:space="preserve"> </w:t>
      </w:r>
      <w:r w:rsidRPr="00B70718">
        <w:rPr>
          <w:kern w:val="2"/>
          <w14:ligatures w14:val="standardContextual"/>
        </w:rPr>
        <w:lastRenderedPageBreak/>
        <w:t>The charge and any interest were debts due to the State, and failure to comply could lead to suspension or cancellation of registration.</w:t>
      </w:r>
      <w:r w:rsidRPr="00B70718">
        <w:rPr>
          <w:kern w:val="2"/>
          <w:vertAlign w:val="superscript"/>
          <w14:ligatures w14:val="standardContextual"/>
        </w:rPr>
        <w:footnoteReference w:id="15"/>
      </w:r>
    </w:p>
    <w:p w14:paraId="0293A7D4" w14:textId="39BB3C15" w:rsidR="00B70718" w:rsidRPr="00B70718" w:rsidRDefault="00B70718" w:rsidP="00B70718">
      <w:pPr>
        <w:spacing w:after="160" w:line="278" w:lineRule="auto"/>
        <w:rPr>
          <w:kern w:val="2"/>
          <w14:ligatures w14:val="standardContextual"/>
        </w:rPr>
      </w:pPr>
      <w:r w:rsidRPr="00B70718">
        <w:rPr>
          <w:kern w:val="2"/>
          <w14:ligatures w14:val="standardContextual"/>
        </w:rPr>
        <w:t>The practical effect of the scheme was that Victorian owners of electric and plug-in hybrid vehicles had to keep records of vehicle use and pay an annual distance-based charge. The charge was not framed as a general road toll, nor was it imposed on all vehicles using Victorian roads. It applied specifically to ZLEVs. Victoria accepted that the charge was a tax, not merely a fee for services or a payment for a particular road-use privilege.</w:t>
      </w:r>
      <w:r w:rsidRPr="00B70718">
        <w:rPr>
          <w:kern w:val="2"/>
          <w:vertAlign w:val="superscript"/>
          <w14:ligatures w14:val="standardContextual"/>
        </w:rPr>
        <w:footnoteReference w:id="16"/>
      </w:r>
      <w:r w:rsidRPr="00B70718">
        <w:rPr>
          <w:kern w:val="2"/>
          <w14:ligatures w14:val="standardContextual"/>
        </w:rPr>
        <w:t xml:space="preserve"> The constitutional conundrum was therefore whether that tax was a duty of excise.</w:t>
      </w:r>
      <w:r w:rsidRPr="00B70718">
        <w:rPr>
          <w:kern w:val="2"/>
          <w:vertAlign w:val="superscript"/>
          <w14:ligatures w14:val="standardContextual"/>
        </w:rPr>
        <w:footnoteReference w:id="17"/>
      </w:r>
    </w:p>
    <w:p w14:paraId="362CEB74" w14:textId="5B2FFA9C" w:rsidR="00B70718" w:rsidRPr="00B70718" w:rsidRDefault="00B70718" w:rsidP="00B70718">
      <w:pPr>
        <w:jc w:val="center"/>
        <w:outlineLvl w:val="0"/>
        <w:rPr>
          <w:b/>
          <w:bCs/>
          <w:color w:val="000000" w:themeColor="text1"/>
          <w:sz w:val="28"/>
          <w:szCs w:val="28"/>
        </w:rPr>
      </w:pPr>
      <w:r w:rsidRPr="00B70718">
        <w:rPr>
          <w:b/>
          <w:bCs/>
          <w:color w:val="000000" w:themeColor="text1"/>
          <w:sz w:val="28"/>
          <w:szCs w:val="28"/>
        </w:rPr>
        <w:t>I</w:t>
      </w:r>
      <w:r>
        <w:rPr>
          <w:b/>
          <w:bCs/>
          <w:color w:val="000000" w:themeColor="text1"/>
          <w:sz w:val="28"/>
          <w:szCs w:val="28"/>
        </w:rPr>
        <w:t>II THE LEGAL ISSUE</w:t>
      </w:r>
    </w:p>
    <w:p w14:paraId="352B0C21" w14:textId="3C7D838F" w:rsidR="00B70718" w:rsidRPr="00B70718" w:rsidRDefault="00B70718" w:rsidP="00B70718">
      <w:pPr>
        <w:spacing w:after="160" w:line="278" w:lineRule="auto"/>
        <w:rPr>
          <w:kern w:val="2"/>
          <w14:ligatures w14:val="standardContextual"/>
        </w:rPr>
      </w:pPr>
      <w:r w:rsidRPr="00B70718">
        <w:rPr>
          <w:kern w:val="2"/>
          <w14:ligatures w14:val="standardContextual"/>
        </w:rPr>
        <w:t>The primary issue was whether s 7(1) of the ZLEV Act was invalid because it imposed a duty of excise within the meaning of s 90 of the Constitution.</w:t>
      </w:r>
      <w:r w:rsidRPr="00B70718">
        <w:rPr>
          <w:kern w:val="2"/>
          <w:vertAlign w:val="superscript"/>
          <w14:ligatures w14:val="standardContextual"/>
        </w:rPr>
        <w:footnoteReference w:id="18"/>
      </w:r>
      <w:r w:rsidRPr="00B70718">
        <w:rPr>
          <w:kern w:val="2"/>
          <w14:ligatures w14:val="standardContextual"/>
        </w:rPr>
        <w:t xml:space="preserve"> The special case asked the Full Court whether the provision was invalid on that basis.</w:t>
      </w:r>
      <w:r w:rsidRPr="00B70718">
        <w:rPr>
          <w:kern w:val="2"/>
          <w:vertAlign w:val="superscript"/>
          <w14:ligatures w14:val="standardContextual"/>
        </w:rPr>
        <w:footnoteReference w:id="19"/>
      </w:r>
      <w:r w:rsidRPr="00B70718">
        <w:rPr>
          <w:kern w:val="2"/>
          <w14:ligatures w14:val="standardContextual"/>
        </w:rPr>
        <w:t xml:space="preserve"> The High Court affirmed that it was and ordered Victoria to pay the costs of the proceeding.</w:t>
      </w:r>
      <w:r w:rsidRPr="00B70718">
        <w:rPr>
          <w:kern w:val="2"/>
          <w:vertAlign w:val="superscript"/>
          <w14:ligatures w14:val="standardContextual"/>
        </w:rPr>
        <w:footnoteReference w:id="20"/>
      </w:r>
    </w:p>
    <w:p w14:paraId="4F7D273A"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difficulty was in the meaning of “excise”. Earlier High Court decisions had established that duties of excise are not limited to taxes on locally produced goods.</w:t>
      </w:r>
      <w:r w:rsidRPr="00B70718">
        <w:rPr>
          <w:kern w:val="2"/>
          <w:vertAlign w:val="superscript"/>
          <w14:ligatures w14:val="standardContextual"/>
        </w:rPr>
        <w:footnoteReference w:id="21"/>
      </w:r>
      <w:r w:rsidRPr="00B70718">
        <w:rPr>
          <w:kern w:val="2"/>
          <w14:ligatures w14:val="standardContextual"/>
        </w:rPr>
        <w:t xml:space="preserve"> In Capital Duplicators [No 2] and Ha, the Court had held that duties of customs and excise both exhaust the category of taxes on goods: customs duties are border taxes, while excise duties are inland taxes on goods.</w:t>
      </w:r>
      <w:r w:rsidRPr="00B70718">
        <w:rPr>
          <w:kern w:val="2"/>
          <w:vertAlign w:val="superscript"/>
          <w14:ligatures w14:val="standardContextual"/>
        </w:rPr>
        <w:footnoteReference w:id="22"/>
      </w:r>
      <w:r w:rsidRPr="00B70718">
        <w:rPr>
          <w:kern w:val="2"/>
          <w14:ligatures w14:val="standardContextual"/>
        </w:rPr>
        <w:t xml:space="preserve"> Those cases clarified that a tax on the production, manufacture, sale or distribution of goods could be an excise.</w:t>
      </w:r>
      <w:r w:rsidRPr="00B70718">
        <w:rPr>
          <w:kern w:val="2"/>
          <w:vertAlign w:val="superscript"/>
          <w14:ligatures w14:val="standardContextual"/>
        </w:rPr>
        <w:footnoteReference w:id="23"/>
      </w:r>
      <w:r w:rsidRPr="00B70718">
        <w:rPr>
          <w:kern w:val="2"/>
          <w14:ligatures w14:val="standardContextual"/>
        </w:rPr>
        <w:t xml:space="preserve"> However, they had not covered whether a tax imposed at the stage of consumption or use could also be an excise.</w:t>
      </w:r>
      <w:r w:rsidRPr="00B70718">
        <w:rPr>
          <w:kern w:val="2"/>
          <w:vertAlign w:val="superscript"/>
          <w14:ligatures w14:val="standardContextual"/>
        </w:rPr>
        <w:footnoteReference w:id="24"/>
      </w:r>
    </w:p>
    <w:p w14:paraId="0F56C2BA"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Victoria argued that the ZLEV charge was not a tax on goods, but a tax on the activity of driving a particular kind of vehicle on specified roads.</w:t>
      </w:r>
      <w:r w:rsidRPr="00B70718">
        <w:rPr>
          <w:kern w:val="2"/>
          <w:vertAlign w:val="superscript"/>
          <w14:ligatures w14:val="standardContextual"/>
        </w:rPr>
        <w:footnoteReference w:id="25"/>
      </w:r>
      <w:r w:rsidRPr="00B70718">
        <w:rPr>
          <w:kern w:val="2"/>
          <w14:ligatures w14:val="standardContextual"/>
        </w:rPr>
        <w:t xml:space="preserve"> The plaintiffs, supported by the Commonwealth, argued that the charge was a tax on goods because it was imposed on the use or consumption of ZLEVs.</w:t>
      </w:r>
      <w:r w:rsidRPr="00B70718">
        <w:rPr>
          <w:kern w:val="2"/>
          <w:vertAlign w:val="superscript"/>
          <w14:ligatures w14:val="standardContextual"/>
        </w:rPr>
        <w:footnoteReference w:id="26"/>
      </w:r>
      <w:r w:rsidRPr="00B70718">
        <w:rPr>
          <w:kern w:val="2"/>
          <w14:ligatures w14:val="standardContextual"/>
        </w:rPr>
        <w:t xml:space="preserve"> The case therefore required the Court to decide two connected questions: first, whether a consumption tax on goods can be an excise; and secondly, whether the ZLEV charge was properly characterised as such a tax.</w:t>
      </w:r>
      <w:r w:rsidRPr="00B70718">
        <w:rPr>
          <w:kern w:val="2"/>
          <w:vertAlign w:val="superscript"/>
          <w14:ligatures w14:val="standardContextual"/>
        </w:rPr>
        <w:footnoteReference w:id="27"/>
      </w:r>
    </w:p>
    <w:p w14:paraId="7268FD22" w14:textId="1154338B" w:rsidR="00B70718" w:rsidRPr="00B70718" w:rsidRDefault="00B70718" w:rsidP="00B70718">
      <w:pPr>
        <w:jc w:val="center"/>
        <w:outlineLvl w:val="0"/>
        <w:rPr>
          <w:b/>
          <w:bCs/>
          <w:color w:val="000000" w:themeColor="text1"/>
          <w:sz w:val="28"/>
          <w:szCs w:val="28"/>
        </w:rPr>
      </w:pPr>
      <w:r w:rsidRPr="00B70718">
        <w:rPr>
          <w:b/>
          <w:bCs/>
          <w:color w:val="000000" w:themeColor="text1"/>
          <w:sz w:val="28"/>
          <w:szCs w:val="28"/>
        </w:rPr>
        <w:lastRenderedPageBreak/>
        <w:t>I</w:t>
      </w:r>
      <w:r>
        <w:rPr>
          <w:b/>
          <w:bCs/>
          <w:color w:val="000000" w:themeColor="text1"/>
          <w:sz w:val="28"/>
          <w:szCs w:val="28"/>
        </w:rPr>
        <w:t>V THE PARTIES’ ARGUMENTS</w:t>
      </w:r>
    </w:p>
    <w:p w14:paraId="5416211E"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plaintiffs argued that the ZLEV charge was an inland tax on goods. Although the charge was triggered by use on specified roads, it applied only because the relevant good, the ZLEV, was used. The plaintiffs submitted that “use” was a form of consumption. On that view, the tax was imposed in respect of the consumption of goods and had a sufficient connection with the vehicles themselves.</w:t>
      </w:r>
      <w:r w:rsidRPr="00B70718">
        <w:rPr>
          <w:kern w:val="2"/>
          <w:vertAlign w:val="superscript"/>
          <w14:ligatures w14:val="standardContextual"/>
        </w:rPr>
        <w:footnoteReference w:id="28"/>
      </w:r>
      <w:r w:rsidRPr="00B70718">
        <w:rPr>
          <w:kern w:val="2"/>
          <w14:ligatures w14:val="standardContextual"/>
        </w:rPr>
        <w:t xml:space="preserve"> During their oral argument, counsel for the plaintiffs framed the case around another two questions: whether an inland tax imposed on the consumption of goods is a duty of excise, and whether the ZLEV charge itself was the same as such a duty.</w:t>
      </w:r>
      <w:r w:rsidRPr="00B70718">
        <w:rPr>
          <w:kern w:val="2"/>
          <w:vertAlign w:val="superscript"/>
          <w14:ligatures w14:val="standardContextual"/>
        </w:rPr>
        <w:footnoteReference w:id="29"/>
      </w:r>
      <w:r w:rsidRPr="00B70718">
        <w:rPr>
          <w:kern w:val="2"/>
          <w14:ligatures w14:val="standardContextual"/>
        </w:rPr>
        <w:t xml:space="preserve"> The plaintiffs relied heavily on Capital Duplicators [No 2] and Ha, arguing that the logic of those cases supported adding consumption to the recognised stages where an excise may be imposed.</w:t>
      </w:r>
      <w:r w:rsidRPr="00B70718">
        <w:rPr>
          <w:kern w:val="2"/>
          <w:vertAlign w:val="superscript"/>
          <w14:ligatures w14:val="standardContextual"/>
        </w:rPr>
        <w:footnoteReference w:id="30"/>
      </w:r>
    </w:p>
    <w:p w14:paraId="700163D2"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Commonwealth intervened in support of the plaintiffs. Its view was that the charge was not meaningfully avoidable in ordinary use because “specified roads” were defined so broadly.</w:t>
      </w:r>
      <w:r w:rsidRPr="00B70718">
        <w:rPr>
          <w:kern w:val="2"/>
          <w:vertAlign w:val="superscript"/>
          <w14:ligatures w14:val="standardContextual"/>
        </w:rPr>
        <w:footnoteReference w:id="31"/>
      </w:r>
      <w:r w:rsidRPr="00B70718">
        <w:rPr>
          <w:kern w:val="2"/>
          <w14:ligatures w14:val="standardContextual"/>
        </w:rPr>
        <w:t xml:space="preserve"> The charge was imposed on </w:t>
      </w:r>
      <w:proofErr w:type="gramStart"/>
      <w:r w:rsidRPr="00B70718">
        <w:rPr>
          <w:kern w:val="2"/>
          <w14:ligatures w14:val="standardContextual"/>
        </w:rPr>
        <w:t>the vast majority of</w:t>
      </w:r>
      <w:proofErr w:type="gramEnd"/>
      <w:r w:rsidRPr="00B70718">
        <w:rPr>
          <w:kern w:val="2"/>
          <w14:ligatures w14:val="standardContextual"/>
        </w:rPr>
        <w:t xml:space="preserve"> uses of ZLEVs and was readily distinguishable from a toll, which applies only to </w:t>
      </w:r>
      <w:proofErr w:type="gramStart"/>
      <w:r w:rsidRPr="00B70718">
        <w:rPr>
          <w:kern w:val="2"/>
          <w14:ligatures w14:val="standardContextual"/>
        </w:rPr>
        <w:t>particular roads</w:t>
      </w:r>
      <w:proofErr w:type="gramEnd"/>
      <w:r w:rsidRPr="00B70718">
        <w:rPr>
          <w:kern w:val="2"/>
          <w14:ligatures w14:val="standardContextual"/>
        </w:rPr>
        <w:t xml:space="preserve"> and can usually be avoided by taking another route.</w:t>
      </w:r>
      <w:r w:rsidRPr="00B70718">
        <w:rPr>
          <w:kern w:val="2"/>
          <w:vertAlign w:val="superscript"/>
          <w14:ligatures w14:val="standardContextual"/>
        </w:rPr>
        <w:footnoteReference w:id="32"/>
      </w:r>
    </w:p>
    <w:p w14:paraId="005F6D06"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Victoria, supported by the Attorneys-General of the other States and Territories, challenged that characterisation. Its core argument was that the charge was not imposed on goods as goods, but rather on the activity of driving on public roads.</w:t>
      </w:r>
      <w:r w:rsidRPr="00B70718">
        <w:rPr>
          <w:kern w:val="2"/>
          <w:vertAlign w:val="superscript"/>
          <w14:ligatures w14:val="standardContextual"/>
        </w:rPr>
        <w:footnoteReference w:id="33"/>
      </w:r>
      <w:r w:rsidRPr="00B70718">
        <w:rPr>
          <w:kern w:val="2"/>
          <w14:ligatures w14:val="standardContextual"/>
        </w:rPr>
        <w:t xml:space="preserve"> Victoria also sought leave to reopen Capital Duplicators [No 2] and Ha, arguing for a narrower understanding of excise that would limit it to taxes discriminating against goods manufactured or produced in Australia.</w:t>
      </w:r>
      <w:r w:rsidRPr="00B70718">
        <w:rPr>
          <w:kern w:val="2"/>
          <w:vertAlign w:val="superscript"/>
          <w14:ligatures w14:val="standardContextual"/>
        </w:rPr>
        <w:footnoteReference w:id="34"/>
      </w:r>
      <w:r w:rsidRPr="00B70718">
        <w:rPr>
          <w:kern w:val="2"/>
          <w14:ligatures w14:val="standardContextual"/>
        </w:rPr>
        <w:t xml:space="preserve"> Victoria also relied on Dickenson’s Arcade, where the Court had held that a consumption tax was not an excise.</w:t>
      </w:r>
      <w:r w:rsidRPr="00B70718">
        <w:rPr>
          <w:kern w:val="2"/>
          <w:vertAlign w:val="superscript"/>
          <w14:ligatures w14:val="standardContextual"/>
        </w:rPr>
        <w:footnoteReference w:id="35"/>
      </w:r>
    </w:p>
    <w:p w14:paraId="67387BC2" w14:textId="0A2E55D9" w:rsidR="00B70718" w:rsidRPr="00B70718" w:rsidRDefault="00B70718" w:rsidP="00B70718">
      <w:pPr>
        <w:jc w:val="center"/>
        <w:outlineLvl w:val="0"/>
        <w:rPr>
          <w:b/>
          <w:bCs/>
          <w:color w:val="000000" w:themeColor="text1"/>
          <w:sz w:val="28"/>
          <w:szCs w:val="28"/>
        </w:rPr>
      </w:pPr>
      <w:r>
        <w:rPr>
          <w:b/>
          <w:bCs/>
          <w:color w:val="000000" w:themeColor="text1"/>
          <w:sz w:val="28"/>
          <w:szCs w:val="28"/>
        </w:rPr>
        <w:t>V THE DECISION</w:t>
      </w:r>
    </w:p>
    <w:p w14:paraId="0401766B"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High Court held that the ZLEV charge was invalid. The Court refused to reopen Capital Duplicators [No 2] and Ha. The majority treated those cases as having settled the proposition that a duty of excise is an inland tax on goods. The Court found it inappropriate to disturb that doctrine, particularly because it had underpinned Commonwealth-State financial arrangements for more than 25 years, including the GST settlement.</w:t>
      </w:r>
      <w:r w:rsidRPr="00B70718">
        <w:rPr>
          <w:kern w:val="2"/>
          <w:vertAlign w:val="superscript"/>
          <w14:ligatures w14:val="standardContextual"/>
        </w:rPr>
        <w:footnoteReference w:id="36"/>
      </w:r>
    </w:p>
    <w:p w14:paraId="472890C2"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more complicated question was whether a tax on consumption or use of goods falls within the concept of excise. The majority held that it does.</w:t>
      </w:r>
      <w:r w:rsidRPr="00B70718">
        <w:rPr>
          <w:kern w:val="2"/>
          <w:vertAlign w:val="superscript"/>
          <w14:ligatures w14:val="standardContextual"/>
        </w:rPr>
        <w:footnoteReference w:id="37"/>
      </w:r>
      <w:r w:rsidRPr="00B70718">
        <w:rPr>
          <w:kern w:val="2"/>
          <w14:ligatures w14:val="standardContextual"/>
        </w:rPr>
        <w:t xml:space="preserve"> To the extent that Dickenson’s Arcade excluded consumption taxes from the scope of excise, it was reopened and overruled.</w:t>
      </w:r>
      <w:r w:rsidRPr="00B70718">
        <w:rPr>
          <w:kern w:val="2"/>
          <w:vertAlign w:val="superscript"/>
          <w14:ligatures w14:val="standardContextual"/>
        </w:rPr>
        <w:footnoteReference w:id="38"/>
      </w:r>
      <w:r w:rsidRPr="00B70718">
        <w:rPr>
          <w:kern w:val="2"/>
          <w14:ligatures w14:val="standardContextual"/>
        </w:rPr>
        <w:t xml:space="preserve"> The majority </w:t>
      </w:r>
      <w:r w:rsidRPr="00B70718">
        <w:rPr>
          <w:kern w:val="2"/>
          <w14:ligatures w14:val="standardContextual"/>
        </w:rPr>
        <w:lastRenderedPageBreak/>
        <w:t>considered that excluding consumption taxes was an anomalous and unsustainable exception to the current understanding of s 90. Once excise was understood as an inland tax on goods, there was no principled reason to limit it to production, manufacture, sale or distribution while excluding consumption or use.</w:t>
      </w:r>
      <w:r w:rsidRPr="00B70718">
        <w:rPr>
          <w:kern w:val="2"/>
          <w:vertAlign w:val="superscript"/>
          <w14:ligatures w14:val="standardContextual"/>
        </w:rPr>
        <w:footnoteReference w:id="39"/>
      </w:r>
    </w:p>
    <w:p w14:paraId="7A462A8E"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The majority then held that the ZLEV charge was properly characterised as a tax on goods.</w:t>
      </w:r>
      <w:r w:rsidRPr="00B70718">
        <w:rPr>
          <w:kern w:val="2"/>
          <w:vertAlign w:val="superscript"/>
          <w14:ligatures w14:val="standardContextual"/>
        </w:rPr>
        <w:footnoteReference w:id="40"/>
      </w:r>
      <w:r w:rsidRPr="00B70718">
        <w:rPr>
          <w:kern w:val="2"/>
          <w14:ligatures w14:val="standardContextual"/>
        </w:rPr>
        <w:t xml:space="preserve"> The charge was imposed because a ZLEV was used. Its amount was calculated by reference to the distance travelled by that vehicle. It applied selectively to ZLEVs and not to vehicles generally.</w:t>
      </w:r>
      <w:r w:rsidRPr="00B70718">
        <w:rPr>
          <w:kern w:val="2"/>
          <w:vertAlign w:val="superscript"/>
          <w14:ligatures w14:val="standardContextual"/>
        </w:rPr>
        <w:footnoteReference w:id="41"/>
      </w:r>
      <w:r w:rsidRPr="00B70718">
        <w:rPr>
          <w:kern w:val="2"/>
          <w14:ligatures w14:val="standardContextual"/>
        </w:rPr>
        <w:t xml:space="preserve"> Although Victoria described the charge as one on road use, the majority looked at the legal and practical operation of the Act. Since “specified roads” covered almost all ordinary public road use, the charge operated in substance as a tax on the use of ZLEVs. It was therefore a tax on goods at the stage of consumption.</w:t>
      </w:r>
      <w:r w:rsidRPr="00B70718">
        <w:rPr>
          <w:kern w:val="2"/>
          <w:vertAlign w:val="superscript"/>
          <w14:ligatures w14:val="standardContextual"/>
        </w:rPr>
        <w:footnoteReference w:id="42"/>
      </w:r>
    </w:p>
    <w:p w14:paraId="70DB7FBF"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Justice Gordon’s analysis provides a particularly compelling framework for evaluating this issue. Her Honour rightly emphasised that a court must scrutinise both the legal and practical operation of a statute to ensure that constitutional limits are not avoided by mere drafting devices.</w:t>
      </w:r>
      <w:r w:rsidRPr="00B70718">
        <w:rPr>
          <w:kern w:val="2"/>
          <w:vertAlign w:val="superscript"/>
          <w14:ligatures w14:val="standardContextual"/>
        </w:rPr>
        <w:footnoteReference w:id="43"/>
      </w:r>
      <w:r w:rsidRPr="00B70718">
        <w:rPr>
          <w:kern w:val="2"/>
          <w14:ligatures w14:val="standardContextual"/>
        </w:rPr>
        <w:t xml:space="preserve"> Applying this approach, the ZLEV charge cannot be characterised as a generic road-use fee. Because the definition of “specified roads” is so expansive, the tax effectively targets the use of ZLEVs exclusively, meaning virtually any operation of these vehicles triggers the liability.</w:t>
      </w:r>
      <w:r w:rsidRPr="00B70718">
        <w:rPr>
          <w:kern w:val="2"/>
          <w:vertAlign w:val="superscript"/>
          <w14:ligatures w14:val="standardContextual"/>
        </w:rPr>
        <w:footnoteReference w:id="44"/>
      </w:r>
    </w:p>
    <w:p w14:paraId="2FC0AD76"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 xml:space="preserve">Conversely, the dissenting opinions adopted a significantly more restrictive interpretation. Justice Steward, leaning heavily on historical precedent, argued that an excise should be understood strictly as a tax on locally produced or manufactured goods, aligning his Honour's view with </w:t>
      </w:r>
      <w:proofErr w:type="spellStart"/>
      <w:r w:rsidRPr="00B70718">
        <w:rPr>
          <w:i/>
          <w:iCs/>
          <w:kern w:val="2"/>
          <w14:ligatures w14:val="standardContextual"/>
        </w:rPr>
        <w:t>Peterswald</w:t>
      </w:r>
      <w:proofErr w:type="spellEnd"/>
      <w:r w:rsidRPr="00B70718">
        <w:rPr>
          <w:i/>
          <w:iCs/>
          <w:kern w:val="2"/>
          <w14:ligatures w14:val="standardContextual"/>
        </w:rPr>
        <w:t xml:space="preserve"> v Bartley</w:t>
      </w:r>
      <w:r w:rsidRPr="00B70718">
        <w:rPr>
          <w:i/>
          <w:iCs/>
          <w:kern w:val="2"/>
          <w:vertAlign w:val="superscript"/>
          <w14:ligatures w14:val="standardContextual"/>
        </w:rPr>
        <w:footnoteReference w:id="45"/>
      </w:r>
      <w:r w:rsidRPr="00B70718">
        <w:rPr>
          <w:kern w:val="2"/>
          <w14:ligatures w14:val="standardContextual"/>
        </w:rPr>
        <w:t xml:space="preserve"> and the minority in </w:t>
      </w:r>
      <w:r w:rsidRPr="00B70718">
        <w:rPr>
          <w:i/>
          <w:iCs/>
          <w:kern w:val="2"/>
          <w14:ligatures w14:val="standardContextual"/>
        </w:rPr>
        <w:t>Ha</w:t>
      </w:r>
      <w:r w:rsidRPr="00B70718">
        <w:rPr>
          <w:kern w:val="2"/>
          <w14:ligatures w14:val="standardContextual"/>
        </w:rPr>
        <w:t>.</w:t>
      </w:r>
      <w:r w:rsidRPr="00B70718">
        <w:rPr>
          <w:kern w:val="2"/>
          <w:vertAlign w:val="superscript"/>
          <w14:ligatures w14:val="standardContextual"/>
        </w:rPr>
        <w:footnoteReference w:id="46"/>
      </w:r>
      <w:r w:rsidRPr="00B70718">
        <w:rPr>
          <w:kern w:val="2"/>
          <w14:ligatures w14:val="standardContextual"/>
        </w:rPr>
        <w:t xml:space="preserve"> From this perspective, the ZLEV charge is not a tax imposed on a step in the production or distribution chain. Rather, his Honour conceptualised it as an ongoing post-consumption levy, paid as the asset depreciates over time well after entering the domestic market.</w:t>
      </w:r>
      <w:r w:rsidRPr="00B70718">
        <w:rPr>
          <w:kern w:val="2"/>
          <w:vertAlign w:val="superscript"/>
          <w14:ligatures w14:val="standardContextual"/>
        </w:rPr>
        <w:footnoteReference w:id="47"/>
      </w:r>
    </w:p>
    <w:p w14:paraId="71835ACF" w14:textId="403F7767" w:rsidR="00B70718" w:rsidRPr="00B70718" w:rsidRDefault="00B70718" w:rsidP="00B70718">
      <w:pPr>
        <w:jc w:val="center"/>
        <w:outlineLvl w:val="0"/>
        <w:rPr>
          <w:b/>
          <w:bCs/>
          <w:color w:val="000000" w:themeColor="text1"/>
          <w:sz w:val="28"/>
          <w:szCs w:val="28"/>
        </w:rPr>
      </w:pPr>
      <w:r>
        <w:rPr>
          <w:b/>
          <w:bCs/>
          <w:color w:val="000000" w:themeColor="text1"/>
          <w:sz w:val="28"/>
          <w:szCs w:val="28"/>
        </w:rPr>
        <w:t>VI IMPLICATIONS</w:t>
      </w:r>
    </w:p>
    <w:p w14:paraId="4BF20B23"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 xml:space="preserve">The immediate consequence of </w:t>
      </w:r>
      <w:proofErr w:type="spellStart"/>
      <w:r w:rsidRPr="00B70718">
        <w:rPr>
          <w:kern w:val="2"/>
          <w14:ligatures w14:val="standardContextual"/>
        </w:rPr>
        <w:t>Vanderstock</w:t>
      </w:r>
      <w:proofErr w:type="spellEnd"/>
      <w:r w:rsidRPr="00B70718">
        <w:rPr>
          <w:kern w:val="2"/>
          <w14:ligatures w14:val="standardContextual"/>
        </w:rPr>
        <w:t xml:space="preserve"> was that Victoria’s ZLEV charge was deemed unconstitutional. However, the wider significance of the case is much greater. First, the decision bolsters the Commonwealth’s exclusive control over taxes on goods. By confirming that a tax on consumption or use can be an excise, the High Court has closed a pathway that States may have used to design taxes around the point of sale or production.</w:t>
      </w:r>
      <w:r w:rsidRPr="00B70718">
        <w:rPr>
          <w:kern w:val="2"/>
          <w:vertAlign w:val="superscript"/>
          <w14:ligatures w14:val="standardContextual"/>
        </w:rPr>
        <w:footnoteReference w:id="48"/>
      </w:r>
    </w:p>
    <w:p w14:paraId="1FA21143"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lastRenderedPageBreak/>
        <w:t xml:space="preserve">Secondly, the case affects the future of charges in road-use. Governments face a real policy problem in that as electric vehicle uptake increases, fuel excise revenue may decline. States may wish to recover road-related revenue through distance-based charges on electric vehicles. </w:t>
      </w:r>
      <w:proofErr w:type="spellStart"/>
      <w:r w:rsidRPr="00B70718">
        <w:rPr>
          <w:kern w:val="2"/>
          <w14:ligatures w14:val="standardContextual"/>
        </w:rPr>
        <w:t>Vanderstock</w:t>
      </w:r>
      <w:proofErr w:type="spellEnd"/>
      <w:r w:rsidRPr="00B70718">
        <w:rPr>
          <w:kern w:val="2"/>
          <w14:ligatures w14:val="standardContextual"/>
        </w:rPr>
        <w:t xml:space="preserve"> does not necessarily prevent every road-user charge. For example, a genuine toll, congestion charge, registration fee or charge for a particular service may still be valid depending on its design.</w:t>
      </w:r>
      <w:r w:rsidRPr="00B70718">
        <w:rPr>
          <w:kern w:val="2"/>
          <w:vertAlign w:val="superscript"/>
          <w14:ligatures w14:val="standardContextual"/>
        </w:rPr>
        <w:footnoteReference w:id="49"/>
      </w:r>
      <w:r w:rsidRPr="00B70718">
        <w:rPr>
          <w:kern w:val="2"/>
          <w14:ligatures w14:val="standardContextual"/>
        </w:rPr>
        <w:t xml:space="preserve"> However, a charge that is selectively imposed on the use of </w:t>
      </w:r>
      <w:proofErr w:type="gramStart"/>
      <w:r w:rsidRPr="00B70718">
        <w:rPr>
          <w:kern w:val="2"/>
          <w14:ligatures w14:val="standardContextual"/>
        </w:rPr>
        <w:t>particular goods</w:t>
      </w:r>
      <w:proofErr w:type="gramEnd"/>
      <w:r w:rsidRPr="00B70718">
        <w:rPr>
          <w:kern w:val="2"/>
          <w14:ligatures w14:val="standardContextual"/>
        </w:rPr>
        <w:t>, and calculated by reference to their use, risks being characterised as a tax on goods and therefore as an excise.</w:t>
      </w:r>
      <w:r w:rsidRPr="00B70718">
        <w:rPr>
          <w:kern w:val="2"/>
          <w:vertAlign w:val="superscript"/>
          <w14:ligatures w14:val="standardContextual"/>
        </w:rPr>
        <w:footnoteReference w:id="50"/>
      </w:r>
    </w:p>
    <w:p w14:paraId="277CFF1F"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Thirdly, the decision shows the Court’s willingness to look beyond statutory labels. Victoria’s description of the ZLEV charge as a charge on road use did not determine its character. The Court examined the substance and practical operation of the law.</w:t>
      </w:r>
      <w:r w:rsidRPr="00B70718">
        <w:rPr>
          <w:kern w:val="2"/>
          <w:vertAlign w:val="superscript"/>
          <w14:ligatures w14:val="standardContextual"/>
        </w:rPr>
        <w:footnoteReference w:id="51"/>
      </w:r>
      <w:r w:rsidRPr="00B70718">
        <w:rPr>
          <w:kern w:val="2"/>
          <w14:ligatures w14:val="standardContextual"/>
        </w:rPr>
        <w:t xml:space="preserve"> This is for constitutional </w:t>
      </w:r>
      <w:proofErr w:type="gramStart"/>
      <w:r w:rsidRPr="00B70718">
        <w:rPr>
          <w:kern w:val="2"/>
          <w14:ligatures w14:val="standardContextual"/>
        </w:rPr>
        <w:t>law as a whole</w:t>
      </w:r>
      <w:proofErr w:type="gramEnd"/>
      <w:r w:rsidRPr="00B70718">
        <w:rPr>
          <w:kern w:val="2"/>
          <w14:ligatures w14:val="standardContextual"/>
        </w:rPr>
        <w:t>.  States cannot avoid s 90 simply by framing a tax on goods as a tax on an activity associated with those goods.</w:t>
      </w:r>
      <w:r w:rsidRPr="00B70718">
        <w:rPr>
          <w:kern w:val="2"/>
          <w:vertAlign w:val="superscript"/>
          <w14:ligatures w14:val="standardContextual"/>
        </w:rPr>
        <w:footnoteReference w:id="52"/>
      </w:r>
    </w:p>
    <w:p w14:paraId="0154228E" w14:textId="77777777" w:rsidR="00B70718" w:rsidRPr="00B70718" w:rsidRDefault="00B70718" w:rsidP="00B70718">
      <w:pPr>
        <w:spacing w:after="160" w:line="278" w:lineRule="auto"/>
        <w:rPr>
          <w:kern w:val="2"/>
          <w14:ligatures w14:val="standardContextual"/>
        </w:rPr>
      </w:pPr>
      <w:r w:rsidRPr="00B70718">
        <w:rPr>
          <w:kern w:val="2"/>
          <w14:ligatures w14:val="standardContextual"/>
        </w:rPr>
        <w:t xml:space="preserve">Ultimately, </w:t>
      </w:r>
      <w:proofErr w:type="spellStart"/>
      <w:r w:rsidRPr="00B70718">
        <w:rPr>
          <w:kern w:val="2"/>
          <w14:ligatures w14:val="standardContextual"/>
        </w:rPr>
        <w:t>Vanderstock</w:t>
      </w:r>
      <w:proofErr w:type="spellEnd"/>
      <w:r w:rsidRPr="00B70718">
        <w:rPr>
          <w:kern w:val="2"/>
          <w14:ligatures w14:val="standardContextual"/>
        </w:rPr>
        <w:t xml:space="preserve"> has profound consequences for federalism. The decision limits State fiscal autonomy and reinforces the centralisation of taxation power in the Commonwealth. For critics, these risks making the States overly dependent on Commonwealth funding and less able to respond creatively to new policy challenges. For supporters, the decision preserves the purpose of s 90 by preventing fragmented State taxes on goods and maintaining national economic unity.</w:t>
      </w:r>
      <w:r w:rsidRPr="00B70718">
        <w:rPr>
          <w:kern w:val="2"/>
          <w:vertAlign w:val="superscript"/>
          <w14:ligatures w14:val="standardContextual"/>
        </w:rPr>
        <w:footnoteReference w:id="53"/>
      </w:r>
    </w:p>
    <w:p w14:paraId="5E740196" w14:textId="0BAF2E1C" w:rsidR="00B70718" w:rsidRPr="00B70718" w:rsidRDefault="00B70718" w:rsidP="00B70718">
      <w:pPr>
        <w:jc w:val="center"/>
        <w:outlineLvl w:val="0"/>
        <w:rPr>
          <w:b/>
          <w:bCs/>
          <w:color w:val="000000" w:themeColor="text1"/>
          <w:sz w:val="28"/>
          <w:szCs w:val="28"/>
        </w:rPr>
      </w:pPr>
      <w:r>
        <w:rPr>
          <w:b/>
          <w:bCs/>
          <w:color w:val="000000" w:themeColor="text1"/>
          <w:sz w:val="28"/>
          <w:szCs w:val="28"/>
        </w:rPr>
        <w:t>VII CONCLUSION</w:t>
      </w:r>
    </w:p>
    <w:p w14:paraId="071D00A3" w14:textId="77777777" w:rsidR="00B70718" w:rsidRPr="00B70718" w:rsidRDefault="00B70718" w:rsidP="00B70718">
      <w:pPr>
        <w:spacing w:after="160" w:line="278" w:lineRule="auto"/>
        <w:rPr>
          <w:kern w:val="2"/>
          <w14:ligatures w14:val="standardContextual"/>
        </w:rPr>
      </w:pPr>
      <w:proofErr w:type="spellStart"/>
      <w:r w:rsidRPr="00B70718">
        <w:rPr>
          <w:i/>
          <w:iCs/>
          <w:kern w:val="2"/>
          <w14:ligatures w14:val="standardContextual"/>
        </w:rPr>
        <w:t>Vanderstock</w:t>
      </w:r>
      <w:proofErr w:type="spellEnd"/>
      <w:r w:rsidRPr="00B70718">
        <w:rPr>
          <w:i/>
          <w:iCs/>
          <w:kern w:val="2"/>
          <w14:ligatures w14:val="standardContextual"/>
        </w:rPr>
        <w:t xml:space="preserve"> v Victoria</w:t>
      </w:r>
      <w:r w:rsidRPr="00B70718">
        <w:rPr>
          <w:kern w:val="2"/>
          <w14:ligatures w14:val="standardContextual"/>
        </w:rPr>
        <w:t xml:space="preserve"> stands as a landmark decision because it finally resolves a constitutional question left open for decades: can a state tax on the consumption or use of goods amount to an excise? The High Court answered with a definitive yes.</w:t>
      </w:r>
      <w:r w:rsidRPr="00B70718">
        <w:rPr>
          <w:kern w:val="2"/>
          <w:vertAlign w:val="superscript"/>
          <w14:ligatures w14:val="standardContextual"/>
        </w:rPr>
        <w:footnoteReference w:id="54"/>
      </w:r>
      <w:r w:rsidRPr="00B70718">
        <w:rPr>
          <w:kern w:val="2"/>
          <w14:ligatures w14:val="standardContextual"/>
        </w:rPr>
        <w:t xml:space="preserve"> By invalidating Victoria’s ZLEV charge, the majority confirmed that section 90 reaches far beyond taxes on production, manufacture, or distribution, extending all the way to the point of consumption.</w:t>
      </w:r>
      <w:r w:rsidRPr="00B70718">
        <w:rPr>
          <w:kern w:val="2"/>
          <w:vertAlign w:val="superscript"/>
          <w14:ligatures w14:val="standardContextual"/>
        </w:rPr>
        <w:footnoteReference w:id="55"/>
      </w:r>
      <w:r w:rsidRPr="00B70718">
        <w:rPr>
          <w:kern w:val="2"/>
          <w14:ligatures w14:val="standardContextual"/>
        </w:rPr>
        <w:t xml:space="preserve"> Consequently, this case is about much more than electric vehicles. It fundamentally reshapes the constitutional architecture of Australian taxation, resets the boundaries between state and federal power, and reinforces the continuing force of section 90 in a modern economy. </w:t>
      </w:r>
    </w:p>
    <w:p w14:paraId="7EAE22D3" w14:textId="77777777" w:rsidR="00B70718" w:rsidRPr="00B70718" w:rsidRDefault="00B70718" w:rsidP="00B70718">
      <w:pPr>
        <w:spacing w:after="160" w:line="278" w:lineRule="auto"/>
        <w:rPr>
          <w:rFonts w:asciiTheme="minorHAnsi" w:hAnsiTheme="minorHAnsi" w:cstheme="minorBidi"/>
          <w:kern w:val="2"/>
          <w14:ligatures w14:val="standardContextual"/>
        </w:rPr>
      </w:pPr>
    </w:p>
    <w:p w14:paraId="54B204E1" w14:textId="439C9867"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5F6A6" w14:textId="77777777" w:rsidR="005468CD" w:rsidRDefault="005468CD" w:rsidP="00235853">
      <w:r>
        <w:separator/>
      </w:r>
    </w:p>
  </w:endnote>
  <w:endnote w:type="continuationSeparator" w:id="0">
    <w:p w14:paraId="2EB7DBFC" w14:textId="77777777" w:rsidR="005468CD" w:rsidRDefault="005468CD"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62E73" w14:textId="77777777" w:rsidR="005468CD" w:rsidRDefault="005468CD" w:rsidP="00235853">
      <w:r>
        <w:separator/>
      </w:r>
    </w:p>
  </w:footnote>
  <w:footnote w:type="continuationSeparator" w:id="0">
    <w:p w14:paraId="3D555C13" w14:textId="77777777" w:rsidR="005468CD" w:rsidRDefault="005468CD" w:rsidP="00235853">
      <w:r>
        <w:continuationSeparator/>
      </w:r>
    </w:p>
  </w:footnote>
  <w:footnote w:id="1">
    <w:p w14:paraId="797AE449" w14:textId="77777777" w:rsidR="00B70718" w:rsidRPr="00311C8E" w:rsidRDefault="00B70718" w:rsidP="00311C8E">
      <w:pPr>
        <w:pStyle w:val="FootnoteText"/>
        <w:tabs>
          <w:tab w:val="left" w:pos="3820"/>
        </w:tabs>
        <w:rPr>
          <w:rFonts w:ascii="Times New Roman" w:hAnsi="Times New Roman" w:cs="Times New Roman"/>
        </w:rPr>
      </w:pPr>
      <w:r w:rsidRPr="00311C8E">
        <w:rPr>
          <w:rStyle w:val="FootnoteReference"/>
          <w:rFonts w:ascii="Times New Roman" w:hAnsi="Times New Roman" w:cs="Times New Roman"/>
        </w:rPr>
        <w:footnoteRef/>
      </w:r>
      <w:r w:rsidRPr="00311C8E">
        <w:rPr>
          <w:rFonts w:ascii="Times New Roman" w:hAnsi="Times New Roman" w:cs="Times New Roman"/>
        </w:rPr>
        <w:t xml:space="preserve"> </w:t>
      </w:r>
      <w:proofErr w:type="spellStart"/>
      <w:r w:rsidRPr="00311C8E">
        <w:rPr>
          <w:rFonts w:ascii="Times New Roman" w:hAnsi="Times New Roman" w:cs="Times New Roman"/>
          <w:i/>
          <w:iCs/>
        </w:rPr>
        <w:t>Vanderstock</w:t>
      </w:r>
      <w:proofErr w:type="spellEnd"/>
      <w:r w:rsidRPr="00311C8E">
        <w:rPr>
          <w:rFonts w:ascii="Times New Roman" w:hAnsi="Times New Roman" w:cs="Times New Roman"/>
          <w:i/>
          <w:iCs/>
        </w:rPr>
        <w:t xml:space="preserve"> v Victoria</w:t>
      </w:r>
      <w:r w:rsidRPr="00311C8E">
        <w:rPr>
          <w:rFonts w:ascii="Times New Roman" w:hAnsi="Times New Roman" w:cs="Times New Roman"/>
        </w:rPr>
        <w:t xml:space="preserve"> [2023] HCA 30 (‘</w:t>
      </w:r>
      <w:proofErr w:type="spellStart"/>
      <w:r w:rsidRPr="00311C8E">
        <w:rPr>
          <w:rFonts w:ascii="Times New Roman" w:hAnsi="Times New Roman" w:cs="Times New Roman"/>
          <w:i/>
          <w:iCs/>
        </w:rPr>
        <w:t>Vanderstock</w:t>
      </w:r>
      <w:proofErr w:type="spellEnd"/>
      <w:r w:rsidRPr="00311C8E">
        <w:rPr>
          <w:rFonts w:ascii="Times New Roman" w:hAnsi="Times New Roman" w:cs="Times New Roman"/>
        </w:rPr>
        <w:t>’)</w:t>
      </w:r>
      <w:r w:rsidRPr="00311C8E">
        <w:rPr>
          <w:rFonts w:ascii="Times New Roman" w:hAnsi="Times New Roman" w:cs="Times New Roman"/>
        </w:rPr>
        <w:tab/>
        <w:t xml:space="preserve"> </w:t>
      </w:r>
    </w:p>
  </w:footnote>
  <w:footnote w:id="2">
    <w:p w14:paraId="7A94AEB1" w14:textId="77777777" w:rsidR="00B70718" w:rsidRPr="00B1777A" w:rsidRDefault="00B70718">
      <w:pPr>
        <w:pStyle w:val="FootnoteText"/>
        <w:rPr>
          <w:rFonts w:ascii="Times New Roman" w:hAnsi="Times New Roman" w:cs="Times New Roman"/>
        </w:rPr>
      </w:pPr>
      <w:r w:rsidRPr="00311C8E">
        <w:rPr>
          <w:rStyle w:val="FootnoteReference"/>
          <w:rFonts w:ascii="Times New Roman" w:hAnsi="Times New Roman" w:cs="Times New Roman"/>
        </w:rPr>
        <w:footnoteRef/>
      </w:r>
      <w:r w:rsidRPr="00311C8E">
        <w:rPr>
          <w:rFonts w:ascii="Times New Roman" w:hAnsi="Times New Roman" w:cs="Times New Roman"/>
        </w:rPr>
        <w:t xml:space="preserve"> </w:t>
      </w:r>
      <w:r w:rsidRPr="00311C8E">
        <w:rPr>
          <w:rFonts w:ascii="Times New Roman" w:hAnsi="Times New Roman" w:cs="Times New Roman"/>
          <w:i/>
          <w:iCs/>
        </w:rPr>
        <w:t>Australian Constitution</w:t>
      </w:r>
      <w:r w:rsidRPr="00311C8E">
        <w:rPr>
          <w:rFonts w:ascii="Times New Roman" w:hAnsi="Times New Roman" w:cs="Times New Roman"/>
        </w:rPr>
        <w:t xml:space="preserve"> s 90.</w:t>
      </w:r>
    </w:p>
  </w:footnote>
  <w:footnote w:id="3">
    <w:p w14:paraId="34FEA4FA" w14:textId="77777777" w:rsidR="00B70718" w:rsidRPr="00B1777A" w:rsidRDefault="00B70718">
      <w:pPr>
        <w:pStyle w:val="FootnoteText"/>
        <w:rPr>
          <w:rFonts w:ascii="Times New Roman" w:hAnsi="Times New Roman" w:cs="Times New Roman"/>
        </w:rPr>
      </w:pPr>
      <w:r w:rsidRPr="00B1777A">
        <w:rPr>
          <w:rStyle w:val="FootnoteReference"/>
          <w:rFonts w:ascii="Times New Roman" w:hAnsi="Times New Roman" w:cs="Times New Roman"/>
        </w:rPr>
        <w:footnoteRef/>
      </w:r>
      <w:r w:rsidRPr="00B1777A">
        <w:rPr>
          <w:rFonts w:ascii="Times New Roman" w:hAnsi="Times New Roman" w:cs="Times New Roman"/>
        </w:rPr>
        <w:t xml:space="preserve"> </w:t>
      </w:r>
      <w:r w:rsidRPr="00B1777A">
        <w:rPr>
          <w:rFonts w:ascii="Times New Roman" w:hAnsi="Times New Roman" w:cs="Times New Roman"/>
          <w:i/>
          <w:iCs/>
        </w:rPr>
        <w:t>Zero and Low Emission Vehicle Distance-based Charge Act 2021</w:t>
      </w:r>
      <w:r w:rsidRPr="00B1777A">
        <w:rPr>
          <w:rFonts w:ascii="Times New Roman" w:hAnsi="Times New Roman" w:cs="Times New Roman"/>
        </w:rPr>
        <w:t xml:space="preserve"> (Vic) ('ZLEV Act').</w:t>
      </w:r>
    </w:p>
  </w:footnote>
  <w:footnote w:id="4">
    <w:p w14:paraId="280BDB38" w14:textId="77777777" w:rsidR="00B70718" w:rsidRPr="00B1777A" w:rsidRDefault="00B70718">
      <w:pPr>
        <w:pStyle w:val="FootnoteText"/>
        <w:rPr>
          <w:rFonts w:ascii="Times New Roman" w:hAnsi="Times New Roman" w:cs="Times New Roman"/>
        </w:rPr>
      </w:pPr>
      <w:r w:rsidRPr="00B1777A">
        <w:rPr>
          <w:rStyle w:val="FootnoteReference"/>
          <w:rFonts w:ascii="Times New Roman" w:hAnsi="Times New Roman" w:cs="Times New Roman"/>
        </w:rPr>
        <w:footnoteRef/>
      </w:r>
      <w:r w:rsidRPr="00B1777A">
        <w:rPr>
          <w:rFonts w:ascii="Times New Roman" w:hAnsi="Times New Roman" w:cs="Times New Roman"/>
        </w:rPr>
        <w:t xml:space="preserve"> </w:t>
      </w:r>
      <w:r w:rsidRPr="00B1777A">
        <w:rPr>
          <w:rFonts w:ascii="Times New Roman" w:hAnsi="Times New Roman" w:cs="Times New Roman"/>
          <w:i/>
          <w:iCs/>
        </w:rPr>
        <w:t>Dickenson's Arcade Pty Ltd v Tasmania</w:t>
      </w:r>
      <w:r w:rsidRPr="00B1777A">
        <w:rPr>
          <w:rFonts w:ascii="Times New Roman" w:hAnsi="Times New Roman" w:cs="Times New Roman"/>
        </w:rPr>
        <w:t xml:space="preserve"> (1974) 130 CLR 177.</w:t>
      </w:r>
    </w:p>
  </w:footnote>
  <w:footnote w:id="5">
    <w:p w14:paraId="69E5C95C" w14:textId="77777777" w:rsidR="00B70718" w:rsidRPr="00EB6390" w:rsidRDefault="00B70718">
      <w:pPr>
        <w:pStyle w:val="FootnoteText"/>
        <w:rPr>
          <w:rFonts w:ascii="Times New Roman" w:hAnsi="Times New Roman" w:cs="Times New Roman"/>
        </w:rPr>
      </w:pPr>
      <w:r w:rsidRPr="00B1777A">
        <w:rPr>
          <w:rStyle w:val="FootnoteReference"/>
          <w:rFonts w:ascii="Times New Roman" w:hAnsi="Times New Roman" w:cs="Times New Roman"/>
        </w:rPr>
        <w:footnoteRef/>
      </w:r>
      <w:r w:rsidRPr="00B1777A">
        <w:rPr>
          <w:rFonts w:ascii="Times New Roman" w:hAnsi="Times New Roman" w:cs="Times New Roman"/>
        </w:rPr>
        <w:t xml:space="preserve"> </w:t>
      </w:r>
      <w:r w:rsidRPr="00EB6390">
        <w:rPr>
          <w:rFonts w:ascii="Times New Roman" w:hAnsi="Times New Roman" w:cs="Times New Roman"/>
          <w:i/>
          <w:iCs/>
        </w:rPr>
        <w:t>Capital Duplicators Pty Ltd v Australian Capital Territory [No 2]</w:t>
      </w:r>
      <w:r w:rsidRPr="00EB6390">
        <w:rPr>
          <w:rFonts w:ascii="Times New Roman" w:hAnsi="Times New Roman" w:cs="Times New Roman"/>
        </w:rPr>
        <w:t xml:space="preserve"> (1993) 178 CLR 561 ('</w:t>
      </w:r>
      <w:r w:rsidRPr="00EB6390">
        <w:rPr>
          <w:rFonts w:ascii="Times New Roman" w:hAnsi="Times New Roman" w:cs="Times New Roman"/>
          <w:i/>
          <w:iCs/>
        </w:rPr>
        <w:t>Capital Duplicators [No 2]</w:t>
      </w:r>
      <w:r w:rsidRPr="00EB6390">
        <w:rPr>
          <w:rFonts w:ascii="Times New Roman" w:hAnsi="Times New Roman" w:cs="Times New Roman"/>
        </w:rPr>
        <w:t>').</w:t>
      </w:r>
    </w:p>
  </w:footnote>
  <w:footnote w:id="6">
    <w:p w14:paraId="2F6ABC58" w14:textId="77777777" w:rsidR="00B70718" w:rsidRPr="00EB6390" w:rsidRDefault="00B70718">
      <w:pPr>
        <w:pStyle w:val="FootnoteText"/>
        <w:rPr>
          <w:rFonts w:ascii="Times New Roman" w:hAnsi="Times New Roman" w:cs="Times New Roman"/>
        </w:rPr>
      </w:pPr>
      <w:r w:rsidRPr="00EB6390">
        <w:rPr>
          <w:rStyle w:val="FootnoteReference"/>
          <w:rFonts w:ascii="Times New Roman" w:hAnsi="Times New Roman" w:cs="Times New Roman"/>
        </w:rPr>
        <w:footnoteRef/>
      </w:r>
      <w:r w:rsidRPr="00EB6390">
        <w:rPr>
          <w:rFonts w:ascii="Times New Roman" w:hAnsi="Times New Roman" w:cs="Times New Roman"/>
        </w:rPr>
        <w:t xml:space="preserve"> </w:t>
      </w:r>
      <w:r w:rsidRPr="00EB6390">
        <w:rPr>
          <w:rFonts w:ascii="Times New Roman" w:hAnsi="Times New Roman" w:cs="Times New Roman"/>
          <w:i/>
          <w:iCs/>
        </w:rPr>
        <w:t>Ha v New South Wales</w:t>
      </w:r>
      <w:r w:rsidRPr="00EB6390">
        <w:rPr>
          <w:rFonts w:ascii="Times New Roman" w:hAnsi="Times New Roman" w:cs="Times New Roman"/>
        </w:rPr>
        <w:t xml:space="preserve"> (1997) 189 CLR 465 ('</w:t>
      </w:r>
      <w:r w:rsidRPr="00EB6390">
        <w:rPr>
          <w:rFonts w:ascii="Times New Roman" w:hAnsi="Times New Roman" w:cs="Times New Roman"/>
          <w:i/>
          <w:iCs/>
        </w:rPr>
        <w:t>Ha</w:t>
      </w:r>
      <w:r w:rsidRPr="00EB6390">
        <w:rPr>
          <w:rFonts w:ascii="Times New Roman" w:hAnsi="Times New Roman" w:cs="Times New Roman"/>
        </w:rPr>
        <w:t>').</w:t>
      </w:r>
    </w:p>
  </w:footnote>
  <w:footnote w:id="7">
    <w:p w14:paraId="2CC8415B" w14:textId="77777777" w:rsidR="00B70718" w:rsidRPr="00EB6390" w:rsidRDefault="00B70718">
      <w:pPr>
        <w:pStyle w:val="FootnoteText"/>
        <w:rPr>
          <w:rFonts w:ascii="Times New Roman" w:hAnsi="Times New Roman" w:cs="Times New Roman"/>
        </w:rPr>
      </w:pPr>
      <w:r w:rsidRPr="00EB6390">
        <w:rPr>
          <w:rStyle w:val="FootnoteReference"/>
          <w:rFonts w:ascii="Times New Roman" w:hAnsi="Times New Roman" w:cs="Times New Roman"/>
        </w:rPr>
        <w:footnoteRef/>
      </w:r>
      <w:r w:rsidRPr="00EB6390">
        <w:rPr>
          <w:rFonts w:ascii="Times New Roman" w:hAnsi="Times New Roman" w:cs="Times New Roman"/>
        </w:rPr>
        <w:t xml:space="preserve"> </w:t>
      </w:r>
      <w:proofErr w:type="spellStart"/>
      <w:r w:rsidRPr="00EB6390">
        <w:rPr>
          <w:rFonts w:ascii="Times New Roman" w:hAnsi="Times New Roman" w:cs="Times New Roman"/>
          <w:i/>
          <w:iCs/>
        </w:rPr>
        <w:t>Vanderstock</w:t>
      </w:r>
      <w:proofErr w:type="spellEnd"/>
      <w:r w:rsidRPr="00EB6390">
        <w:rPr>
          <w:rFonts w:ascii="Times New Roman" w:hAnsi="Times New Roman" w:cs="Times New Roman"/>
        </w:rPr>
        <w:t xml:space="preserve"> (n 1) [2] (Kiefel CJ, Gageler, Keane, Gordon and Steward JJ).</w:t>
      </w:r>
    </w:p>
  </w:footnote>
  <w:footnote w:id="8">
    <w:p w14:paraId="197FFB2E" w14:textId="77777777" w:rsidR="00B70718" w:rsidRPr="00EB6390" w:rsidRDefault="00B70718">
      <w:pPr>
        <w:pStyle w:val="FootnoteText"/>
        <w:rPr>
          <w:rFonts w:ascii="Times New Roman" w:hAnsi="Times New Roman" w:cs="Times New Roman"/>
        </w:rPr>
      </w:pPr>
      <w:r w:rsidRPr="00EB6390">
        <w:rPr>
          <w:rStyle w:val="FootnoteReference"/>
          <w:rFonts w:ascii="Times New Roman" w:hAnsi="Times New Roman" w:cs="Times New Roman"/>
        </w:rPr>
        <w:footnoteRef/>
      </w:r>
      <w:r w:rsidRPr="00EB6390">
        <w:rPr>
          <w:rFonts w:ascii="Times New Roman" w:hAnsi="Times New Roman" w:cs="Times New Roman"/>
        </w:rPr>
        <w:t xml:space="preserve"> Ibid.</w:t>
      </w:r>
    </w:p>
  </w:footnote>
  <w:footnote w:id="9">
    <w:p w14:paraId="5DD3D340" w14:textId="77777777" w:rsidR="00B70718" w:rsidRPr="00EB6390" w:rsidRDefault="00B70718">
      <w:pPr>
        <w:pStyle w:val="FootnoteText"/>
        <w:rPr>
          <w:rFonts w:ascii="Times New Roman" w:hAnsi="Times New Roman" w:cs="Times New Roman"/>
        </w:rPr>
      </w:pPr>
      <w:r w:rsidRPr="00EB6390">
        <w:rPr>
          <w:rStyle w:val="FootnoteReference"/>
          <w:rFonts w:ascii="Times New Roman" w:hAnsi="Times New Roman" w:cs="Times New Roman"/>
        </w:rPr>
        <w:footnoteRef/>
      </w:r>
      <w:r w:rsidRPr="00EB6390">
        <w:rPr>
          <w:rFonts w:ascii="Times New Roman" w:hAnsi="Times New Roman" w:cs="Times New Roman"/>
        </w:rPr>
        <w:t xml:space="preserve"> ZLEV Act (n 3) s 7(1). See also </w:t>
      </w:r>
      <w:proofErr w:type="spellStart"/>
      <w:r w:rsidRPr="00EB6390">
        <w:rPr>
          <w:rFonts w:ascii="Times New Roman" w:hAnsi="Times New Roman" w:cs="Times New Roman"/>
          <w:i/>
          <w:iCs/>
        </w:rPr>
        <w:t>Vanderstock</w:t>
      </w:r>
      <w:proofErr w:type="spellEnd"/>
      <w:r w:rsidRPr="00EB6390">
        <w:rPr>
          <w:rFonts w:ascii="Times New Roman" w:hAnsi="Times New Roman" w:cs="Times New Roman"/>
        </w:rPr>
        <w:t xml:space="preserve"> (n 1).</w:t>
      </w:r>
    </w:p>
  </w:footnote>
  <w:footnote w:id="10">
    <w:p w14:paraId="225C194A" w14:textId="77777777" w:rsidR="00B70718" w:rsidRPr="00EB6390" w:rsidRDefault="00B70718">
      <w:pPr>
        <w:pStyle w:val="FootnoteText"/>
        <w:rPr>
          <w:rFonts w:ascii="Times New Roman" w:hAnsi="Times New Roman" w:cs="Times New Roman"/>
        </w:rPr>
      </w:pPr>
      <w:r w:rsidRPr="00EB6390">
        <w:rPr>
          <w:rStyle w:val="FootnoteReference"/>
          <w:rFonts w:ascii="Times New Roman" w:hAnsi="Times New Roman" w:cs="Times New Roman"/>
        </w:rPr>
        <w:footnoteRef/>
      </w:r>
      <w:r w:rsidRPr="00EB6390">
        <w:rPr>
          <w:rFonts w:ascii="Times New Roman" w:hAnsi="Times New Roman" w:cs="Times New Roman"/>
        </w:rPr>
        <w:t xml:space="preserve"> ZLEV Act (n 3) s 3(1) (definition of 'specified roads'). See also </w:t>
      </w:r>
      <w:proofErr w:type="spellStart"/>
      <w:r w:rsidRPr="00EB6390">
        <w:rPr>
          <w:rFonts w:ascii="Times New Roman" w:hAnsi="Times New Roman" w:cs="Times New Roman"/>
          <w:i/>
          <w:iCs/>
        </w:rPr>
        <w:t>Vanderstock</w:t>
      </w:r>
      <w:proofErr w:type="spellEnd"/>
      <w:r w:rsidRPr="00EB6390">
        <w:rPr>
          <w:rFonts w:ascii="Times New Roman" w:hAnsi="Times New Roman" w:cs="Times New Roman"/>
        </w:rPr>
        <w:t xml:space="preserve"> (n 1).</w:t>
      </w:r>
    </w:p>
    <w:p w14:paraId="4242F9F5" w14:textId="77777777" w:rsidR="00B70718" w:rsidRDefault="00B70718">
      <w:pPr>
        <w:pStyle w:val="FootnoteText"/>
      </w:pPr>
    </w:p>
  </w:footnote>
  <w:footnote w:id="11">
    <w:p w14:paraId="1E7C102F"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ZLEV Act (n 3) ss 7(1), 8. See also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w:t>
      </w:r>
    </w:p>
  </w:footnote>
  <w:footnote w:id="12">
    <w:p w14:paraId="1885AF4C"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ZLEV Act (n 3) s 9. See also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w:t>
      </w:r>
    </w:p>
  </w:footnote>
  <w:footnote w:id="13">
    <w:p w14:paraId="5BA2B061"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ZLEV Act (n 3) s 9(3). </w:t>
      </w:r>
    </w:p>
  </w:footnote>
  <w:footnote w:id="14">
    <w:p w14:paraId="0B5554CE"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 s 9(4).</w:t>
      </w:r>
    </w:p>
  </w:footnote>
  <w:footnote w:id="15">
    <w:p w14:paraId="63A314F6"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ZLEV Act (n 3) ss 14, 17. See also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w:t>
      </w:r>
    </w:p>
  </w:footnote>
  <w:footnote w:id="16">
    <w:p w14:paraId="02680F11"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[14] (Kiefel CJ, Gageler, Keane, Gordon and Steward JJ).</w:t>
      </w:r>
    </w:p>
  </w:footnote>
  <w:footnote w:id="17">
    <w:p w14:paraId="6D16AFA7"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18">
    <w:p w14:paraId="1A5D8785"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ZLEV Act (n 3) s 7(1); </w:t>
      </w:r>
      <w:r w:rsidRPr="00854C3B">
        <w:rPr>
          <w:rFonts w:ascii="Times New Roman" w:hAnsi="Times New Roman" w:cs="Times New Roman"/>
          <w:i/>
          <w:iCs/>
        </w:rPr>
        <w:t>Australian Constitution</w:t>
      </w:r>
      <w:r w:rsidRPr="00854C3B">
        <w:rPr>
          <w:rFonts w:ascii="Times New Roman" w:hAnsi="Times New Roman" w:cs="Times New Roman"/>
        </w:rPr>
        <w:t xml:space="preserve"> s 90.</w:t>
      </w:r>
    </w:p>
  </w:footnote>
  <w:footnote w:id="19">
    <w:p w14:paraId="1124A84D"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[1] (Kiefel CJ, Gageler, Keane, Gordon and Steward JJ).</w:t>
      </w:r>
    </w:p>
  </w:footnote>
  <w:footnote w:id="20">
    <w:p w14:paraId="4659412D"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21">
    <w:p w14:paraId="692645D2"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r w:rsidRPr="00854C3B">
        <w:rPr>
          <w:rFonts w:ascii="Times New Roman" w:hAnsi="Times New Roman" w:cs="Times New Roman"/>
          <w:i/>
          <w:iCs/>
        </w:rPr>
        <w:t>Capital Duplicators [No 2]</w:t>
      </w:r>
      <w:r w:rsidRPr="00854C3B">
        <w:rPr>
          <w:rFonts w:ascii="Times New Roman" w:hAnsi="Times New Roman" w:cs="Times New Roman"/>
        </w:rPr>
        <w:t xml:space="preserve"> (n 5)</w:t>
      </w:r>
      <w:r>
        <w:rPr>
          <w:rFonts w:ascii="Times New Roman" w:hAnsi="Times New Roman" w:cs="Times New Roman"/>
        </w:rPr>
        <w:t>.</w:t>
      </w:r>
    </w:p>
  </w:footnote>
  <w:footnote w:id="22">
    <w:p w14:paraId="7C516765"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r w:rsidRPr="00854C3B">
        <w:rPr>
          <w:rFonts w:ascii="Times New Roman" w:hAnsi="Times New Roman" w:cs="Times New Roman"/>
          <w:i/>
          <w:iCs/>
        </w:rPr>
        <w:t>Capital Duplicators [No 2]</w:t>
      </w:r>
      <w:r w:rsidRPr="00854C3B">
        <w:rPr>
          <w:rFonts w:ascii="Times New Roman" w:hAnsi="Times New Roman" w:cs="Times New Roman"/>
        </w:rPr>
        <w:t xml:space="preserve"> (n 5) (Mason CJ, Brennan, Deane and McHugh JJ); </w:t>
      </w:r>
      <w:r w:rsidRPr="00854C3B">
        <w:rPr>
          <w:rFonts w:ascii="Times New Roman" w:hAnsi="Times New Roman" w:cs="Times New Roman"/>
          <w:i/>
          <w:iCs/>
        </w:rPr>
        <w:t>Ha</w:t>
      </w:r>
      <w:r w:rsidRPr="00854C3B">
        <w:rPr>
          <w:rFonts w:ascii="Times New Roman" w:hAnsi="Times New Roman" w:cs="Times New Roman"/>
        </w:rPr>
        <w:t xml:space="preserve"> (n 6) (Brennan CJ, McHugh, Gummow and Kirby JJ).</w:t>
      </w:r>
    </w:p>
  </w:footnote>
  <w:footnote w:id="23">
    <w:p w14:paraId="59F8934A"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r w:rsidRPr="0097436E">
        <w:rPr>
          <w:rFonts w:ascii="Times New Roman" w:hAnsi="Times New Roman" w:cs="Times New Roman"/>
        </w:rPr>
        <w:t xml:space="preserve">Capital Duplicators [No 2] (n 5); </w:t>
      </w:r>
      <w:r w:rsidRPr="0097436E">
        <w:rPr>
          <w:rFonts w:ascii="Times New Roman" w:hAnsi="Times New Roman" w:cs="Times New Roman"/>
          <w:i/>
          <w:iCs/>
        </w:rPr>
        <w:t>Ha</w:t>
      </w:r>
      <w:r w:rsidRPr="0097436E">
        <w:rPr>
          <w:rFonts w:ascii="Times New Roman" w:hAnsi="Times New Roman" w:cs="Times New Roman"/>
        </w:rPr>
        <w:t xml:space="preserve"> (n 6) (Brennan CJ, McHugh, Gummow and Kirby JJ)</w:t>
      </w:r>
      <w:r w:rsidRPr="00854C3B">
        <w:rPr>
          <w:rFonts w:ascii="Times New Roman" w:hAnsi="Times New Roman" w:cs="Times New Roman"/>
        </w:rPr>
        <w:t>.</w:t>
      </w:r>
    </w:p>
  </w:footnote>
  <w:footnote w:id="24">
    <w:p w14:paraId="303752A1"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w:t>
      </w:r>
    </w:p>
  </w:footnote>
  <w:footnote w:id="25">
    <w:p w14:paraId="5569AEAC"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26">
    <w:p w14:paraId="525EE190"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27">
    <w:p w14:paraId="1D002C6E"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28">
    <w:p w14:paraId="2AB526A5"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w:t>
      </w:r>
      <w:r>
        <w:rPr>
          <w:rFonts w:ascii="Times New Roman" w:hAnsi="Times New Roman" w:cs="Times New Roman"/>
        </w:rPr>
        <w:t>.</w:t>
      </w:r>
    </w:p>
  </w:footnote>
  <w:footnote w:id="29">
    <w:p w14:paraId="029841A4"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30">
    <w:p w14:paraId="261ADED0"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 See also </w:t>
      </w:r>
      <w:r w:rsidRPr="00854C3B">
        <w:rPr>
          <w:rFonts w:ascii="Times New Roman" w:hAnsi="Times New Roman" w:cs="Times New Roman"/>
          <w:i/>
          <w:iCs/>
        </w:rPr>
        <w:t>Capital Duplicators [No 2]</w:t>
      </w:r>
      <w:r w:rsidRPr="00854C3B">
        <w:rPr>
          <w:rFonts w:ascii="Times New Roman" w:hAnsi="Times New Roman" w:cs="Times New Roman"/>
        </w:rPr>
        <w:t xml:space="preserve"> (n 5); </w:t>
      </w:r>
      <w:r w:rsidRPr="00854C3B">
        <w:rPr>
          <w:rFonts w:ascii="Times New Roman" w:hAnsi="Times New Roman" w:cs="Times New Roman"/>
          <w:i/>
          <w:iCs/>
        </w:rPr>
        <w:t>Ha</w:t>
      </w:r>
      <w:r w:rsidRPr="00854C3B">
        <w:rPr>
          <w:rFonts w:ascii="Times New Roman" w:hAnsi="Times New Roman" w:cs="Times New Roman"/>
        </w:rPr>
        <w:t xml:space="preserve"> (n 6) (Brennan CJ, McHugh, Gummow and Kirby JJ).</w:t>
      </w:r>
    </w:p>
  </w:footnote>
  <w:footnote w:id="31">
    <w:p w14:paraId="6FE287CF"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(Kiefel CJ, Gageler, Keane, Gordon and Steward JJ).</w:t>
      </w:r>
    </w:p>
  </w:footnote>
  <w:footnote w:id="32">
    <w:p w14:paraId="60811485"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33">
    <w:p w14:paraId="52FD29FA"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34">
    <w:p w14:paraId="554038BB"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35">
    <w:p w14:paraId="1BCD40C4"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r w:rsidRPr="0097436E">
        <w:rPr>
          <w:rFonts w:ascii="Times New Roman" w:hAnsi="Times New Roman" w:cs="Times New Roman"/>
          <w:i/>
          <w:iCs/>
        </w:rPr>
        <w:t>Dickenson's Arcade Pty Ltd v Tasmania</w:t>
      </w:r>
      <w:r w:rsidRPr="0097436E">
        <w:rPr>
          <w:rFonts w:ascii="Times New Roman" w:hAnsi="Times New Roman" w:cs="Times New Roman"/>
        </w:rPr>
        <w:t xml:space="preserve"> (n 4) (Barwick CJ).</w:t>
      </w:r>
    </w:p>
  </w:footnote>
  <w:footnote w:id="36">
    <w:p w14:paraId="2C3A6915"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(Kiefel CJ, Gageler, Keane and Gordon JJ).</w:t>
      </w:r>
    </w:p>
  </w:footnote>
  <w:footnote w:id="37">
    <w:p w14:paraId="57DE2837"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38">
    <w:p w14:paraId="00B99ACE"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 See </w:t>
      </w:r>
      <w:r w:rsidRPr="00854C3B">
        <w:rPr>
          <w:rFonts w:ascii="Times New Roman" w:hAnsi="Times New Roman" w:cs="Times New Roman"/>
          <w:i/>
          <w:iCs/>
        </w:rPr>
        <w:t>Dickenson's Arcade Pty Ltd v Tasmania</w:t>
      </w:r>
      <w:r w:rsidRPr="00854C3B">
        <w:rPr>
          <w:rFonts w:ascii="Times New Roman" w:hAnsi="Times New Roman" w:cs="Times New Roman"/>
        </w:rPr>
        <w:t xml:space="preserve"> (n 4).</w:t>
      </w:r>
    </w:p>
  </w:footnote>
  <w:footnote w:id="39">
    <w:p w14:paraId="6B7475A0"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(Kiefel CJ, Gageler, Keane and Gordon JJ).</w:t>
      </w:r>
    </w:p>
  </w:footnote>
  <w:footnote w:id="40">
    <w:p w14:paraId="6DD15C15"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41">
    <w:p w14:paraId="13C678A9"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42">
    <w:p w14:paraId="400F9594"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43">
    <w:p w14:paraId="30EA32B9"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44">
    <w:p w14:paraId="23A8A286"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45">
    <w:p w14:paraId="176FB4D1"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Peterswald</w:t>
      </w:r>
      <w:proofErr w:type="spellEnd"/>
      <w:r w:rsidRPr="00854C3B">
        <w:rPr>
          <w:rFonts w:ascii="Times New Roman" w:hAnsi="Times New Roman" w:cs="Times New Roman"/>
          <w:i/>
          <w:iCs/>
        </w:rPr>
        <w:t xml:space="preserve"> v Bartley</w:t>
      </w:r>
      <w:r w:rsidRPr="00854C3B">
        <w:rPr>
          <w:rFonts w:ascii="Times New Roman" w:hAnsi="Times New Roman" w:cs="Times New Roman"/>
        </w:rPr>
        <w:t xml:space="preserve"> (1904) 1 CLR 497.</w:t>
      </w:r>
    </w:p>
  </w:footnote>
  <w:footnote w:id="46">
    <w:p w14:paraId="33786A01"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(Steward J). See </w:t>
      </w:r>
      <w:r w:rsidRPr="00854C3B">
        <w:rPr>
          <w:rFonts w:ascii="Times New Roman" w:hAnsi="Times New Roman" w:cs="Times New Roman"/>
          <w:i/>
          <w:iCs/>
        </w:rPr>
        <w:t>Ha</w:t>
      </w:r>
      <w:r w:rsidRPr="00854C3B">
        <w:rPr>
          <w:rFonts w:ascii="Times New Roman" w:hAnsi="Times New Roman" w:cs="Times New Roman"/>
        </w:rPr>
        <w:t xml:space="preserve"> (n 6) (Dawson J dissenting).</w:t>
      </w:r>
    </w:p>
  </w:footnote>
  <w:footnote w:id="47">
    <w:p w14:paraId="2D87650F"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(Steward J).</w:t>
      </w:r>
    </w:p>
  </w:footnote>
  <w:footnote w:id="48">
    <w:p w14:paraId="3E3CA8DF"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 (Kiefel CJ, Gageler, Keane and Gordon JJ).</w:t>
      </w:r>
    </w:p>
  </w:footnote>
  <w:footnote w:id="49">
    <w:p w14:paraId="3827443C"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w:t>
      </w:r>
      <w:proofErr w:type="gramStart"/>
      <w:r w:rsidRPr="00854C3B">
        <w:rPr>
          <w:rFonts w:ascii="Times New Roman" w:hAnsi="Times New Roman" w:cs="Times New Roman"/>
        </w:rPr>
        <w:t>)  (</w:t>
      </w:r>
      <w:proofErr w:type="gramEnd"/>
      <w:r w:rsidRPr="00854C3B">
        <w:rPr>
          <w:rFonts w:ascii="Times New Roman" w:hAnsi="Times New Roman" w:cs="Times New Roman"/>
        </w:rPr>
        <w:t>Kiefel CJ, Gageler, Keane and Gordon JJ).</w:t>
      </w:r>
    </w:p>
  </w:footnote>
  <w:footnote w:id="50">
    <w:p w14:paraId="557187BD"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51">
    <w:p w14:paraId="7F71449C"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52">
    <w:p w14:paraId="3762048A"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53">
    <w:p w14:paraId="46550351"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w:t>
      </w:r>
      <w:proofErr w:type="spellStart"/>
      <w:r w:rsidRPr="00854C3B">
        <w:rPr>
          <w:rFonts w:ascii="Times New Roman" w:hAnsi="Times New Roman" w:cs="Times New Roman"/>
          <w:i/>
          <w:iCs/>
        </w:rPr>
        <w:t>Vanderstock</w:t>
      </w:r>
      <w:proofErr w:type="spellEnd"/>
      <w:r w:rsidRPr="00854C3B">
        <w:rPr>
          <w:rFonts w:ascii="Times New Roman" w:hAnsi="Times New Roman" w:cs="Times New Roman"/>
        </w:rPr>
        <w:t xml:space="preserve"> (n 1) (Kiefel CJ, Gageler, Keane and Gordon JJ).</w:t>
      </w:r>
    </w:p>
  </w:footnote>
  <w:footnote w:id="54">
    <w:p w14:paraId="466D0474" w14:textId="77777777" w:rsidR="00B70718" w:rsidRPr="00854C3B" w:rsidRDefault="00B70718">
      <w:pPr>
        <w:pStyle w:val="FootnoteText"/>
        <w:rPr>
          <w:rFonts w:ascii="Times New Roman" w:hAnsi="Times New Roman" w:cs="Times New Roman"/>
        </w:rPr>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 w:id="55">
    <w:p w14:paraId="5F50C1A9" w14:textId="77777777" w:rsidR="00B70718" w:rsidRDefault="00B70718">
      <w:pPr>
        <w:pStyle w:val="FootnoteText"/>
      </w:pPr>
      <w:r w:rsidRPr="00854C3B">
        <w:rPr>
          <w:rStyle w:val="FootnoteReference"/>
          <w:rFonts w:ascii="Times New Roman" w:hAnsi="Times New Roman" w:cs="Times New Roman"/>
        </w:rPr>
        <w:footnoteRef/>
      </w:r>
      <w:r w:rsidRPr="00854C3B">
        <w:rPr>
          <w:rFonts w:ascii="Times New Roman" w:hAnsi="Times New Roman" w:cs="Times New Roman"/>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7E3E"/>
    <w:rsid w:val="00147DC9"/>
    <w:rsid w:val="00166E10"/>
    <w:rsid w:val="00175486"/>
    <w:rsid w:val="001854F0"/>
    <w:rsid w:val="001A3BD0"/>
    <w:rsid w:val="001B7DFD"/>
    <w:rsid w:val="001C6A9D"/>
    <w:rsid w:val="001F059D"/>
    <w:rsid w:val="001F21E4"/>
    <w:rsid w:val="001F7F8C"/>
    <w:rsid w:val="00200FBB"/>
    <w:rsid w:val="0021596B"/>
    <w:rsid w:val="00220042"/>
    <w:rsid w:val="0023078B"/>
    <w:rsid w:val="00235853"/>
    <w:rsid w:val="00240E95"/>
    <w:rsid w:val="00241065"/>
    <w:rsid w:val="00262BED"/>
    <w:rsid w:val="0027444B"/>
    <w:rsid w:val="00285268"/>
    <w:rsid w:val="00294CA4"/>
    <w:rsid w:val="002D6AA4"/>
    <w:rsid w:val="002F23C0"/>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31BB6"/>
    <w:rsid w:val="005468CD"/>
    <w:rsid w:val="00553DD0"/>
    <w:rsid w:val="00564DFA"/>
    <w:rsid w:val="00571DCD"/>
    <w:rsid w:val="00580005"/>
    <w:rsid w:val="00580B86"/>
    <w:rsid w:val="0058507A"/>
    <w:rsid w:val="00596E11"/>
    <w:rsid w:val="005A2FB7"/>
    <w:rsid w:val="005A6F4D"/>
    <w:rsid w:val="005D092F"/>
    <w:rsid w:val="005E1FFE"/>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15AC"/>
    <w:rsid w:val="00843BE6"/>
    <w:rsid w:val="0085433B"/>
    <w:rsid w:val="00886C98"/>
    <w:rsid w:val="00892E13"/>
    <w:rsid w:val="00893441"/>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76DED"/>
    <w:rsid w:val="009929D2"/>
    <w:rsid w:val="00997C34"/>
    <w:rsid w:val="009C531C"/>
    <w:rsid w:val="009D06C6"/>
    <w:rsid w:val="009E1A7D"/>
    <w:rsid w:val="00A01517"/>
    <w:rsid w:val="00A03A12"/>
    <w:rsid w:val="00A0638E"/>
    <w:rsid w:val="00A502FB"/>
    <w:rsid w:val="00A540EA"/>
    <w:rsid w:val="00A830C0"/>
    <w:rsid w:val="00A8627A"/>
    <w:rsid w:val="00A97FC9"/>
    <w:rsid w:val="00AA3760"/>
    <w:rsid w:val="00AA67FB"/>
    <w:rsid w:val="00AA6A96"/>
    <w:rsid w:val="00AD2504"/>
    <w:rsid w:val="00B02D14"/>
    <w:rsid w:val="00B15DDE"/>
    <w:rsid w:val="00B33213"/>
    <w:rsid w:val="00B46C49"/>
    <w:rsid w:val="00B70718"/>
    <w:rsid w:val="00B832BA"/>
    <w:rsid w:val="00B868C3"/>
    <w:rsid w:val="00B97C02"/>
    <w:rsid w:val="00BA00F7"/>
    <w:rsid w:val="00BA6609"/>
    <w:rsid w:val="00BB66EB"/>
    <w:rsid w:val="00BC443F"/>
    <w:rsid w:val="00BC60C0"/>
    <w:rsid w:val="00BC6547"/>
    <w:rsid w:val="00BD62C4"/>
    <w:rsid w:val="00BE5553"/>
    <w:rsid w:val="00C00C1E"/>
    <w:rsid w:val="00C41993"/>
    <w:rsid w:val="00C63EA7"/>
    <w:rsid w:val="00C65049"/>
    <w:rsid w:val="00C8782D"/>
    <w:rsid w:val="00C94C21"/>
    <w:rsid w:val="00CB7B0F"/>
    <w:rsid w:val="00CE2659"/>
    <w:rsid w:val="00CE5FE5"/>
    <w:rsid w:val="00D1061C"/>
    <w:rsid w:val="00D30760"/>
    <w:rsid w:val="00D5782C"/>
    <w:rsid w:val="00D67988"/>
    <w:rsid w:val="00D74462"/>
    <w:rsid w:val="00D75D0F"/>
    <w:rsid w:val="00D774EF"/>
    <w:rsid w:val="00D94C07"/>
    <w:rsid w:val="00DC1F28"/>
    <w:rsid w:val="00DE365C"/>
    <w:rsid w:val="00DE7698"/>
    <w:rsid w:val="00DF314C"/>
    <w:rsid w:val="00DF4E71"/>
    <w:rsid w:val="00E00CF1"/>
    <w:rsid w:val="00E0232C"/>
    <w:rsid w:val="00E030D6"/>
    <w:rsid w:val="00E160C6"/>
    <w:rsid w:val="00E179B4"/>
    <w:rsid w:val="00E23ACE"/>
    <w:rsid w:val="00E35F81"/>
    <w:rsid w:val="00E45958"/>
    <w:rsid w:val="00E6116E"/>
    <w:rsid w:val="00E6236F"/>
    <w:rsid w:val="00E660C7"/>
    <w:rsid w:val="00E95486"/>
    <w:rsid w:val="00EC40F3"/>
    <w:rsid w:val="00EF6D7D"/>
    <w:rsid w:val="00EF7F99"/>
    <w:rsid w:val="00F05EA0"/>
    <w:rsid w:val="00F1081F"/>
    <w:rsid w:val="00F15FF2"/>
    <w:rsid w:val="00F166DC"/>
    <w:rsid w:val="00F22977"/>
    <w:rsid w:val="00F3602A"/>
    <w:rsid w:val="00F43F04"/>
    <w:rsid w:val="00F52A96"/>
    <w:rsid w:val="00F6794E"/>
    <w:rsid w:val="00F73151"/>
    <w:rsid w:val="00F74AD5"/>
    <w:rsid w:val="00F76D99"/>
    <w:rsid w:val="00F772BB"/>
    <w:rsid w:val="00F81255"/>
    <w:rsid w:val="00F84D64"/>
    <w:rsid w:val="00F972AD"/>
    <w:rsid w:val="00FA4988"/>
    <w:rsid w:val="00FA4E12"/>
    <w:rsid w:val="00FA6FB5"/>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semiHidden/>
    <w:unhideWhenUsed/>
    <w:rsid w:val="00B70718"/>
    <w:pPr>
      <w:spacing w:after="0" w:line="240" w:lineRule="auto"/>
    </w:pPr>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B70718"/>
    <w:rPr>
      <w:kern w:val="2"/>
      <w:sz w:val="20"/>
      <w:szCs w:val="20"/>
      <w14:ligatures w14:val="standardContextual"/>
    </w:rPr>
  </w:style>
  <w:style w:type="character" w:styleId="FootnoteReference">
    <w:name w:val="footnote reference"/>
    <w:basedOn w:val="DefaultParagraphFont"/>
    <w:uiPriority w:val="99"/>
    <w:semiHidden/>
    <w:unhideWhenUsed/>
    <w:rsid w:val="00B707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Monica Danielle Arucan</cp:lastModifiedBy>
  <cp:revision>3</cp:revision>
  <dcterms:created xsi:type="dcterms:W3CDTF">2026-07-29T04:31:00Z</dcterms:created>
  <dcterms:modified xsi:type="dcterms:W3CDTF">2026-08-09T14:54:00Z</dcterms:modified>
</cp:coreProperties>
</file>