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2433" w:rsidRPr="009F11ED" w:rsidRDefault="00602433">
      <w:pPr>
        <w:rPr>
          <w:rFonts w:ascii="Arial" w:hAnsi="Arial" w:cs="Arial"/>
          <w:lang w:val="es-CO"/>
        </w:rPr>
      </w:pPr>
      <w:r w:rsidRPr="009F11ED">
        <w:rPr>
          <w:rFonts w:ascii="Arial" w:hAnsi="Arial" w:cs="Arial"/>
          <w:lang w:val="es-CO"/>
        </w:rPr>
        <w:t>Señores</w:t>
      </w:r>
    </w:p>
    <w:p w:rsidR="00602433" w:rsidRPr="009F11ED" w:rsidRDefault="00602433">
      <w:pPr>
        <w:rPr>
          <w:rFonts w:ascii="Arial" w:hAnsi="Arial" w:cs="Arial"/>
          <w:lang w:val="es-CO"/>
        </w:rPr>
      </w:pPr>
    </w:p>
    <w:p w:rsidR="00193930" w:rsidRPr="009F11ED" w:rsidRDefault="008A5530">
      <w:pPr>
        <w:rPr>
          <w:rFonts w:ascii="Arial" w:hAnsi="Arial" w:cs="Arial"/>
          <w:lang w:val="es-CO"/>
        </w:rPr>
      </w:pPr>
      <w:r w:rsidRPr="009F11ED">
        <w:rPr>
          <w:rFonts w:ascii="Arial" w:hAnsi="Arial" w:cs="Arial"/>
          <w:lang w:val="es-CO"/>
        </w:rPr>
        <w:t xml:space="preserve">Solicitud </w:t>
      </w:r>
      <w:r w:rsidR="00CB6384">
        <w:rPr>
          <w:rFonts w:ascii="Arial" w:hAnsi="Arial" w:cs="Arial"/>
          <w:lang w:val="es-CO"/>
        </w:rPr>
        <w:t xml:space="preserve">de </w:t>
      </w:r>
      <w:r w:rsidRPr="009F11ED">
        <w:rPr>
          <w:rFonts w:ascii="Arial" w:hAnsi="Arial" w:cs="Arial"/>
          <w:lang w:val="es-CO"/>
        </w:rPr>
        <w:t xml:space="preserve">cupo para </w:t>
      </w:r>
      <w:proofErr w:type="spellStart"/>
      <w:r w:rsidRPr="009F11ED">
        <w:rPr>
          <w:rFonts w:ascii="Arial" w:hAnsi="Arial" w:cs="Arial"/>
          <w:lang w:val="es-CO"/>
        </w:rPr>
        <w:t>PPL</w:t>
      </w:r>
      <w:proofErr w:type="spellEnd"/>
      <w:r w:rsidR="00CB6384">
        <w:rPr>
          <w:rFonts w:ascii="Arial" w:hAnsi="Arial" w:cs="Arial"/>
          <w:lang w:val="es-CO"/>
        </w:rPr>
        <w:t xml:space="preserve"> masculino</w:t>
      </w:r>
    </w:p>
    <w:p w:rsidR="008A5530" w:rsidRPr="009F11ED" w:rsidRDefault="008A5530">
      <w:pPr>
        <w:rPr>
          <w:rFonts w:ascii="Arial" w:hAnsi="Arial" w:cs="Arial"/>
          <w:lang w:val="es-CO"/>
        </w:rPr>
      </w:pPr>
    </w:p>
    <w:p w:rsidR="00CB6384" w:rsidRPr="00CB6384" w:rsidRDefault="00CB6384" w:rsidP="00CB6384">
      <w:pPr>
        <w:jc w:val="both"/>
        <w:rPr>
          <w:rFonts w:ascii="Arial" w:hAnsi="Arial" w:cs="Arial"/>
          <w:lang w:val="es-CO"/>
        </w:rPr>
      </w:pPr>
      <w:r w:rsidRPr="002B6197">
        <w:rPr>
          <w:rFonts w:ascii="Arial" w:hAnsi="Arial" w:cs="Arial"/>
          <w:lang w:val="es-CO"/>
        </w:rPr>
        <w:t>De manera atenta y respetuosa</w:t>
      </w:r>
      <w:r w:rsidRPr="00CB6384">
        <w:rPr>
          <w:rFonts w:ascii="Arial" w:hAnsi="Arial" w:cs="Arial"/>
          <w:lang w:val="es-CO"/>
        </w:rPr>
        <w:t xml:space="preserve"> me permito solicitar </w:t>
      </w:r>
      <w:r w:rsidRPr="002B6197">
        <w:rPr>
          <w:rFonts w:ascii="Arial" w:hAnsi="Arial" w:cs="Arial"/>
          <w:lang w:val="es-CO"/>
        </w:rPr>
        <w:t xml:space="preserve">ante este instituto, con el fin de </w:t>
      </w:r>
      <w:proofErr w:type="spellStart"/>
      <w:r w:rsidRPr="002B6197">
        <w:rPr>
          <w:rFonts w:ascii="Arial" w:hAnsi="Arial" w:cs="Arial"/>
          <w:lang w:val="es-CO"/>
        </w:rPr>
        <w:t>tner</w:t>
      </w:r>
      <w:proofErr w:type="spellEnd"/>
      <w:r w:rsidRPr="002B6197">
        <w:rPr>
          <w:rFonts w:ascii="Arial" w:hAnsi="Arial" w:cs="Arial"/>
          <w:lang w:val="es-CO"/>
        </w:rPr>
        <w:t xml:space="preserve"> a bien estudiar</w:t>
      </w:r>
      <w:r w:rsidRPr="00CB6384">
        <w:rPr>
          <w:rFonts w:ascii="Arial" w:hAnsi="Arial" w:cs="Arial"/>
          <w:lang w:val="es-CO"/>
        </w:rPr>
        <w:t xml:space="preserve"> la posibilidad de disponer un (01) cupo carcelario para el señor Diego Alejandro Ramírez, de sexo biológico masculino, identificado con cédula de ciudadanía 71.383.282, indiciado dentro de la Noticia Criminal </w:t>
      </w:r>
      <w:proofErr w:type="spellStart"/>
      <w:r w:rsidRPr="00CB6384">
        <w:rPr>
          <w:rFonts w:ascii="Arial" w:hAnsi="Arial" w:cs="Arial"/>
          <w:lang w:val="es-CO"/>
        </w:rPr>
        <w:t>4718960010XXXXXX</w:t>
      </w:r>
      <w:proofErr w:type="spellEnd"/>
      <w:r w:rsidRPr="00CB6384">
        <w:rPr>
          <w:rFonts w:ascii="Arial" w:hAnsi="Arial" w:cs="Arial"/>
          <w:lang w:val="es-CO"/>
        </w:rPr>
        <w:t xml:space="preserve"> por el delito de homicidio agravado y capturado además por concierto para delinquir agravado, quien ingresó a la Subestación de Policía Arjona el día 23 de septiembre de 2025. La presente solicitud se sustenta en razones objetivas y verificables de seguridad institucional y personal, toda vez que el detenido presenta un comportamiento que exige manejo especial, presuntamente asociado a liderazgo dentro de un grupo delincuencial organizado, y ha realizado insinuaciones de tipo económico y acercamientos inadecuados hacia el personal policial, insinuaciones que, si bien no son expresas, tienen la clara intención de generar confianza indebida para facilitar el ingreso de elementos no permitidos, situación que pone en riesgo la seguridad jurídica de quienes lo custodian, afecta el orden interno y compromete la integridad funcional del servicio de policía. Este escenario supera completamente la capacidad operativa de la unidad policial, la cual solo está facultada para detención transitoria.</w:t>
      </w:r>
    </w:p>
    <w:p w:rsidR="00CB6384" w:rsidRPr="00CB6384" w:rsidRDefault="00CB6384" w:rsidP="00CB6384">
      <w:pPr>
        <w:jc w:val="both"/>
        <w:rPr>
          <w:rFonts w:ascii="Arial" w:hAnsi="Arial" w:cs="Arial"/>
          <w:lang w:val="es-CO"/>
        </w:rPr>
      </w:pPr>
      <w:r w:rsidRPr="00CB6384">
        <w:rPr>
          <w:rFonts w:ascii="Arial" w:hAnsi="Arial" w:cs="Arial"/>
          <w:lang w:val="es-CO"/>
        </w:rPr>
        <w:t>La solicitud se fundamenta en el Código Penitenciario y Carcelario – Ley 65 de 1993, modificada por la Ley 1709 de 2014. El artículo 63 obliga a clasificar y ubicar a los internos según su nivel de seguridad y características personales, y el perfil del detenido no es manejable en sede policial. El artículo 73 establece que el INPEC puede disponer traslados por decisión propia o por solicitud motivada, mientras el artículo 74 faculta al funcionario competente para formular dicha solicitud e indicar la necesidad. El artículo 75 contempla como causales de traslado las razones de seguridad del interno, de otros internos o funcionarios, así como necesidades de orden interno del establecimiento, siendo ambos supuestos plenamente aplicables al presente caso. Su parágrafo 1º exige indicar los motivos y el destino propuesto, por lo cual se solicita cupo en el centro carcelario más cercano o en aquel que esa Dirección disponga.</w:t>
      </w:r>
    </w:p>
    <w:p w:rsidR="00CB6384" w:rsidRPr="00CB6384" w:rsidRDefault="00CB6384" w:rsidP="00CB6384">
      <w:pPr>
        <w:jc w:val="both"/>
        <w:rPr>
          <w:rFonts w:ascii="Arial" w:hAnsi="Arial" w:cs="Arial"/>
          <w:lang w:val="es-CO"/>
        </w:rPr>
      </w:pPr>
      <w:r w:rsidRPr="00CB6384">
        <w:rPr>
          <w:rFonts w:ascii="Arial" w:hAnsi="Arial" w:cs="Arial"/>
          <w:lang w:val="es-CO"/>
        </w:rPr>
        <w:t>A su vez, conforme a los artículos 1, 12 y 28 de la Constitución Política, se deben garantizar condiciones dignas de trato, integridad y legalidad en la privación de la libertad; condiciones que las unidades policiales no pueden asegurar de manera permanente, pues presentan limitaciones en separación por sexo, condiciones sanitarias, atención médica continua, visitas íntimas, infraestructura penitenciaria y control de seguridad reforzada. El artículo 121 constitucional recuerda que ninguna autoridad puede ejercer funciones distintas a las atribuidas por la Constitución y la Ley, y tanto el artículo 14 (modificado por el Decreto 2636 de 2004) como el artículo 35 de la Ley 65 de 1993 establecen que la ejecución de la detención y la pena es competencia exclusiva del INPEC. Mantener en sede policial a un detenido de riesgo especial implica desviación de funciones y potencial responsabilidad estatal. La Sentencia SU-122 de 2022 reiteró que estaciones y subestaciones de policía solo pueden funcionar como lugares de detención transitoria y no como centros de reclusión prolongada.</w:t>
      </w:r>
    </w:p>
    <w:p w:rsidR="00CB6384" w:rsidRPr="00CB6384" w:rsidRDefault="00CB6384" w:rsidP="00CB6384">
      <w:pPr>
        <w:jc w:val="both"/>
        <w:rPr>
          <w:rFonts w:ascii="Arial" w:hAnsi="Arial" w:cs="Arial"/>
          <w:lang w:val="es-CO"/>
        </w:rPr>
      </w:pPr>
      <w:r w:rsidRPr="00CB6384">
        <w:rPr>
          <w:rFonts w:ascii="Arial" w:hAnsi="Arial" w:cs="Arial"/>
          <w:lang w:val="es-CO"/>
        </w:rPr>
        <w:lastRenderedPageBreak/>
        <w:t xml:space="preserve">Por lo anterior, y atendiendo a la necesidad de proteger la vida e integridad del </w:t>
      </w:r>
      <w:proofErr w:type="spellStart"/>
      <w:r w:rsidRPr="00CB6384">
        <w:rPr>
          <w:rFonts w:ascii="Arial" w:hAnsi="Arial" w:cs="Arial"/>
          <w:lang w:val="es-CO"/>
        </w:rPr>
        <w:t>PPL</w:t>
      </w:r>
      <w:proofErr w:type="spellEnd"/>
      <w:r w:rsidRPr="00CB6384">
        <w:rPr>
          <w:rFonts w:ascii="Arial" w:hAnsi="Arial" w:cs="Arial"/>
          <w:lang w:val="es-CO"/>
        </w:rPr>
        <w:t>, del personal policial custodio y del orden interno institucional, solicito respetuosamente se autorice la asignación inmediata de un (01) cupo en el centro carcelario del INPEC más cercano, o en aquel que esa Dirección determine según disponibilidad, garantizando así el estricto cumplimiento del régimen penitenciario y constitucional. Se anexan derecho del capturado, acta de buen trato, carta huella, antecedentes judiciales, acta de compromiso y medida de aseguramiento correspondiente.</w:t>
      </w:r>
    </w:p>
    <w:p w:rsidR="00F81502" w:rsidRPr="009F11ED" w:rsidRDefault="00F81502">
      <w:pPr>
        <w:rPr>
          <w:rFonts w:ascii="Arial" w:hAnsi="Arial" w:cs="Arial"/>
          <w:lang w:val="es-CO"/>
        </w:rPr>
      </w:pPr>
    </w:p>
    <w:p w:rsidR="00F81502" w:rsidRPr="009F11ED" w:rsidRDefault="00F81502">
      <w:pPr>
        <w:rPr>
          <w:rFonts w:ascii="Arial" w:hAnsi="Arial" w:cs="Arial"/>
          <w:lang w:val="es-CO"/>
        </w:rPr>
      </w:pPr>
      <w:r w:rsidRPr="009F11ED">
        <w:rPr>
          <w:rFonts w:ascii="Arial" w:hAnsi="Arial" w:cs="Arial"/>
          <w:lang w:val="es-CO"/>
        </w:rPr>
        <w:t xml:space="preserve">Anexo: </w:t>
      </w:r>
      <w:r w:rsidR="00602433" w:rsidRPr="009F11ED">
        <w:rPr>
          <w:rFonts w:ascii="Arial" w:hAnsi="Arial" w:cs="Arial"/>
          <w:lang w:val="es-CO"/>
        </w:rPr>
        <w:t xml:space="preserve">derecho de capturado y acta de buen trato, carta huella, antecedentes judiciales, acta de compromiso, medida de aseguramiento en centro carcelario. </w:t>
      </w:r>
    </w:p>
    <w:sectPr w:rsidR="00F81502" w:rsidRPr="009F11ED"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530"/>
    <w:rsid w:val="000C5FB4"/>
    <w:rsid w:val="00193930"/>
    <w:rsid w:val="002B6197"/>
    <w:rsid w:val="00361944"/>
    <w:rsid w:val="00422F06"/>
    <w:rsid w:val="00602433"/>
    <w:rsid w:val="006E07E8"/>
    <w:rsid w:val="00894AF3"/>
    <w:rsid w:val="008A2E1E"/>
    <w:rsid w:val="008A5530"/>
    <w:rsid w:val="0095661D"/>
    <w:rsid w:val="009F11ED"/>
    <w:rsid w:val="00CB6384"/>
    <w:rsid w:val="00CF6D43"/>
    <w:rsid w:val="00D5791C"/>
    <w:rsid w:val="00EF4857"/>
    <w:rsid w:val="00F6723E"/>
    <w:rsid w:val="00F8150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E41A5"/>
  <w15:chartTrackingRefBased/>
  <w15:docId w15:val="{DC515DDA-D2BC-47EC-B387-9CA625E7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774541">
      <w:bodyDiv w:val="1"/>
      <w:marLeft w:val="0"/>
      <w:marRight w:val="0"/>
      <w:marTop w:val="0"/>
      <w:marBottom w:val="0"/>
      <w:divBdr>
        <w:top w:val="none" w:sz="0" w:space="0" w:color="auto"/>
        <w:left w:val="none" w:sz="0" w:space="0" w:color="auto"/>
        <w:bottom w:val="none" w:sz="0" w:space="0" w:color="auto"/>
        <w:right w:val="none" w:sz="0" w:space="0" w:color="auto"/>
      </w:divBdr>
    </w:div>
    <w:div w:id="184339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636</Words>
  <Characters>3503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José Pelaez toloza</cp:lastModifiedBy>
  <cp:revision>6</cp:revision>
  <dcterms:created xsi:type="dcterms:W3CDTF">2025-04-24T22:05:00Z</dcterms:created>
  <dcterms:modified xsi:type="dcterms:W3CDTF">2025-11-11T18:49:00Z</dcterms:modified>
</cp:coreProperties>
</file>