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DEB7F7" w14:textId="421DFFAD" w:rsidR="00654A02" w:rsidRDefault="0035069F" w:rsidP="0035069F">
      <w:pPr>
        <w:jc w:val="center"/>
        <w:rPr>
          <w:rFonts w:ascii="IBM Plex Sans" w:hAnsi="IBM Plex Sans"/>
          <w:i/>
          <w:iCs/>
        </w:rPr>
      </w:pPr>
      <w:r w:rsidRPr="00D7701A">
        <w:rPr>
          <w:rStyle w:val="TitleChar"/>
          <w:rFonts w:ascii="IBM Plex Sans" w:hAnsi="IBM Plex Sans"/>
          <w:b/>
          <w:bCs/>
        </w:rPr>
        <w:t>NDC Messaging 101</w:t>
      </w:r>
      <w:r w:rsidRPr="00D7701A">
        <w:rPr>
          <w:rFonts w:ascii="IBM Plex Sans" w:hAnsi="IBM Plex Sans"/>
        </w:rPr>
        <w:br/>
      </w:r>
      <w:r w:rsidRPr="00D7701A">
        <w:rPr>
          <w:rFonts w:ascii="IBM Plex Sans" w:hAnsi="IBM Plex Sans"/>
          <w:i/>
          <w:iCs/>
        </w:rPr>
        <w:t>Your go-to guide for clear, consistent, and impactful messaging</w:t>
      </w:r>
    </w:p>
    <w:p w14:paraId="288FA4B0" w14:textId="77777777" w:rsidR="00D7701A" w:rsidRPr="00D7701A" w:rsidRDefault="00D7701A" w:rsidP="0035069F">
      <w:pPr>
        <w:jc w:val="center"/>
        <w:rPr>
          <w:rFonts w:ascii="IBM Plex Sans" w:hAnsi="IBM Plex Sans"/>
          <w:i/>
          <w:iCs/>
        </w:rPr>
      </w:pPr>
    </w:p>
    <w:p w14:paraId="0BC42AE1" w14:textId="77777777" w:rsidR="00161414" w:rsidRPr="00D7701A" w:rsidRDefault="00161414" w:rsidP="0035069F">
      <w:pPr>
        <w:jc w:val="center"/>
        <w:rPr>
          <w:rFonts w:ascii="IBM Plex Sans" w:hAnsi="IBM Plex Sans"/>
          <w:i/>
          <w:iCs/>
        </w:rPr>
      </w:pPr>
    </w:p>
    <w:sdt>
      <w:sdtPr>
        <w:rPr>
          <w:rFonts w:ascii="IBM Plex Sans" w:eastAsiaTheme="minorHAnsi" w:hAnsi="IBM Plex Sans" w:cstheme="minorBidi"/>
          <w:color w:val="auto"/>
          <w:kern w:val="2"/>
          <w:sz w:val="24"/>
          <w:szCs w:val="24"/>
          <w:lang w:val="en-GB"/>
          <w14:ligatures w14:val="standardContextual"/>
        </w:rPr>
        <w:id w:val="1680997360"/>
        <w:docPartObj>
          <w:docPartGallery w:val="Table of Contents"/>
          <w:docPartUnique/>
        </w:docPartObj>
      </w:sdtPr>
      <w:sdtEndPr>
        <w:rPr>
          <w:b/>
          <w:bCs/>
          <w:noProof/>
        </w:rPr>
      </w:sdtEndPr>
      <w:sdtContent>
        <w:p w14:paraId="32596997" w14:textId="3ACBA8D5" w:rsidR="00160017" w:rsidRPr="00D7701A" w:rsidRDefault="00160017">
          <w:pPr>
            <w:pStyle w:val="TOCHeading"/>
            <w:rPr>
              <w:rFonts w:ascii="IBM Plex Sans" w:hAnsi="IBM Plex Sans"/>
              <w:b/>
              <w:bCs/>
              <w:color w:val="00DE00"/>
            </w:rPr>
          </w:pPr>
          <w:r w:rsidRPr="00D7701A">
            <w:rPr>
              <w:rFonts w:ascii="IBM Plex Sans" w:hAnsi="IBM Plex Sans"/>
              <w:b/>
              <w:bCs/>
              <w:color w:val="00DE00"/>
            </w:rPr>
            <w:t>Contents</w:t>
          </w:r>
        </w:p>
        <w:p w14:paraId="764A3D30" w14:textId="3C9726E6" w:rsidR="00B84E53" w:rsidRDefault="00160017">
          <w:pPr>
            <w:pStyle w:val="TOC1"/>
            <w:tabs>
              <w:tab w:val="right" w:leader="dot" w:pos="9016"/>
            </w:tabs>
            <w:rPr>
              <w:rFonts w:eastAsiaTheme="minorEastAsia"/>
              <w:noProof/>
              <w:lang w:eastAsia="en-GB"/>
            </w:rPr>
          </w:pPr>
          <w:r w:rsidRPr="00D7701A">
            <w:rPr>
              <w:rFonts w:ascii="IBM Plex Sans" w:hAnsi="IBM Plex Sans"/>
            </w:rPr>
            <w:fldChar w:fldCharType="begin"/>
          </w:r>
          <w:r w:rsidRPr="00D7701A">
            <w:rPr>
              <w:rFonts w:ascii="IBM Plex Sans" w:hAnsi="IBM Plex Sans"/>
            </w:rPr>
            <w:instrText xml:space="preserve"> TOC \o "1-3" \h \z \u </w:instrText>
          </w:r>
          <w:r w:rsidRPr="00D7701A">
            <w:rPr>
              <w:rFonts w:ascii="IBM Plex Sans" w:hAnsi="IBM Plex Sans"/>
            </w:rPr>
            <w:fldChar w:fldCharType="separate"/>
          </w:r>
          <w:hyperlink w:anchor="_Toc190344226" w:history="1">
            <w:r w:rsidR="00B84E53" w:rsidRPr="007550C5">
              <w:rPr>
                <w:rStyle w:val="Hyperlink"/>
                <w:rFonts w:ascii="IBM Plex Sans" w:hAnsi="IBM Plex Sans"/>
                <w:b/>
                <w:bCs/>
                <w:noProof/>
              </w:rPr>
              <w:t>How to use this doc</w:t>
            </w:r>
            <w:r w:rsidR="00B84E53">
              <w:rPr>
                <w:noProof/>
                <w:webHidden/>
              </w:rPr>
              <w:tab/>
            </w:r>
            <w:r w:rsidR="00B84E53">
              <w:rPr>
                <w:noProof/>
                <w:webHidden/>
              </w:rPr>
              <w:fldChar w:fldCharType="begin"/>
            </w:r>
            <w:r w:rsidR="00B84E53">
              <w:rPr>
                <w:noProof/>
                <w:webHidden/>
              </w:rPr>
              <w:instrText xml:space="preserve"> PAGEREF _Toc190344226 \h </w:instrText>
            </w:r>
            <w:r w:rsidR="00B84E53">
              <w:rPr>
                <w:noProof/>
                <w:webHidden/>
              </w:rPr>
            </w:r>
            <w:r w:rsidR="00B84E53">
              <w:rPr>
                <w:noProof/>
                <w:webHidden/>
              </w:rPr>
              <w:fldChar w:fldCharType="separate"/>
            </w:r>
            <w:r w:rsidR="00B84E53">
              <w:rPr>
                <w:noProof/>
                <w:webHidden/>
              </w:rPr>
              <w:t>2</w:t>
            </w:r>
            <w:r w:rsidR="00B84E53">
              <w:rPr>
                <w:noProof/>
                <w:webHidden/>
              </w:rPr>
              <w:fldChar w:fldCharType="end"/>
            </w:r>
          </w:hyperlink>
        </w:p>
        <w:p w14:paraId="191A4E21" w14:textId="5D531D21" w:rsidR="00B84E53" w:rsidRDefault="00B84E53">
          <w:pPr>
            <w:pStyle w:val="TOC1"/>
            <w:tabs>
              <w:tab w:val="right" w:leader="dot" w:pos="9016"/>
            </w:tabs>
            <w:rPr>
              <w:rFonts w:eastAsiaTheme="minorEastAsia"/>
              <w:noProof/>
              <w:lang w:eastAsia="en-GB"/>
            </w:rPr>
          </w:pPr>
          <w:hyperlink w:anchor="_Toc190344227" w:history="1">
            <w:r w:rsidRPr="007550C5">
              <w:rPr>
                <w:rStyle w:val="Hyperlink"/>
                <w:rFonts w:ascii="IBM Plex Sans" w:hAnsi="IBM Plex Sans"/>
                <w:b/>
                <w:bCs/>
                <w:noProof/>
              </w:rPr>
              <w:t>Core positioning statement</w:t>
            </w:r>
            <w:r>
              <w:rPr>
                <w:noProof/>
                <w:webHidden/>
              </w:rPr>
              <w:tab/>
            </w:r>
            <w:r>
              <w:rPr>
                <w:noProof/>
                <w:webHidden/>
              </w:rPr>
              <w:fldChar w:fldCharType="begin"/>
            </w:r>
            <w:r>
              <w:rPr>
                <w:noProof/>
                <w:webHidden/>
              </w:rPr>
              <w:instrText xml:space="preserve"> PAGEREF _Toc190344227 \h </w:instrText>
            </w:r>
            <w:r>
              <w:rPr>
                <w:noProof/>
                <w:webHidden/>
              </w:rPr>
            </w:r>
            <w:r>
              <w:rPr>
                <w:noProof/>
                <w:webHidden/>
              </w:rPr>
              <w:fldChar w:fldCharType="separate"/>
            </w:r>
            <w:r>
              <w:rPr>
                <w:noProof/>
                <w:webHidden/>
              </w:rPr>
              <w:t>3</w:t>
            </w:r>
            <w:r>
              <w:rPr>
                <w:noProof/>
                <w:webHidden/>
              </w:rPr>
              <w:fldChar w:fldCharType="end"/>
            </w:r>
          </w:hyperlink>
        </w:p>
        <w:p w14:paraId="21340CD9" w14:textId="05326AAA" w:rsidR="00B84E53" w:rsidRDefault="00B84E53">
          <w:pPr>
            <w:pStyle w:val="TOC1"/>
            <w:tabs>
              <w:tab w:val="right" w:leader="dot" w:pos="9016"/>
            </w:tabs>
            <w:rPr>
              <w:rFonts w:eastAsiaTheme="minorEastAsia"/>
              <w:noProof/>
              <w:lang w:eastAsia="en-GB"/>
            </w:rPr>
          </w:pPr>
          <w:hyperlink w:anchor="_Toc190344228" w:history="1">
            <w:r w:rsidRPr="007550C5">
              <w:rPr>
                <w:rStyle w:val="Hyperlink"/>
                <w:rFonts w:ascii="IBM Plex Sans" w:hAnsi="IBM Plex Sans"/>
                <w:b/>
                <w:bCs/>
                <w:noProof/>
              </w:rPr>
              <w:t>Core value proposition</w:t>
            </w:r>
            <w:r>
              <w:rPr>
                <w:noProof/>
                <w:webHidden/>
              </w:rPr>
              <w:tab/>
            </w:r>
            <w:r>
              <w:rPr>
                <w:noProof/>
                <w:webHidden/>
              </w:rPr>
              <w:fldChar w:fldCharType="begin"/>
            </w:r>
            <w:r>
              <w:rPr>
                <w:noProof/>
                <w:webHidden/>
              </w:rPr>
              <w:instrText xml:space="preserve"> PAGEREF _Toc190344228 \h </w:instrText>
            </w:r>
            <w:r>
              <w:rPr>
                <w:noProof/>
                <w:webHidden/>
              </w:rPr>
            </w:r>
            <w:r>
              <w:rPr>
                <w:noProof/>
                <w:webHidden/>
              </w:rPr>
              <w:fldChar w:fldCharType="separate"/>
            </w:r>
            <w:r>
              <w:rPr>
                <w:noProof/>
                <w:webHidden/>
              </w:rPr>
              <w:t>3</w:t>
            </w:r>
            <w:r>
              <w:rPr>
                <w:noProof/>
                <w:webHidden/>
              </w:rPr>
              <w:fldChar w:fldCharType="end"/>
            </w:r>
          </w:hyperlink>
        </w:p>
        <w:p w14:paraId="64DDB7E6" w14:textId="3FD943F5" w:rsidR="00B84E53" w:rsidRDefault="00B84E53">
          <w:pPr>
            <w:pStyle w:val="TOC1"/>
            <w:tabs>
              <w:tab w:val="right" w:leader="dot" w:pos="9016"/>
            </w:tabs>
            <w:rPr>
              <w:rFonts w:eastAsiaTheme="minorEastAsia"/>
              <w:noProof/>
              <w:lang w:eastAsia="en-GB"/>
            </w:rPr>
          </w:pPr>
          <w:hyperlink w:anchor="_Toc190344229" w:history="1">
            <w:r w:rsidRPr="007550C5">
              <w:rPr>
                <w:rStyle w:val="Hyperlink"/>
                <w:rFonts w:ascii="IBM Plex Sans" w:hAnsi="IBM Plex Sans"/>
                <w:b/>
                <w:bCs/>
                <w:noProof/>
              </w:rPr>
              <w:t>Audience</w:t>
            </w:r>
            <w:r>
              <w:rPr>
                <w:noProof/>
                <w:webHidden/>
              </w:rPr>
              <w:tab/>
            </w:r>
            <w:r>
              <w:rPr>
                <w:noProof/>
                <w:webHidden/>
              </w:rPr>
              <w:fldChar w:fldCharType="begin"/>
            </w:r>
            <w:r>
              <w:rPr>
                <w:noProof/>
                <w:webHidden/>
              </w:rPr>
              <w:instrText xml:space="preserve"> PAGEREF _Toc190344229 \h </w:instrText>
            </w:r>
            <w:r>
              <w:rPr>
                <w:noProof/>
                <w:webHidden/>
              </w:rPr>
            </w:r>
            <w:r>
              <w:rPr>
                <w:noProof/>
                <w:webHidden/>
              </w:rPr>
              <w:fldChar w:fldCharType="separate"/>
            </w:r>
            <w:r>
              <w:rPr>
                <w:noProof/>
                <w:webHidden/>
              </w:rPr>
              <w:t>3</w:t>
            </w:r>
            <w:r>
              <w:rPr>
                <w:noProof/>
                <w:webHidden/>
              </w:rPr>
              <w:fldChar w:fldCharType="end"/>
            </w:r>
          </w:hyperlink>
        </w:p>
        <w:p w14:paraId="28E4CEF1" w14:textId="262500B3" w:rsidR="00B84E53" w:rsidRDefault="00B84E53">
          <w:pPr>
            <w:pStyle w:val="TOC1"/>
            <w:tabs>
              <w:tab w:val="right" w:leader="dot" w:pos="9016"/>
            </w:tabs>
            <w:rPr>
              <w:rFonts w:eastAsiaTheme="minorEastAsia"/>
              <w:noProof/>
              <w:lang w:eastAsia="en-GB"/>
            </w:rPr>
          </w:pPr>
          <w:hyperlink w:anchor="_Toc190344230" w:history="1">
            <w:r w:rsidRPr="007550C5">
              <w:rPr>
                <w:rStyle w:val="Hyperlink"/>
                <w:rFonts w:ascii="IBM Plex Sans" w:hAnsi="IBM Plex Sans"/>
                <w:b/>
                <w:bCs/>
                <w:noProof/>
              </w:rPr>
              <w:t>Competitive differentiators</w:t>
            </w:r>
            <w:r>
              <w:rPr>
                <w:noProof/>
                <w:webHidden/>
              </w:rPr>
              <w:tab/>
            </w:r>
            <w:r>
              <w:rPr>
                <w:noProof/>
                <w:webHidden/>
              </w:rPr>
              <w:fldChar w:fldCharType="begin"/>
            </w:r>
            <w:r>
              <w:rPr>
                <w:noProof/>
                <w:webHidden/>
              </w:rPr>
              <w:instrText xml:space="preserve"> PAGEREF _Toc190344230 \h </w:instrText>
            </w:r>
            <w:r>
              <w:rPr>
                <w:noProof/>
                <w:webHidden/>
              </w:rPr>
            </w:r>
            <w:r>
              <w:rPr>
                <w:noProof/>
                <w:webHidden/>
              </w:rPr>
              <w:fldChar w:fldCharType="separate"/>
            </w:r>
            <w:r>
              <w:rPr>
                <w:noProof/>
                <w:webHidden/>
              </w:rPr>
              <w:t>4</w:t>
            </w:r>
            <w:r>
              <w:rPr>
                <w:noProof/>
                <w:webHidden/>
              </w:rPr>
              <w:fldChar w:fldCharType="end"/>
            </w:r>
          </w:hyperlink>
        </w:p>
        <w:p w14:paraId="6CE3CBF7" w14:textId="14BF9872" w:rsidR="00B84E53" w:rsidRDefault="00B84E53">
          <w:pPr>
            <w:pStyle w:val="TOC1"/>
            <w:tabs>
              <w:tab w:val="right" w:leader="dot" w:pos="9016"/>
            </w:tabs>
            <w:rPr>
              <w:rFonts w:eastAsiaTheme="minorEastAsia"/>
              <w:noProof/>
              <w:lang w:eastAsia="en-GB"/>
            </w:rPr>
          </w:pPr>
          <w:hyperlink w:anchor="_Toc190344231" w:history="1">
            <w:r w:rsidRPr="007550C5">
              <w:rPr>
                <w:rStyle w:val="Hyperlink"/>
                <w:rFonts w:ascii="IBM Plex Sans" w:hAnsi="IBM Plex Sans"/>
                <w:b/>
                <w:bCs/>
                <w:noProof/>
              </w:rPr>
              <w:t>Elevator pitch</w:t>
            </w:r>
            <w:r>
              <w:rPr>
                <w:noProof/>
                <w:webHidden/>
              </w:rPr>
              <w:tab/>
            </w:r>
            <w:r>
              <w:rPr>
                <w:noProof/>
                <w:webHidden/>
              </w:rPr>
              <w:fldChar w:fldCharType="begin"/>
            </w:r>
            <w:r>
              <w:rPr>
                <w:noProof/>
                <w:webHidden/>
              </w:rPr>
              <w:instrText xml:space="preserve"> PAGEREF _Toc190344231 \h </w:instrText>
            </w:r>
            <w:r>
              <w:rPr>
                <w:noProof/>
                <w:webHidden/>
              </w:rPr>
            </w:r>
            <w:r>
              <w:rPr>
                <w:noProof/>
                <w:webHidden/>
              </w:rPr>
              <w:fldChar w:fldCharType="separate"/>
            </w:r>
            <w:r>
              <w:rPr>
                <w:noProof/>
                <w:webHidden/>
              </w:rPr>
              <w:t>6</w:t>
            </w:r>
            <w:r>
              <w:rPr>
                <w:noProof/>
                <w:webHidden/>
              </w:rPr>
              <w:fldChar w:fldCharType="end"/>
            </w:r>
          </w:hyperlink>
        </w:p>
        <w:p w14:paraId="7A14A974" w14:textId="2E12D623" w:rsidR="00B84E53" w:rsidRDefault="00B84E53">
          <w:pPr>
            <w:pStyle w:val="TOC1"/>
            <w:tabs>
              <w:tab w:val="right" w:leader="dot" w:pos="9016"/>
            </w:tabs>
            <w:rPr>
              <w:rFonts w:eastAsiaTheme="minorEastAsia"/>
              <w:noProof/>
              <w:lang w:eastAsia="en-GB"/>
            </w:rPr>
          </w:pPr>
          <w:hyperlink w:anchor="_Toc190344232" w:history="1">
            <w:r w:rsidRPr="007550C5">
              <w:rPr>
                <w:rStyle w:val="Hyperlink"/>
                <w:rFonts w:ascii="IBM Plex Sans" w:hAnsi="IBM Plex Sans"/>
                <w:b/>
                <w:bCs/>
                <w:noProof/>
              </w:rPr>
              <w:t>Long description</w:t>
            </w:r>
            <w:r>
              <w:rPr>
                <w:noProof/>
                <w:webHidden/>
              </w:rPr>
              <w:tab/>
            </w:r>
            <w:r>
              <w:rPr>
                <w:noProof/>
                <w:webHidden/>
              </w:rPr>
              <w:fldChar w:fldCharType="begin"/>
            </w:r>
            <w:r>
              <w:rPr>
                <w:noProof/>
                <w:webHidden/>
              </w:rPr>
              <w:instrText xml:space="preserve"> PAGEREF _Toc190344232 \h </w:instrText>
            </w:r>
            <w:r>
              <w:rPr>
                <w:noProof/>
                <w:webHidden/>
              </w:rPr>
            </w:r>
            <w:r>
              <w:rPr>
                <w:noProof/>
                <w:webHidden/>
              </w:rPr>
              <w:fldChar w:fldCharType="separate"/>
            </w:r>
            <w:r>
              <w:rPr>
                <w:noProof/>
                <w:webHidden/>
              </w:rPr>
              <w:t>6</w:t>
            </w:r>
            <w:r>
              <w:rPr>
                <w:noProof/>
                <w:webHidden/>
              </w:rPr>
              <w:fldChar w:fldCharType="end"/>
            </w:r>
          </w:hyperlink>
        </w:p>
        <w:p w14:paraId="05B5C88C" w14:textId="6B43AE7D" w:rsidR="00B84E53" w:rsidRDefault="00B84E53">
          <w:pPr>
            <w:pStyle w:val="TOC1"/>
            <w:tabs>
              <w:tab w:val="right" w:leader="dot" w:pos="9016"/>
            </w:tabs>
            <w:rPr>
              <w:rFonts w:eastAsiaTheme="minorEastAsia"/>
              <w:noProof/>
              <w:lang w:eastAsia="en-GB"/>
            </w:rPr>
          </w:pPr>
          <w:hyperlink w:anchor="_Toc190344233" w:history="1">
            <w:r w:rsidRPr="007550C5">
              <w:rPr>
                <w:rStyle w:val="Hyperlink"/>
                <w:rFonts w:ascii="IBM Plex Sans" w:eastAsia="Times New Roman" w:hAnsi="IBM Plex Sans"/>
                <w:b/>
                <w:bCs/>
                <w:noProof/>
              </w:rPr>
              <w:t>Tone of voice</w:t>
            </w:r>
            <w:r>
              <w:rPr>
                <w:noProof/>
                <w:webHidden/>
              </w:rPr>
              <w:tab/>
            </w:r>
            <w:r>
              <w:rPr>
                <w:noProof/>
                <w:webHidden/>
              </w:rPr>
              <w:fldChar w:fldCharType="begin"/>
            </w:r>
            <w:r>
              <w:rPr>
                <w:noProof/>
                <w:webHidden/>
              </w:rPr>
              <w:instrText xml:space="preserve"> PAGEREF _Toc190344233 \h </w:instrText>
            </w:r>
            <w:r>
              <w:rPr>
                <w:noProof/>
                <w:webHidden/>
              </w:rPr>
            </w:r>
            <w:r>
              <w:rPr>
                <w:noProof/>
                <w:webHidden/>
              </w:rPr>
              <w:fldChar w:fldCharType="separate"/>
            </w:r>
            <w:r>
              <w:rPr>
                <w:noProof/>
                <w:webHidden/>
              </w:rPr>
              <w:t>6</w:t>
            </w:r>
            <w:r>
              <w:rPr>
                <w:noProof/>
                <w:webHidden/>
              </w:rPr>
              <w:fldChar w:fldCharType="end"/>
            </w:r>
          </w:hyperlink>
        </w:p>
        <w:p w14:paraId="29DB4AA6" w14:textId="1B013BB5" w:rsidR="00B84E53" w:rsidRDefault="00B84E53">
          <w:pPr>
            <w:pStyle w:val="TOC1"/>
            <w:tabs>
              <w:tab w:val="right" w:leader="dot" w:pos="9016"/>
            </w:tabs>
            <w:rPr>
              <w:rFonts w:eastAsiaTheme="minorEastAsia"/>
              <w:noProof/>
              <w:lang w:eastAsia="en-GB"/>
            </w:rPr>
          </w:pPr>
          <w:hyperlink w:anchor="_Toc190344234" w:history="1">
            <w:r w:rsidRPr="007550C5">
              <w:rPr>
                <w:rStyle w:val="Hyperlink"/>
                <w:rFonts w:ascii="IBM Plex Sans" w:hAnsi="IBM Plex Sans"/>
                <w:b/>
                <w:bCs/>
                <w:noProof/>
              </w:rPr>
              <w:t>Outcomes</w:t>
            </w:r>
            <w:r>
              <w:rPr>
                <w:noProof/>
                <w:webHidden/>
              </w:rPr>
              <w:tab/>
            </w:r>
            <w:r>
              <w:rPr>
                <w:noProof/>
                <w:webHidden/>
              </w:rPr>
              <w:fldChar w:fldCharType="begin"/>
            </w:r>
            <w:r>
              <w:rPr>
                <w:noProof/>
                <w:webHidden/>
              </w:rPr>
              <w:instrText xml:space="preserve"> PAGEREF _Toc190344234 \h </w:instrText>
            </w:r>
            <w:r>
              <w:rPr>
                <w:noProof/>
                <w:webHidden/>
              </w:rPr>
            </w:r>
            <w:r>
              <w:rPr>
                <w:noProof/>
                <w:webHidden/>
              </w:rPr>
              <w:fldChar w:fldCharType="separate"/>
            </w:r>
            <w:r>
              <w:rPr>
                <w:noProof/>
                <w:webHidden/>
              </w:rPr>
              <w:t>6</w:t>
            </w:r>
            <w:r>
              <w:rPr>
                <w:noProof/>
                <w:webHidden/>
              </w:rPr>
              <w:fldChar w:fldCharType="end"/>
            </w:r>
          </w:hyperlink>
        </w:p>
        <w:p w14:paraId="5CCB8716" w14:textId="00723F0E" w:rsidR="00B84E53" w:rsidRDefault="00B84E53">
          <w:pPr>
            <w:pStyle w:val="TOC2"/>
            <w:tabs>
              <w:tab w:val="right" w:leader="dot" w:pos="9016"/>
            </w:tabs>
            <w:rPr>
              <w:rFonts w:eastAsiaTheme="minorEastAsia"/>
              <w:noProof/>
              <w:lang w:eastAsia="en-GB"/>
            </w:rPr>
          </w:pPr>
          <w:hyperlink w:anchor="_Toc190344235" w:history="1">
            <w:r w:rsidRPr="007550C5">
              <w:rPr>
                <w:rStyle w:val="Hyperlink"/>
                <w:rFonts w:ascii="IBM Plex Sans" w:hAnsi="IBM Plex Sans"/>
                <w:b/>
                <w:bCs/>
                <w:noProof/>
              </w:rPr>
              <w:t>Outcome pillars</w:t>
            </w:r>
            <w:r>
              <w:rPr>
                <w:noProof/>
                <w:webHidden/>
              </w:rPr>
              <w:tab/>
            </w:r>
            <w:r>
              <w:rPr>
                <w:noProof/>
                <w:webHidden/>
              </w:rPr>
              <w:fldChar w:fldCharType="begin"/>
            </w:r>
            <w:r>
              <w:rPr>
                <w:noProof/>
                <w:webHidden/>
              </w:rPr>
              <w:instrText xml:space="preserve"> PAGEREF _Toc190344235 \h </w:instrText>
            </w:r>
            <w:r>
              <w:rPr>
                <w:noProof/>
                <w:webHidden/>
              </w:rPr>
            </w:r>
            <w:r>
              <w:rPr>
                <w:noProof/>
                <w:webHidden/>
              </w:rPr>
              <w:fldChar w:fldCharType="separate"/>
            </w:r>
            <w:r>
              <w:rPr>
                <w:noProof/>
                <w:webHidden/>
              </w:rPr>
              <w:t>7</w:t>
            </w:r>
            <w:r>
              <w:rPr>
                <w:noProof/>
                <w:webHidden/>
              </w:rPr>
              <w:fldChar w:fldCharType="end"/>
            </w:r>
          </w:hyperlink>
        </w:p>
        <w:p w14:paraId="070A4D75" w14:textId="2362C193" w:rsidR="00B84E53" w:rsidRDefault="00B84E53">
          <w:pPr>
            <w:pStyle w:val="TOC1"/>
            <w:tabs>
              <w:tab w:val="right" w:leader="dot" w:pos="9016"/>
            </w:tabs>
            <w:rPr>
              <w:rFonts w:eastAsiaTheme="minorEastAsia"/>
              <w:noProof/>
              <w:lang w:eastAsia="en-GB"/>
            </w:rPr>
          </w:pPr>
          <w:hyperlink w:anchor="_Toc190344236" w:history="1">
            <w:r w:rsidRPr="007550C5">
              <w:rPr>
                <w:rStyle w:val="Hyperlink"/>
                <w:rFonts w:ascii="IBM Plex Sans" w:hAnsi="IBM Plex Sans"/>
                <w:b/>
                <w:bCs/>
                <w:noProof/>
              </w:rPr>
              <w:t>Key messages for NDC at FCM</w:t>
            </w:r>
            <w:r>
              <w:rPr>
                <w:noProof/>
                <w:webHidden/>
              </w:rPr>
              <w:tab/>
            </w:r>
            <w:r>
              <w:rPr>
                <w:noProof/>
                <w:webHidden/>
              </w:rPr>
              <w:fldChar w:fldCharType="begin"/>
            </w:r>
            <w:r>
              <w:rPr>
                <w:noProof/>
                <w:webHidden/>
              </w:rPr>
              <w:instrText xml:space="preserve"> PAGEREF _Toc190344236 \h </w:instrText>
            </w:r>
            <w:r>
              <w:rPr>
                <w:noProof/>
                <w:webHidden/>
              </w:rPr>
            </w:r>
            <w:r>
              <w:rPr>
                <w:noProof/>
                <w:webHidden/>
              </w:rPr>
              <w:fldChar w:fldCharType="separate"/>
            </w:r>
            <w:r>
              <w:rPr>
                <w:noProof/>
                <w:webHidden/>
              </w:rPr>
              <w:t>8</w:t>
            </w:r>
            <w:r>
              <w:rPr>
                <w:noProof/>
                <w:webHidden/>
              </w:rPr>
              <w:fldChar w:fldCharType="end"/>
            </w:r>
          </w:hyperlink>
        </w:p>
        <w:p w14:paraId="2B348B9E" w14:textId="314A3BA6" w:rsidR="00160017" w:rsidRPr="00D7701A" w:rsidRDefault="00160017">
          <w:pPr>
            <w:rPr>
              <w:rFonts w:ascii="IBM Plex Sans" w:hAnsi="IBM Plex Sans"/>
            </w:rPr>
          </w:pPr>
          <w:r w:rsidRPr="00D7701A">
            <w:rPr>
              <w:rFonts w:ascii="IBM Plex Sans" w:hAnsi="IBM Plex Sans"/>
              <w:b/>
              <w:bCs/>
              <w:noProof/>
            </w:rPr>
            <w:fldChar w:fldCharType="end"/>
          </w:r>
        </w:p>
      </w:sdtContent>
    </w:sdt>
    <w:p w14:paraId="6E6AAA64" w14:textId="77777777" w:rsidR="00160017" w:rsidRPr="00D7701A" w:rsidRDefault="00160017" w:rsidP="008039E4">
      <w:pPr>
        <w:rPr>
          <w:rFonts w:ascii="IBM Plex Sans" w:hAnsi="IBM Plex Sans"/>
        </w:rPr>
      </w:pPr>
    </w:p>
    <w:p w14:paraId="4FD8EDC9" w14:textId="77777777" w:rsidR="00161414" w:rsidRPr="00D7701A" w:rsidRDefault="00161414" w:rsidP="008039E4">
      <w:pPr>
        <w:rPr>
          <w:rFonts w:ascii="IBM Plex Sans" w:hAnsi="IBM Plex Sans"/>
        </w:rPr>
      </w:pPr>
    </w:p>
    <w:p w14:paraId="057A9B62" w14:textId="77777777" w:rsidR="00161414" w:rsidRPr="00D7701A" w:rsidRDefault="00161414" w:rsidP="008039E4">
      <w:pPr>
        <w:rPr>
          <w:rFonts w:ascii="IBM Plex Sans" w:hAnsi="IBM Plex Sans"/>
        </w:rPr>
      </w:pPr>
    </w:p>
    <w:p w14:paraId="0B7880C3" w14:textId="77777777" w:rsidR="00161414" w:rsidRPr="00D7701A" w:rsidRDefault="00161414" w:rsidP="008039E4">
      <w:pPr>
        <w:rPr>
          <w:rFonts w:ascii="IBM Plex Sans" w:hAnsi="IBM Plex Sans"/>
        </w:rPr>
      </w:pPr>
    </w:p>
    <w:p w14:paraId="27717BB8" w14:textId="77777777" w:rsidR="00161414" w:rsidRPr="00D7701A" w:rsidRDefault="00161414" w:rsidP="008039E4">
      <w:pPr>
        <w:rPr>
          <w:rFonts w:ascii="IBM Plex Sans" w:hAnsi="IBM Plex Sans"/>
        </w:rPr>
      </w:pPr>
    </w:p>
    <w:p w14:paraId="3BF24DA4" w14:textId="77777777" w:rsidR="00161414" w:rsidRPr="00D7701A" w:rsidRDefault="00161414" w:rsidP="008039E4">
      <w:pPr>
        <w:rPr>
          <w:rFonts w:ascii="IBM Plex Sans" w:hAnsi="IBM Plex Sans"/>
        </w:rPr>
      </w:pPr>
    </w:p>
    <w:p w14:paraId="425ED074" w14:textId="77777777" w:rsidR="00161414" w:rsidRPr="00D7701A" w:rsidRDefault="00161414" w:rsidP="008039E4">
      <w:pPr>
        <w:rPr>
          <w:rFonts w:ascii="IBM Plex Sans" w:hAnsi="IBM Plex Sans"/>
        </w:rPr>
      </w:pPr>
    </w:p>
    <w:p w14:paraId="3434553E" w14:textId="77777777" w:rsidR="00161414" w:rsidRPr="00D7701A" w:rsidRDefault="00161414" w:rsidP="008039E4">
      <w:pPr>
        <w:rPr>
          <w:rFonts w:ascii="IBM Plex Sans" w:hAnsi="IBM Plex Sans"/>
        </w:rPr>
      </w:pPr>
    </w:p>
    <w:p w14:paraId="798FE4CA" w14:textId="77777777" w:rsidR="00161414" w:rsidRPr="00D7701A" w:rsidRDefault="00161414" w:rsidP="008039E4">
      <w:pPr>
        <w:rPr>
          <w:rFonts w:ascii="IBM Plex Sans" w:hAnsi="IBM Plex Sans"/>
        </w:rPr>
      </w:pPr>
    </w:p>
    <w:p w14:paraId="1A5DCE95" w14:textId="77777777" w:rsidR="00161414" w:rsidRPr="00D7701A" w:rsidRDefault="00161414" w:rsidP="008039E4">
      <w:pPr>
        <w:rPr>
          <w:rFonts w:ascii="IBM Plex Sans" w:hAnsi="IBM Plex Sans"/>
        </w:rPr>
      </w:pPr>
    </w:p>
    <w:p w14:paraId="494E5C55" w14:textId="039E1194" w:rsidR="00793953" w:rsidRDefault="00793953" w:rsidP="00257578">
      <w:pPr>
        <w:pStyle w:val="Heading1"/>
        <w:jc w:val="both"/>
        <w:rPr>
          <w:rFonts w:ascii="IBM Plex Sans" w:hAnsi="IBM Plex Sans"/>
          <w:b/>
          <w:bCs/>
          <w:color w:val="auto"/>
        </w:rPr>
      </w:pPr>
      <w:bookmarkStart w:id="0" w:name="_Toc190344226"/>
      <w:r>
        <w:rPr>
          <w:rFonts w:ascii="IBM Plex Sans" w:hAnsi="IBM Plex Sans"/>
          <w:b/>
          <w:bCs/>
          <w:color w:val="auto"/>
        </w:rPr>
        <w:lastRenderedPageBreak/>
        <w:t>How to use this doc</w:t>
      </w:r>
      <w:bookmarkEnd w:id="0"/>
      <w:r>
        <w:rPr>
          <w:rFonts w:ascii="IBM Plex Sans" w:hAnsi="IBM Plex Sans"/>
          <w:b/>
          <w:bCs/>
          <w:color w:val="auto"/>
        </w:rPr>
        <w:t xml:space="preserve"> </w:t>
      </w:r>
    </w:p>
    <w:p w14:paraId="37759DA8" w14:textId="77777777" w:rsidR="00D30E1C" w:rsidRPr="00D30E1C" w:rsidRDefault="00D30E1C" w:rsidP="00257578">
      <w:pPr>
        <w:jc w:val="both"/>
        <w:rPr>
          <w:rFonts w:ascii="IBM Plex Sans" w:hAnsi="IBM Plex Sans"/>
        </w:rPr>
      </w:pPr>
      <w:r w:rsidRPr="00D30E1C">
        <w:rPr>
          <w:rFonts w:ascii="IBM Plex Sans" w:hAnsi="IBM Plex Sans"/>
        </w:rPr>
        <w:t xml:space="preserve">This </w:t>
      </w:r>
      <w:r w:rsidRPr="00D30E1C">
        <w:rPr>
          <w:rFonts w:ascii="IBM Plex Sans" w:hAnsi="IBM Plex Sans"/>
          <w:b/>
          <w:bCs/>
        </w:rPr>
        <w:t>NDC Messaging 101 Guide</w:t>
      </w:r>
      <w:r w:rsidRPr="00D30E1C">
        <w:rPr>
          <w:rFonts w:ascii="IBM Plex Sans" w:hAnsi="IBM Plex Sans"/>
        </w:rPr>
        <w:t xml:space="preserve"> is designed to provide a clear, structured summary of FCM’s NDC positioning and messaging. It brings together the most critical elements from our </w:t>
      </w:r>
      <w:r w:rsidRPr="00D30E1C">
        <w:rPr>
          <w:rFonts w:ascii="IBM Plex Sans" w:hAnsi="IBM Plex Sans"/>
          <w:b/>
          <w:bCs/>
        </w:rPr>
        <w:t>NDC Positioning Strategy</w:t>
      </w:r>
      <w:r w:rsidRPr="00D30E1C">
        <w:rPr>
          <w:rFonts w:ascii="IBM Plex Sans" w:hAnsi="IBM Plex Sans"/>
        </w:rPr>
        <w:t xml:space="preserve"> and </w:t>
      </w:r>
      <w:r w:rsidRPr="00D30E1C">
        <w:rPr>
          <w:rFonts w:ascii="IBM Plex Sans" w:hAnsi="IBM Plex Sans"/>
          <w:b/>
          <w:bCs/>
        </w:rPr>
        <w:t>NDC Messaging Framework</w:t>
      </w:r>
      <w:r w:rsidRPr="00D30E1C">
        <w:rPr>
          <w:rFonts w:ascii="IBM Plex Sans" w:hAnsi="IBM Plex Sans"/>
        </w:rPr>
        <w:t xml:space="preserve"> into a single, easy-to-reference resource.</w:t>
      </w:r>
    </w:p>
    <w:p w14:paraId="362E14F7" w14:textId="77777777" w:rsidR="00D30E1C" w:rsidRPr="00D30E1C" w:rsidRDefault="00D30E1C" w:rsidP="00257578">
      <w:pPr>
        <w:jc w:val="both"/>
        <w:rPr>
          <w:rFonts w:ascii="IBM Plex Sans" w:hAnsi="IBM Plex Sans"/>
          <w:b/>
          <w:bCs/>
        </w:rPr>
      </w:pPr>
      <w:r w:rsidRPr="00D30E1C">
        <w:rPr>
          <w:rFonts w:ascii="IBM Plex Sans" w:hAnsi="IBM Plex Sans"/>
          <w:b/>
          <w:bCs/>
        </w:rPr>
        <w:t>Who is this guide for?</w:t>
      </w:r>
    </w:p>
    <w:p w14:paraId="20E726E4" w14:textId="77777777" w:rsidR="00D30E1C" w:rsidRPr="00D30E1C" w:rsidRDefault="00D30E1C" w:rsidP="00257578">
      <w:pPr>
        <w:jc w:val="both"/>
        <w:rPr>
          <w:rFonts w:ascii="IBM Plex Sans" w:hAnsi="IBM Plex Sans"/>
        </w:rPr>
      </w:pPr>
      <w:r w:rsidRPr="00D30E1C">
        <w:rPr>
          <w:rFonts w:ascii="IBM Plex Sans" w:hAnsi="IBM Plex Sans"/>
        </w:rPr>
        <w:t xml:space="preserve">This document is intended for </w:t>
      </w:r>
      <w:r w:rsidRPr="00D30E1C">
        <w:rPr>
          <w:rFonts w:ascii="IBM Plex Sans" w:hAnsi="IBM Plex Sans"/>
          <w:b/>
          <w:bCs/>
        </w:rPr>
        <w:t>marketing, communications, and content teams</w:t>
      </w:r>
      <w:r w:rsidRPr="00D30E1C">
        <w:rPr>
          <w:rFonts w:ascii="IBM Plex Sans" w:hAnsi="IBM Plex Sans"/>
        </w:rPr>
        <w:t xml:space="preserve"> to ensure all external messaging about FCM’s NDC approach is aligned, consistent, and impactful.</w:t>
      </w:r>
    </w:p>
    <w:p w14:paraId="5ECBC687" w14:textId="77777777" w:rsidR="00D30E1C" w:rsidRPr="00D30E1C" w:rsidRDefault="00D30E1C" w:rsidP="00257578">
      <w:pPr>
        <w:jc w:val="both"/>
        <w:rPr>
          <w:rFonts w:ascii="IBM Plex Sans" w:hAnsi="IBM Plex Sans"/>
          <w:b/>
          <w:bCs/>
        </w:rPr>
      </w:pPr>
      <w:r w:rsidRPr="00D30E1C">
        <w:rPr>
          <w:rFonts w:ascii="IBM Plex Sans" w:hAnsi="IBM Plex Sans"/>
          <w:b/>
          <w:bCs/>
        </w:rPr>
        <w:t>How to apply this messaging</w:t>
      </w:r>
    </w:p>
    <w:p w14:paraId="4A8C10BE" w14:textId="69C49D1A" w:rsidR="00D30E1C" w:rsidRDefault="00D30E1C" w:rsidP="00521815">
      <w:pPr>
        <w:rPr>
          <w:rFonts w:ascii="IBM Plex Sans" w:hAnsi="IBM Plex Sans"/>
        </w:rPr>
      </w:pPr>
      <w:r w:rsidRPr="00D30E1C">
        <w:rPr>
          <w:rFonts w:ascii="IBM Plex Sans" w:hAnsi="IBM Plex Sans"/>
        </w:rPr>
        <w:t>Use this guide when creating:</w:t>
      </w:r>
      <w:r w:rsidRPr="00D30E1C">
        <w:rPr>
          <w:rFonts w:ascii="IBM Plex Sans" w:hAnsi="IBM Plex Sans"/>
        </w:rPr>
        <w:br/>
      </w:r>
      <w:r w:rsidRPr="00D30E1C">
        <w:rPr>
          <w:rFonts w:ascii="Segoe UI Emoji" w:hAnsi="Segoe UI Emoji" w:cs="Segoe UI Emoji"/>
        </w:rPr>
        <w:t>✅</w:t>
      </w:r>
      <w:r w:rsidRPr="00D30E1C">
        <w:rPr>
          <w:rFonts w:ascii="IBM Plex Sans" w:hAnsi="IBM Plex Sans"/>
        </w:rPr>
        <w:t xml:space="preserve"> Website content</w:t>
      </w:r>
      <w:r w:rsidRPr="00D30E1C">
        <w:rPr>
          <w:rFonts w:ascii="IBM Plex Sans" w:hAnsi="IBM Plex Sans"/>
        </w:rPr>
        <w:br/>
      </w:r>
      <w:r w:rsidRPr="00D30E1C">
        <w:rPr>
          <w:rFonts w:ascii="Segoe UI Emoji" w:hAnsi="Segoe UI Emoji" w:cs="Segoe UI Emoji"/>
        </w:rPr>
        <w:t>✅</w:t>
      </w:r>
      <w:r w:rsidRPr="00D30E1C">
        <w:rPr>
          <w:rFonts w:ascii="IBM Plex Sans" w:hAnsi="IBM Plex Sans"/>
        </w:rPr>
        <w:t xml:space="preserve"> Social media posts</w:t>
      </w:r>
      <w:r w:rsidRPr="00D30E1C">
        <w:rPr>
          <w:rFonts w:ascii="IBM Plex Sans" w:hAnsi="IBM Plex Sans"/>
        </w:rPr>
        <w:br/>
      </w:r>
      <w:r w:rsidRPr="00D30E1C">
        <w:rPr>
          <w:rFonts w:ascii="Segoe UI Emoji" w:hAnsi="Segoe UI Emoji" w:cs="Segoe UI Emoji"/>
        </w:rPr>
        <w:t>✅</w:t>
      </w:r>
      <w:r w:rsidRPr="00D30E1C">
        <w:rPr>
          <w:rFonts w:ascii="IBM Plex Sans" w:hAnsi="IBM Plex Sans"/>
        </w:rPr>
        <w:t xml:space="preserve"> Email campaigns</w:t>
      </w:r>
      <w:r w:rsidRPr="00D30E1C">
        <w:rPr>
          <w:rFonts w:ascii="IBM Plex Sans" w:hAnsi="IBM Plex Sans"/>
        </w:rPr>
        <w:br/>
      </w:r>
      <w:r w:rsidRPr="00D30E1C">
        <w:rPr>
          <w:rFonts w:ascii="Segoe UI Emoji" w:hAnsi="Segoe UI Emoji" w:cs="Segoe UI Emoji"/>
        </w:rPr>
        <w:t>✅</w:t>
      </w:r>
      <w:r w:rsidRPr="00D30E1C">
        <w:rPr>
          <w:rFonts w:ascii="IBM Plex Sans" w:hAnsi="IBM Plex Sans"/>
        </w:rPr>
        <w:t xml:space="preserve"> Sales collateral</w:t>
      </w:r>
      <w:r w:rsidRPr="00D30E1C">
        <w:rPr>
          <w:rFonts w:ascii="IBM Plex Sans" w:hAnsi="IBM Plex Sans"/>
        </w:rPr>
        <w:br/>
      </w:r>
      <w:r w:rsidRPr="00D30E1C">
        <w:rPr>
          <w:rFonts w:ascii="Segoe UI Emoji" w:hAnsi="Segoe UI Emoji" w:cs="Segoe UI Emoji"/>
        </w:rPr>
        <w:t>✅</w:t>
      </w:r>
      <w:r w:rsidRPr="00D30E1C">
        <w:rPr>
          <w:rFonts w:ascii="IBM Plex Sans" w:hAnsi="IBM Plex Sans"/>
        </w:rPr>
        <w:t xml:space="preserve"> Thought leadership articles</w:t>
      </w:r>
      <w:r w:rsidRPr="00D30E1C">
        <w:rPr>
          <w:rFonts w:ascii="IBM Plex Sans" w:hAnsi="IBM Plex Sans"/>
        </w:rPr>
        <w:br/>
      </w:r>
      <w:r w:rsidRPr="00D30E1C">
        <w:rPr>
          <w:rFonts w:ascii="Segoe UI Emoji" w:hAnsi="Segoe UI Emoji" w:cs="Segoe UI Emoji"/>
        </w:rPr>
        <w:t>✅</w:t>
      </w:r>
      <w:r w:rsidRPr="00D30E1C">
        <w:rPr>
          <w:rFonts w:ascii="IBM Plex Sans" w:hAnsi="IBM Plex Sans"/>
        </w:rPr>
        <w:t xml:space="preserve"> Press releases</w:t>
      </w:r>
    </w:p>
    <w:p w14:paraId="536A95F4" w14:textId="4FE11C41" w:rsidR="00B0185E" w:rsidRPr="00D30E1C" w:rsidRDefault="00B0185E" w:rsidP="00521815">
      <w:pPr>
        <w:rPr>
          <w:rFonts w:ascii="IBM Plex Sans" w:hAnsi="IBM Plex Sans"/>
        </w:rPr>
      </w:pPr>
      <w:r w:rsidRPr="00D30E1C">
        <w:rPr>
          <w:rFonts w:ascii="Segoe UI Emoji" w:hAnsi="Segoe UI Emoji" w:cs="Segoe UI Emoji"/>
        </w:rPr>
        <w:t>✅</w:t>
      </w:r>
      <w:r w:rsidRPr="00D30E1C">
        <w:rPr>
          <w:rFonts w:ascii="IBM Plex Sans" w:hAnsi="IBM Plex Sans"/>
        </w:rPr>
        <w:t xml:space="preserve"> </w:t>
      </w:r>
      <w:r>
        <w:rPr>
          <w:rFonts w:ascii="IBM Plex Sans" w:hAnsi="IBM Plex Sans"/>
        </w:rPr>
        <w:t>Sales content</w:t>
      </w:r>
    </w:p>
    <w:p w14:paraId="7A6B31D8" w14:textId="77777777" w:rsidR="00D30E1C" w:rsidRPr="00D30E1C" w:rsidRDefault="00D30E1C" w:rsidP="00257578">
      <w:pPr>
        <w:jc w:val="both"/>
        <w:rPr>
          <w:rFonts w:ascii="IBM Plex Sans" w:hAnsi="IBM Plex Sans"/>
          <w:b/>
          <w:bCs/>
        </w:rPr>
      </w:pPr>
      <w:r w:rsidRPr="00D30E1C">
        <w:rPr>
          <w:rFonts w:ascii="IBM Plex Sans" w:hAnsi="IBM Plex Sans"/>
          <w:b/>
          <w:bCs/>
        </w:rPr>
        <w:t>Key elements in this guide:</w:t>
      </w:r>
    </w:p>
    <w:p w14:paraId="7D643017" w14:textId="77777777" w:rsidR="00D30E1C" w:rsidRPr="00D30E1C" w:rsidRDefault="00D30E1C" w:rsidP="00257578">
      <w:pPr>
        <w:numPr>
          <w:ilvl w:val="0"/>
          <w:numId w:val="23"/>
        </w:numPr>
        <w:jc w:val="both"/>
        <w:rPr>
          <w:rFonts w:ascii="IBM Plex Sans" w:hAnsi="IBM Plex Sans"/>
        </w:rPr>
      </w:pPr>
      <w:r w:rsidRPr="00D30E1C">
        <w:rPr>
          <w:rFonts w:ascii="IBM Plex Sans" w:hAnsi="IBM Plex Sans"/>
          <w:b/>
          <w:bCs/>
        </w:rPr>
        <w:t>Core positioning statement:</w:t>
      </w:r>
      <w:r w:rsidRPr="00D30E1C">
        <w:rPr>
          <w:rFonts w:ascii="IBM Plex Sans" w:hAnsi="IBM Plex Sans"/>
        </w:rPr>
        <w:t xml:space="preserve"> A succinct summary of how FCM differentiates itself in the NDC space.</w:t>
      </w:r>
    </w:p>
    <w:p w14:paraId="0795CFAE" w14:textId="77777777" w:rsidR="00D30E1C" w:rsidRPr="00D30E1C" w:rsidRDefault="00D30E1C" w:rsidP="00257578">
      <w:pPr>
        <w:numPr>
          <w:ilvl w:val="0"/>
          <w:numId w:val="23"/>
        </w:numPr>
        <w:jc w:val="both"/>
        <w:rPr>
          <w:rFonts w:ascii="IBM Plex Sans" w:hAnsi="IBM Plex Sans"/>
        </w:rPr>
      </w:pPr>
      <w:r w:rsidRPr="00D30E1C">
        <w:rPr>
          <w:rFonts w:ascii="IBM Plex Sans" w:hAnsi="IBM Plex Sans"/>
          <w:b/>
          <w:bCs/>
        </w:rPr>
        <w:t>Value proposition &amp; elevator pitch:</w:t>
      </w:r>
      <w:r w:rsidRPr="00D30E1C">
        <w:rPr>
          <w:rFonts w:ascii="IBM Plex Sans" w:hAnsi="IBM Plex Sans"/>
        </w:rPr>
        <w:t xml:space="preserve"> A refined, compelling way to articulate our NDC strategy.</w:t>
      </w:r>
    </w:p>
    <w:p w14:paraId="194CFA4A" w14:textId="77777777" w:rsidR="00D30E1C" w:rsidRPr="00D30E1C" w:rsidRDefault="00D30E1C" w:rsidP="00257578">
      <w:pPr>
        <w:numPr>
          <w:ilvl w:val="0"/>
          <w:numId w:val="23"/>
        </w:numPr>
        <w:jc w:val="both"/>
        <w:rPr>
          <w:rFonts w:ascii="IBM Plex Sans" w:hAnsi="IBM Plex Sans"/>
        </w:rPr>
      </w:pPr>
      <w:r w:rsidRPr="00D30E1C">
        <w:rPr>
          <w:rFonts w:ascii="IBM Plex Sans" w:hAnsi="IBM Plex Sans"/>
          <w:b/>
          <w:bCs/>
        </w:rPr>
        <w:t>Unique differentiators:</w:t>
      </w:r>
      <w:r w:rsidRPr="00D30E1C">
        <w:rPr>
          <w:rFonts w:ascii="IBM Plex Sans" w:hAnsi="IBM Plex Sans"/>
        </w:rPr>
        <w:t xml:space="preserve"> The standout attributes that set us apart from competitors.</w:t>
      </w:r>
    </w:p>
    <w:p w14:paraId="392AA593" w14:textId="29E686AC" w:rsidR="00D30E1C" w:rsidRPr="00D30E1C" w:rsidRDefault="00D30E1C" w:rsidP="00257578">
      <w:pPr>
        <w:numPr>
          <w:ilvl w:val="0"/>
          <w:numId w:val="23"/>
        </w:numPr>
        <w:jc w:val="both"/>
        <w:rPr>
          <w:rFonts w:ascii="IBM Plex Sans" w:hAnsi="IBM Plex Sans"/>
        </w:rPr>
      </w:pPr>
      <w:r w:rsidRPr="00D30E1C">
        <w:rPr>
          <w:rFonts w:ascii="IBM Plex Sans" w:hAnsi="IBM Plex Sans"/>
          <w:b/>
          <w:bCs/>
        </w:rPr>
        <w:t>Key messaging</w:t>
      </w:r>
      <w:r w:rsidR="00B84E53">
        <w:rPr>
          <w:rFonts w:ascii="IBM Plex Sans" w:hAnsi="IBM Plex Sans"/>
          <w:b/>
          <w:bCs/>
        </w:rPr>
        <w:t xml:space="preserve"> &amp; outcome</w:t>
      </w:r>
      <w:r w:rsidRPr="00D30E1C">
        <w:rPr>
          <w:rFonts w:ascii="IBM Plex Sans" w:hAnsi="IBM Plex Sans"/>
          <w:b/>
          <w:bCs/>
        </w:rPr>
        <w:t xml:space="preserve"> pillars:</w:t>
      </w:r>
      <w:r w:rsidRPr="00D30E1C">
        <w:rPr>
          <w:rFonts w:ascii="IBM Plex Sans" w:hAnsi="IBM Plex Sans"/>
        </w:rPr>
        <w:t xml:space="preserve"> The foundation for consistent communication across all channels.</w:t>
      </w:r>
    </w:p>
    <w:p w14:paraId="341ED730" w14:textId="77777777" w:rsidR="00D30E1C" w:rsidRPr="00D30E1C" w:rsidRDefault="00D30E1C" w:rsidP="00257578">
      <w:pPr>
        <w:jc w:val="both"/>
        <w:rPr>
          <w:rFonts w:ascii="IBM Plex Sans" w:hAnsi="IBM Plex Sans"/>
          <w:b/>
          <w:bCs/>
        </w:rPr>
      </w:pPr>
      <w:r w:rsidRPr="00D30E1C">
        <w:rPr>
          <w:rFonts w:ascii="IBM Plex Sans" w:hAnsi="IBM Plex Sans"/>
          <w:b/>
          <w:bCs/>
        </w:rPr>
        <w:t>Maintaining consistency &amp; approvals</w:t>
      </w:r>
    </w:p>
    <w:p w14:paraId="1E321DAA" w14:textId="069BF685" w:rsidR="00D30E1C" w:rsidRPr="00D30E1C" w:rsidRDefault="00B84E53" w:rsidP="00257578">
      <w:pPr>
        <w:jc w:val="both"/>
        <w:rPr>
          <w:rFonts w:ascii="IBM Plex Sans" w:hAnsi="IBM Plex Sans"/>
        </w:rPr>
      </w:pPr>
      <w:r>
        <w:rPr>
          <w:rFonts w:ascii="IBM Plex Sans" w:hAnsi="IBM Plex Sans"/>
        </w:rPr>
        <w:t>Please</w:t>
      </w:r>
      <w:r w:rsidR="00D30E1C" w:rsidRPr="00D30E1C">
        <w:rPr>
          <w:rFonts w:ascii="IBM Plex Sans" w:hAnsi="IBM Plex Sans"/>
        </w:rPr>
        <w:t xml:space="preserve"> ensure that any marketing materials referencing NDC adhere to this guide. If you’re developing new content, please run it by </w:t>
      </w:r>
      <w:r w:rsidR="00D30E1C" w:rsidRPr="00D30E1C">
        <w:rPr>
          <w:rFonts w:ascii="IBM Plex Sans" w:hAnsi="IBM Plex Sans"/>
          <w:b/>
          <w:bCs/>
        </w:rPr>
        <w:t>Ioana</w:t>
      </w:r>
      <w:r w:rsidR="00257578">
        <w:rPr>
          <w:rFonts w:ascii="IBM Plex Sans" w:hAnsi="IBM Plex Sans"/>
          <w:b/>
          <w:bCs/>
        </w:rPr>
        <w:t xml:space="preserve"> Gaicea</w:t>
      </w:r>
      <w:r w:rsidR="0016699F">
        <w:rPr>
          <w:rFonts w:ascii="IBM Plex Sans" w:hAnsi="IBM Plex Sans"/>
          <w:b/>
          <w:bCs/>
        </w:rPr>
        <w:t xml:space="preserve">, Global Supply </w:t>
      </w:r>
      <w:r w:rsidR="0016699F">
        <w:rPr>
          <w:rFonts w:ascii="IBM Plex Sans" w:hAnsi="IBM Plex Sans"/>
          <w:b/>
          <w:bCs/>
        </w:rPr>
        <w:lastRenderedPageBreak/>
        <w:t xml:space="preserve">Product Marketing Manager </w:t>
      </w:r>
      <w:r w:rsidR="00257578">
        <w:rPr>
          <w:rFonts w:ascii="IBM Plex Sans" w:hAnsi="IBM Plex Sans"/>
          <w:b/>
          <w:bCs/>
        </w:rPr>
        <w:t>(</w:t>
      </w:r>
      <w:hyperlink r:id="rId8" w:history="1">
        <w:r w:rsidR="00257578" w:rsidRPr="00492F3D">
          <w:rPr>
            <w:rStyle w:val="Hyperlink"/>
            <w:rFonts w:ascii="IBM Plex Sans" w:hAnsi="IBM Plex Sans"/>
            <w:b/>
            <w:bCs/>
          </w:rPr>
          <w:t>Ioana.gaicea@flightcentre.co.uk</w:t>
        </w:r>
      </w:hyperlink>
      <w:r w:rsidR="00257578">
        <w:rPr>
          <w:rFonts w:ascii="IBM Plex Sans" w:hAnsi="IBM Plex Sans"/>
          <w:b/>
          <w:bCs/>
        </w:rPr>
        <w:t>)</w:t>
      </w:r>
      <w:r w:rsidR="00D30E1C" w:rsidRPr="00D30E1C">
        <w:rPr>
          <w:rFonts w:ascii="IBM Plex Sans" w:hAnsi="IBM Plex Sans"/>
        </w:rPr>
        <w:t xml:space="preserve"> before publishing to ensure accuracy and alignment with the broader strategy.</w:t>
      </w:r>
    </w:p>
    <w:p w14:paraId="7582C089" w14:textId="48BB277C" w:rsidR="00B84E53" w:rsidRPr="00B84E53" w:rsidRDefault="00D30E1C" w:rsidP="00B84E53">
      <w:pPr>
        <w:rPr>
          <w:rFonts w:ascii="IBM Plex Sans" w:hAnsi="IBM Plex Sans"/>
        </w:rPr>
      </w:pPr>
      <w:r w:rsidRPr="00D30E1C">
        <w:rPr>
          <w:rFonts w:ascii="IBM Plex Sans" w:hAnsi="IBM Plex Sans"/>
        </w:rPr>
        <w:t>For any questions</w:t>
      </w:r>
      <w:r w:rsidR="00B84E53">
        <w:rPr>
          <w:rFonts w:ascii="IBM Plex Sans" w:hAnsi="IBM Plex Sans"/>
        </w:rPr>
        <w:t xml:space="preserve">, </w:t>
      </w:r>
      <w:r w:rsidRPr="00D30E1C">
        <w:rPr>
          <w:rFonts w:ascii="IBM Plex Sans" w:hAnsi="IBM Plex Sans"/>
        </w:rPr>
        <w:t>clarifications</w:t>
      </w:r>
      <w:r w:rsidR="00B84E53">
        <w:rPr>
          <w:rFonts w:ascii="IBM Plex Sans" w:hAnsi="IBM Plex Sans"/>
        </w:rPr>
        <w:t xml:space="preserve"> or feedback</w:t>
      </w:r>
      <w:r w:rsidRPr="00D30E1C">
        <w:rPr>
          <w:rFonts w:ascii="IBM Plex Sans" w:hAnsi="IBM Plex Sans"/>
        </w:rPr>
        <w:t>, feel free to reach out</w:t>
      </w:r>
      <w:r w:rsidR="00B84E53">
        <w:rPr>
          <w:rFonts w:ascii="IBM Plex Sans" w:hAnsi="IBM Plex Sans"/>
        </w:rPr>
        <w:t xml:space="preserve">! </w:t>
      </w:r>
    </w:p>
    <w:p w14:paraId="2EB56B79" w14:textId="7BE584E3" w:rsidR="00DF57FC" w:rsidRPr="00D7701A" w:rsidRDefault="0052169E" w:rsidP="000A1D51">
      <w:pPr>
        <w:pStyle w:val="Heading1"/>
        <w:jc w:val="both"/>
        <w:rPr>
          <w:rFonts w:ascii="IBM Plex Sans" w:hAnsi="IBM Plex Sans"/>
          <w:b/>
          <w:bCs/>
          <w:color w:val="auto"/>
        </w:rPr>
      </w:pPr>
      <w:bookmarkStart w:id="1" w:name="_Toc190344227"/>
      <w:r w:rsidRPr="00D7701A">
        <w:rPr>
          <w:rFonts w:ascii="IBM Plex Sans" w:hAnsi="IBM Plex Sans"/>
          <w:b/>
          <w:bCs/>
          <w:color w:val="auto"/>
        </w:rPr>
        <w:t>Core positioning statement</w:t>
      </w:r>
      <w:bookmarkEnd w:id="1"/>
      <w:r w:rsidRPr="00D7701A">
        <w:rPr>
          <w:rFonts w:ascii="IBM Plex Sans" w:hAnsi="IBM Plex Sans"/>
          <w:b/>
          <w:bCs/>
          <w:color w:val="auto"/>
        </w:rPr>
        <w:t xml:space="preserve"> </w:t>
      </w:r>
    </w:p>
    <w:p w14:paraId="021AF29E" w14:textId="54465387" w:rsidR="0019068D" w:rsidRPr="00D7701A" w:rsidRDefault="0019068D" w:rsidP="000A1D51">
      <w:pPr>
        <w:jc w:val="both"/>
        <w:rPr>
          <w:rFonts w:ascii="IBM Plex Sans" w:hAnsi="IBM Plex Sans"/>
          <w:i/>
          <w:iCs/>
          <w:sz w:val="22"/>
          <w:szCs w:val="22"/>
        </w:rPr>
      </w:pPr>
      <w:r w:rsidRPr="00D7701A">
        <w:rPr>
          <w:rFonts w:ascii="IBM Plex Sans" w:hAnsi="IBM Plex Sans"/>
          <w:i/>
          <w:iCs/>
          <w:sz w:val="22"/>
          <w:szCs w:val="22"/>
        </w:rPr>
        <w:t>A clear and strategic definition of how FCM stands out in the market, shaping our messaging and competitive differentiation.</w:t>
      </w:r>
    </w:p>
    <w:p w14:paraId="4767637F" w14:textId="05090617" w:rsidR="005D41F5" w:rsidRPr="00D7701A" w:rsidRDefault="000D5D4C" w:rsidP="000A1D51">
      <w:pPr>
        <w:jc w:val="both"/>
        <w:rPr>
          <w:rFonts w:ascii="IBM Plex Sans" w:hAnsi="IBM Plex Sans"/>
        </w:rPr>
      </w:pPr>
      <w:r w:rsidRPr="00D7701A">
        <w:rPr>
          <w:rFonts w:ascii="IBM Plex Sans" w:hAnsi="IBM Plex Sans"/>
        </w:rPr>
        <w:t>FCM is committed to modern air retailing, ensuring businesses have access to rigorously tested, serviceable NDC content that drives efficiency and value. With a focus on operational reliability and customer alignment, we make NDC work for corporate travel programmes, delivering content that is practical, compliant, and future-ready</w:t>
      </w:r>
      <w:r w:rsidR="000074A3" w:rsidRPr="00D7701A">
        <w:rPr>
          <w:rFonts w:ascii="IBM Plex Sans" w:hAnsi="IBM Plex Sans"/>
        </w:rPr>
        <w:t xml:space="preserve">. </w:t>
      </w:r>
    </w:p>
    <w:p w14:paraId="66EDBFC2" w14:textId="4C242699" w:rsidR="0052169E" w:rsidRPr="00D7701A" w:rsidRDefault="00D63152" w:rsidP="000A1D51">
      <w:pPr>
        <w:pStyle w:val="Heading1"/>
        <w:jc w:val="both"/>
        <w:rPr>
          <w:rFonts w:ascii="IBM Plex Sans" w:hAnsi="IBM Plex Sans"/>
          <w:b/>
          <w:bCs/>
          <w:color w:val="auto"/>
        </w:rPr>
      </w:pPr>
      <w:bookmarkStart w:id="2" w:name="_Toc190344228"/>
      <w:r w:rsidRPr="00D7701A">
        <w:rPr>
          <w:rFonts w:ascii="IBM Plex Sans" w:hAnsi="IBM Plex Sans"/>
          <w:b/>
          <w:bCs/>
          <w:color w:val="auto"/>
        </w:rPr>
        <w:t>Core value proposition</w:t>
      </w:r>
      <w:bookmarkEnd w:id="2"/>
      <w:r w:rsidRPr="00D7701A">
        <w:rPr>
          <w:rFonts w:ascii="IBM Plex Sans" w:hAnsi="IBM Plex Sans"/>
          <w:b/>
          <w:bCs/>
          <w:color w:val="auto"/>
        </w:rPr>
        <w:t xml:space="preserve"> </w:t>
      </w:r>
    </w:p>
    <w:p w14:paraId="40D3121B" w14:textId="528F1375" w:rsidR="008770A3" w:rsidRPr="00D7701A" w:rsidRDefault="008770A3" w:rsidP="000A1D51">
      <w:pPr>
        <w:jc w:val="both"/>
        <w:rPr>
          <w:rFonts w:ascii="IBM Plex Sans" w:hAnsi="IBM Plex Sans"/>
          <w:sz w:val="22"/>
          <w:szCs w:val="22"/>
        </w:rPr>
      </w:pPr>
      <w:r w:rsidRPr="00D7701A">
        <w:rPr>
          <w:rFonts w:ascii="IBM Plex Sans" w:hAnsi="IBM Plex Sans"/>
          <w:bCs/>
          <w:i/>
          <w:iCs/>
          <w:sz w:val="22"/>
          <w:szCs w:val="22"/>
        </w:rPr>
        <w:t>The core value prop that is often used on homepage headlines. This is a succinct statement of our unique value that we’re able to offer customers. This is closely tied to our positioning and has one, clear focal point.</w:t>
      </w:r>
    </w:p>
    <w:p w14:paraId="63A0441C" w14:textId="203DD921" w:rsidR="00D63152" w:rsidRPr="00D7701A" w:rsidRDefault="005D3B84" w:rsidP="000A1D51">
      <w:pPr>
        <w:jc w:val="both"/>
        <w:rPr>
          <w:rFonts w:ascii="IBM Plex Sans" w:hAnsi="IBM Plex Sans"/>
        </w:rPr>
      </w:pPr>
      <w:r w:rsidRPr="00D7701A">
        <w:rPr>
          <w:rFonts w:ascii="IBM Plex Sans" w:hAnsi="IBM Plex Sans"/>
          <w:b/>
          <w:bCs/>
        </w:rPr>
        <w:t>Business-ready NDC:</w:t>
      </w:r>
      <w:r w:rsidRPr="00D7701A">
        <w:rPr>
          <w:rFonts w:ascii="IBM Plex Sans" w:hAnsi="IBM Plex Sans"/>
        </w:rPr>
        <w:t xml:space="preserve"> Relevant, tested to the highest standard, and proven to work for your business.</w:t>
      </w:r>
    </w:p>
    <w:p w14:paraId="63F0CE38" w14:textId="445273CE" w:rsidR="003D335B" w:rsidRPr="00D7701A" w:rsidRDefault="003D335B" w:rsidP="000A1D51">
      <w:pPr>
        <w:pStyle w:val="Heading1"/>
        <w:jc w:val="both"/>
        <w:rPr>
          <w:rFonts w:ascii="IBM Plex Sans" w:hAnsi="IBM Plex Sans"/>
          <w:b/>
          <w:bCs/>
          <w:color w:val="auto"/>
        </w:rPr>
      </w:pPr>
      <w:bookmarkStart w:id="3" w:name="_Toc190344229"/>
      <w:r w:rsidRPr="00D7701A">
        <w:rPr>
          <w:rFonts w:ascii="IBM Plex Sans" w:hAnsi="IBM Plex Sans"/>
          <w:b/>
          <w:bCs/>
          <w:color w:val="auto"/>
        </w:rPr>
        <w:t>Audience</w:t>
      </w:r>
      <w:bookmarkEnd w:id="3"/>
    </w:p>
    <w:p w14:paraId="3746EBA4" w14:textId="329E3322" w:rsidR="00C41A07" w:rsidRPr="00D7701A" w:rsidRDefault="00C41A07" w:rsidP="000A1D51">
      <w:pPr>
        <w:jc w:val="both"/>
        <w:rPr>
          <w:rFonts w:ascii="IBM Plex Sans" w:hAnsi="IBM Plex Sans"/>
          <w:b/>
          <w:bCs/>
        </w:rPr>
      </w:pPr>
      <w:r w:rsidRPr="00D7701A">
        <w:rPr>
          <w:rFonts w:ascii="IBM Plex Sans" w:hAnsi="IBM Plex Sans"/>
          <w:b/>
          <w:bCs/>
        </w:rPr>
        <w:t xml:space="preserve">Company profiles &amp; NDC understanding: </w:t>
      </w:r>
    </w:p>
    <w:p w14:paraId="2B4BFA87" w14:textId="165D9250" w:rsidR="00C41A07" w:rsidRPr="00D7701A" w:rsidRDefault="004E542A" w:rsidP="000A1D51">
      <w:pPr>
        <w:jc w:val="both"/>
        <w:rPr>
          <w:rFonts w:ascii="IBM Plex Sans" w:hAnsi="IBM Plex Sans"/>
        </w:rPr>
      </w:pPr>
      <w:r w:rsidRPr="00D7701A">
        <w:rPr>
          <w:rFonts w:ascii="IBM Plex Sans" w:hAnsi="IBM Plex Sans"/>
        </w:rPr>
        <w:t>Our target audience typically falls within two types of company profiles:</w:t>
      </w:r>
    </w:p>
    <w:p w14:paraId="7FCA70CF" w14:textId="4FB4E8B7" w:rsidR="004E542A" w:rsidRPr="004E542A" w:rsidRDefault="004E542A" w:rsidP="000A1D51">
      <w:pPr>
        <w:pStyle w:val="ListParagraph"/>
        <w:numPr>
          <w:ilvl w:val="0"/>
          <w:numId w:val="3"/>
        </w:numPr>
        <w:jc w:val="both"/>
        <w:rPr>
          <w:rFonts w:ascii="IBM Plex Sans" w:hAnsi="IBM Plex Sans"/>
        </w:rPr>
      </w:pPr>
      <w:r w:rsidRPr="004E542A">
        <w:rPr>
          <w:rFonts w:ascii="IBM Plex Sans" w:hAnsi="IBM Plex Sans"/>
          <w:b/>
          <w:bCs/>
        </w:rPr>
        <w:t>Companies with a light understanding of NDC</w:t>
      </w:r>
      <w:r w:rsidRPr="004E542A">
        <w:rPr>
          <w:rFonts w:ascii="IBM Plex Sans" w:hAnsi="IBM Plex Sans"/>
        </w:rPr>
        <w:t xml:space="preserve"> – These businesses are in the early stages of exploring NDC and require guidance on what it means for their travel programme, including its benefits, potential challenges, and impact on servicing.</w:t>
      </w:r>
    </w:p>
    <w:p w14:paraId="2E2EE355" w14:textId="2A8ADE84" w:rsidR="00C41A07" w:rsidRPr="00D7701A" w:rsidRDefault="004E542A" w:rsidP="000A1D51">
      <w:pPr>
        <w:pStyle w:val="ListParagraph"/>
        <w:numPr>
          <w:ilvl w:val="0"/>
          <w:numId w:val="3"/>
        </w:numPr>
        <w:jc w:val="both"/>
        <w:rPr>
          <w:rFonts w:ascii="IBM Plex Sans" w:hAnsi="IBM Plex Sans"/>
        </w:rPr>
      </w:pPr>
      <w:r w:rsidRPr="00D7701A">
        <w:rPr>
          <w:rFonts w:ascii="IBM Plex Sans" w:hAnsi="IBM Plex Sans"/>
          <w:b/>
          <w:bCs/>
        </w:rPr>
        <w:t>Companies with a higher understanding of NDC</w:t>
      </w:r>
      <w:r w:rsidRPr="00D7701A">
        <w:rPr>
          <w:rFonts w:ascii="IBM Plex Sans" w:hAnsi="IBM Plex Sans"/>
        </w:rPr>
        <w:t xml:space="preserve"> – These organisations have a stronger grasp of NDC but still require education on its practical applications, servicing implications, and how to integrate it effectively into their travel programme. They seek a TMC that can provide both expertise and a structured approach to NDC adoption.</w:t>
      </w:r>
    </w:p>
    <w:p w14:paraId="26A2FEC9" w14:textId="5E0B8B93" w:rsidR="00C41A07" w:rsidRPr="00D7701A" w:rsidRDefault="00C41A07" w:rsidP="000A1D51">
      <w:pPr>
        <w:jc w:val="both"/>
        <w:rPr>
          <w:rFonts w:ascii="IBM Plex Sans" w:hAnsi="IBM Plex Sans"/>
          <w:b/>
          <w:bCs/>
        </w:rPr>
      </w:pPr>
      <w:r w:rsidRPr="00D7701A">
        <w:rPr>
          <w:rFonts w:ascii="IBM Plex Sans" w:hAnsi="IBM Plex Sans"/>
          <w:b/>
          <w:bCs/>
        </w:rPr>
        <w:t xml:space="preserve">Personas we’re actively speaking to: </w:t>
      </w:r>
    </w:p>
    <w:p w14:paraId="70E13AF3" w14:textId="77777777" w:rsidR="00421841" w:rsidRPr="00D7701A" w:rsidRDefault="00421841" w:rsidP="000A1D51">
      <w:pPr>
        <w:widowControl w:val="0"/>
        <w:numPr>
          <w:ilvl w:val="0"/>
          <w:numId w:val="2"/>
        </w:numPr>
        <w:spacing w:after="0" w:line="276" w:lineRule="auto"/>
        <w:jc w:val="both"/>
        <w:rPr>
          <w:rFonts w:ascii="IBM Plex Sans" w:hAnsi="IBM Plex Sans" w:cstheme="majorHAnsi"/>
          <w:color w:val="2F2E2E"/>
        </w:rPr>
      </w:pPr>
      <w:r w:rsidRPr="00D7701A">
        <w:rPr>
          <w:rFonts w:ascii="IBM Plex Sans" w:hAnsi="IBM Plex Sans" w:cstheme="majorHAnsi"/>
          <w:b/>
          <w:bCs/>
          <w:color w:val="2F2E2E"/>
        </w:rPr>
        <w:lastRenderedPageBreak/>
        <w:t>Travel Managers</w:t>
      </w:r>
      <w:r w:rsidRPr="00D7701A">
        <w:rPr>
          <w:rFonts w:ascii="IBM Plex Sans" w:hAnsi="IBM Plex Sans" w:cstheme="majorHAnsi"/>
          <w:color w:val="2F2E2E"/>
        </w:rPr>
        <w:t>: Focused on operational efficiency, visibility, innovation, and cost control.</w:t>
      </w:r>
    </w:p>
    <w:p w14:paraId="21E065EE" w14:textId="178DFC7A" w:rsidR="003D335B" w:rsidRPr="00D7701A" w:rsidRDefault="00421841" w:rsidP="000A1D51">
      <w:pPr>
        <w:widowControl w:val="0"/>
        <w:numPr>
          <w:ilvl w:val="0"/>
          <w:numId w:val="2"/>
        </w:numPr>
        <w:spacing w:after="0" w:line="276" w:lineRule="auto"/>
        <w:jc w:val="both"/>
        <w:rPr>
          <w:rFonts w:ascii="IBM Plex Sans" w:hAnsi="IBM Plex Sans" w:cstheme="majorHAnsi"/>
          <w:color w:val="2F2E2E"/>
        </w:rPr>
      </w:pPr>
      <w:r w:rsidRPr="00D7701A">
        <w:rPr>
          <w:rFonts w:ascii="IBM Plex Sans" w:hAnsi="IBM Plex Sans" w:cstheme="majorHAnsi"/>
          <w:b/>
          <w:bCs/>
          <w:color w:val="2F2E2E"/>
        </w:rPr>
        <w:t>Decision Makers</w:t>
      </w:r>
      <w:r w:rsidRPr="00D7701A">
        <w:rPr>
          <w:rFonts w:ascii="IBM Plex Sans" w:hAnsi="IBM Plex Sans" w:cstheme="majorHAnsi"/>
          <w:color w:val="2F2E2E"/>
        </w:rPr>
        <w:t>: Prioritising budget optimisation, policy adherence, and risk management.</w:t>
      </w:r>
    </w:p>
    <w:p w14:paraId="53AB4CE2" w14:textId="77777777" w:rsidR="00161414" w:rsidRPr="00D7701A" w:rsidRDefault="00161414" w:rsidP="000A1D51">
      <w:pPr>
        <w:widowControl w:val="0"/>
        <w:spacing w:after="0" w:line="276" w:lineRule="auto"/>
        <w:ind w:left="720"/>
        <w:jc w:val="both"/>
        <w:rPr>
          <w:rFonts w:ascii="IBM Plex Sans" w:hAnsi="IBM Plex Sans" w:cstheme="majorHAnsi"/>
          <w:color w:val="2F2E2E"/>
        </w:rPr>
      </w:pPr>
    </w:p>
    <w:p w14:paraId="5B4A7A65" w14:textId="76B7514C" w:rsidR="004E542A" w:rsidRPr="00D7701A" w:rsidRDefault="004E542A" w:rsidP="000A1D51">
      <w:pPr>
        <w:widowControl w:val="0"/>
        <w:spacing w:after="0" w:line="276" w:lineRule="auto"/>
        <w:jc w:val="both"/>
        <w:rPr>
          <w:rFonts w:ascii="IBM Plex Sans" w:hAnsi="IBM Plex Sans" w:cstheme="majorHAnsi"/>
          <w:color w:val="2F2E2E"/>
        </w:rPr>
      </w:pPr>
      <w:r w:rsidRPr="00D7701A">
        <w:rPr>
          <w:rFonts w:ascii="IBM Plex Sans" w:hAnsi="IBM Plex Sans" w:cstheme="majorHAnsi"/>
          <w:color w:val="2F2E2E"/>
        </w:rPr>
        <w:t xml:space="preserve"> </w:t>
      </w:r>
      <w:r w:rsidR="00A800A4" w:rsidRPr="003031F6">
        <w:rPr>
          <mc:AlternateContent>
            <mc:Choice Requires="w16se">
              <w:rFonts w:ascii="IBM Plex Sans" w:hAnsi="IBM Plex Sans" w:cs="Calibri"/>
            </mc:Choice>
            <mc:Fallback>
              <w:rFonts w:ascii="Segoe UI Emoji" w:eastAsia="Segoe UI Emoji" w:hAnsi="Segoe UI Emoji" w:cs="Segoe UI Emoji"/>
            </mc:Fallback>
          </mc:AlternateContent>
          <w:b/>
          <w:bCs/>
        </w:rPr>
        <mc:AlternateContent>
          <mc:Choice Requires="w16se">
            <w16se:symEx w16se:font="Segoe UI Emoji" w16se:char="1F449"/>
          </mc:Choice>
          <mc:Fallback>
            <w:t>👉</w:t>
          </mc:Fallback>
        </mc:AlternateContent>
      </w:r>
      <w:r w:rsidR="003031F6" w:rsidRPr="003031F6">
        <w:rPr>
          <w:rFonts w:ascii="IBM Plex Sans" w:hAnsi="IBM Plex Sans" w:cs="Calibri"/>
          <w:b/>
          <w:bCs/>
        </w:rPr>
        <w:t>Ioana’s tips:</w:t>
      </w:r>
      <w:r w:rsidR="00A800A4" w:rsidRPr="00D7701A">
        <w:rPr>
          <w:rFonts w:ascii="IBM Plex Sans" w:hAnsi="IBM Plex Sans" w:cs="Calibri"/>
        </w:rPr>
        <w:t xml:space="preserve"> </w:t>
      </w:r>
      <w:r w:rsidRPr="00D7701A">
        <w:rPr>
          <w:rFonts w:ascii="IBM Plex Sans" w:hAnsi="IBM Plex Sans" w:cstheme="majorHAnsi"/>
          <w:color w:val="2F2E2E"/>
        </w:rPr>
        <w:t xml:space="preserve">for a detailed breakdown of these personas </w:t>
      </w:r>
      <w:r w:rsidR="00921FFD">
        <w:rPr>
          <w:rFonts w:ascii="IBM Plex Sans" w:hAnsi="IBM Plex Sans" w:cstheme="majorHAnsi"/>
          <w:color w:val="2F2E2E"/>
        </w:rPr>
        <w:t xml:space="preserve">and </w:t>
      </w:r>
      <w:r w:rsidR="003031F6">
        <w:rPr>
          <w:rFonts w:ascii="IBM Plex Sans" w:hAnsi="IBM Plex Sans" w:cstheme="majorHAnsi"/>
          <w:color w:val="2F2E2E"/>
        </w:rPr>
        <w:t>their</w:t>
      </w:r>
      <w:r w:rsidR="00921FFD">
        <w:rPr>
          <w:rFonts w:ascii="IBM Plex Sans" w:hAnsi="IBM Plex Sans" w:cstheme="majorHAnsi"/>
          <w:color w:val="2F2E2E"/>
        </w:rPr>
        <w:t xml:space="preserve"> pain points </w:t>
      </w:r>
      <w:r w:rsidRPr="00D7701A">
        <w:rPr>
          <w:rFonts w:ascii="IBM Plex Sans" w:hAnsi="IBM Plex Sans" w:cstheme="majorHAnsi"/>
          <w:color w:val="2F2E2E"/>
        </w:rPr>
        <w:t xml:space="preserve">please access the </w:t>
      </w:r>
      <w:r w:rsidR="00A44002" w:rsidRPr="00D7701A">
        <w:rPr>
          <w:rFonts w:ascii="IBM Plex Sans" w:hAnsi="IBM Plex Sans" w:cstheme="majorHAnsi"/>
          <w:color w:val="2F2E2E"/>
        </w:rPr>
        <w:t>positioning doc</w:t>
      </w:r>
      <w:r w:rsidR="00161414" w:rsidRPr="00D7701A">
        <w:rPr>
          <w:rFonts w:ascii="IBM Plex Sans" w:hAnsi="IBM Plex Sans" w:cstheme="majorHAnsi"/>
          <w:color w:val="2F2E2E"/>
        </w:rPr>
        <w:t xml:space="preserve"> </w:t>
      </w:r>
      <w:hyperlink r:id="rId9" w:history="1">
        <w:r w:rsidR="00A44002" w:rsidRPr="00D7701A">
          <w:rPr>
            <w:rStyle w:val="Hyperlink"/>
            <w:rFonts w:ascii="IBM Plex Sans" w:hAnsi="IBM Plex Sans" w:cstheme="majorHAnsi"/>
          </w:rPr>
          <w:t>here</w:t>
        </w:r>
      </w:hyperlink>
      <w:r w:rsidR="008C6E92" w:rsidRPr="00D7701A">
        <w:rPr>
          <w:rFonts w:ascii="IBM Plex Sans" w:hAnsi="IBM Plex Sans" w:cstheme="majorHAnsi"/>
          <w:color w:val="2F2E2E"/>
        </w:rPr>
        <w:t>.</w:t>
      </w:r>
    </w:p>
    <w:p w14:paraId="0B3C5C6D" w14:textId="12452019" w:rsidR="00DF57FC" w:rsidRDefault="003945D3" w:rsidP="000A1D51">
      <w:pPr>
        <w:pStyle w:val="Heading1"/>
        <w:jc w:val="both"/>
        <w:rPr>
          <w:rFonts w:ascii="IBM Plex Sans" w:hAnsi="IBM Plex Sans"/>
          <w:b/>
          <w:bCs/>
          <w:color w:val="auto"/>
        </w:rPr>
      </w:pPr>
      <w:bookmarkStart w:id="4" w:name="_Toc190344230"/>
      <w:r w:rsidRPr="00D7701A">
        <w:rPr>
          <w:rFonts w:ascii="IBM Plex Sans" w:hAnsi="IBM Plex Sans"/>
          <w:b/>
          <w:bCs/>
          <w:color w:val="auto"/>
        </w:rPr>
        <w:t>Competitive differentiators</w:t>
      </w:r>
      <w:bookmarkEnd w:id="4"/>
      <w:r w:rsidRPr="00D7701A">
        <w:rPr>
          <w:rFonts w:ascii="IBM Plex Sans" w:hAnsi="IBM Plex Sans"/>
          <w:b/>
          <w:bCs/>
          <w:color w:val="auto"/>
        </w:rPr>
        <w:t xml:space="preserve"> </w:t>
      </w:r>
    </w:p>
    <w:p w14:paraId="68D61641" w14:textId="5B05C679" w:rsidR="0025249B" w:rsidRPr="0025249B" w:rsidRDefault="0025249B" w:rsidP="00735B7E">
      <w:pPr>
        <w:jc w:val="both"/>
      </w:pPr>
      <w:r w:rsidRPr="0025249B">
        <w:t xml:space="preserve">These competitive differentiators should guide how we talk about FCM’s NDC approach. They are not for throwing shade at competitors, but for showing prospects and customers the value of how we do things differently </w:t>
      </w:r>
      <w:proofErr w:type="gramStart"/>
      <w:r>
        <w:t xml:space="preserve">- </w:t>
      </w:r>
      <w:r w:rsidRPr="0025249B">
        <w:t xml:space="preserve"> always</w:t>
      </w:r>
      <w:proofErr w:type="gramEnd"/>
      <w:r w:rsidRPr="0025249B">
        <w:t xml:space="preserve"> framed in terms of what it means for them. When creating content, select the differentiators that are most relevant to the story you’re telling, and focus on the customer outcomes (reliability, confidence, savings, smoother adoption) rather than the mechanics of how we deliver them.</w:t>
      </w:r>
    </w:p>
    <w:p w14:paraId="252D6ECE" w14:textId="69012716" w:rsidR="003945D3" w:rsidRPr="00D7701A" w:rsidRDefault="009B6382" w:rsidP="000A1D51">
      <w:pPr>
        <w:jc w:val="both"/>
        <w:rPr>
          <w:rFonts w:ascii="IBM Plex Sans" w:hAnsi="IBM Plex Sans" w:cs="Calibri"/>
          <w:b/>
          <w:bCs/>
          <w:color w:val="00DE00"/>
        </w:rPr>
      </w:pPr>
      <w:r w:rsidRPr="00D7701A">
        <w:rPr>
          <w:rFonts w:ascii="IBM Plex Sans" w:hAnsi="IBM Plex Sans" w:cs="Calibri"/>
          <w:b/>
          <w:bCs/>
          <w:color w:val="00DE00"/>
        </w:rPr>
        <w:t>#1</w:t>
      </w:r>
      <w:r w:rsidR="00E772C6" w:rsidRPr="00D7701A">
        <w:rPr>
          <w:rFonts w:ascii="IBM Plex Sans" w:hAnsi="IBM Plex Sans" w:cs="Calibri"/>
          <w:b/>
          <w:bCs/>
          <w:color w:val="00DE00"/>
        </w:rPr>
        <w:t xml:space="preserve">. </w:t>
      </w:r>
      <w:r w:rsidR="00DE5F11" w:rsidRPr="00D7701A">
        <w:rPr>
          <w:rFonts w:ascii="IBM Plex Sans" w:hAnsi="IBM Plex Sans" w:cs="Calibri"/>
          <w:b/>
          <w:bCs/>
          <w:color w:val="00DE00"/>
        </w:rPr>
        <w:t xml:space="preserve">Deep industry expertise and strong partnerships </w:t>
      </w:r>
    </w:p>
    <w:p w14:paraId="4F13DD69" w14:textId="5F12F3FC" w:rsidR="00C5187B" w:rsidRPr="00D7701A" w:rsidRDefault="00C5187B" w:rsidP="000A1D51">
      <w:pPr>
        <w:jc w:val="both"/>
        <w:rPr>
          <w:rFonts w:ascii="IBM Plex Sans" w:hAnsi="IBM Plex Sans" w:cs="Calibri"/>
          <w:b/>
          <w:bCs/>
        </w:rPr>
      </w:pPr>
      <w:r w:rsidRPr="00D7701A">
        <w:rPr>
          <w:rFonts w:ascii="IBM Plex Sans" w:hAnsi="IBM Plex Sans" w:cs="Calibri"/>
          <w:b/>
          <w:bCs/>
        </w:rPr>
        <w:t>Key talking po</w:t>
      </w:r>
      <w:r w:rsidR="00A868BF" w:rsidRPr="00D7701A">
        <w:rPr>
          <w:rFonts w:ascii="IBM Plex Sans" w:hAnsi="IBM Plex Sans" w:cs="Calibri"/>
          <w:b/>
          <w:bCs/>
        </w:rPr>
        <w:t xml:space="preserve">ints: </w:t>
      </w:r>
    </w:p>
    <w:p w14:paraId="5DF7B608" w14:textId="77777777" w:rsidR="00403714" w:rsidRDefault="00403714" w:rsidP="00403714">
      <w:pPr>
        <w:pStyle w:val="ListParagraph"/>
        <w:numPr>
          <w:ilvl w:val="0"/>
          <w:numId w:val="24"/>
        </w:numPr>
        <w:jc w:val="both"/>
        <w:rPr>
          <w:rFonts w:ascii="IBM Plex Sans" w:hAnsi="IBM Plex Sans" w:cs="Calibri"/>
        </w:rPr>
      </w:pPr>
      <w:r w:rsidRPr="00403714">
        <w:rPr>
          <w:rFonts w:ascii="IBM Plex Sans" w:hAnsi="IBM Plex Sans" w:cs="Calibri"/>
        </w:rPr>
        <w:t>We’ve worked with NDC from its earliest days, gaining deep experience in how to make it work for corporate travel.</w:t>
      </w:r>
    </w:p>
    <w:p w14:paraId="3DC15E72" w14:textId="77777777" w:rsidR="00403714" w:rsidRDefault="00403714" w:rsidP="00403714">
      <w:pPr>
        <w:pStyle w:val="ListParagraph"/>
        <w:numPr>
          <w:ilvl w:val="0"/>
          <w:numId w:val="24"/>
        </w:numPr>
        <w:jc w:val="both"/>
        <w:rPr>
          <w:rFonts w:ascii="IBM Plex Sans" w:hAnsi="IBM Plex Sans" w:cs="Calibri"/>
        </w:rPr>
      </w:pPr>
      <w:r w:rsidRPr="00403714">
        <w:rPr>
          <w:rFonts w:ascii="IBM Plex Sans" w:hAnsi="IBM Plex Sans" w:cs="Calibri"/>
        </w:rPr>
        <w:t>With our strong heritage in air distribution, we know how to optimise content and navigate industry shifts.</w:t>
      </w:r>
    </w:p>
    <w:p w14:paraId="03C88CC5" w14:textId="77777777" w:rsidR="00FB06C9" w:rsidRDefault="00403714" w:rsidP="00403714">
      <w:pPr>
        <w:pStyle w:val="ListParagraph"/>
        <w:numPr>
          <w:ilvl w:val="0"/>
          <w:numId w:val="24"/>
        </w:numPr>
        <w:jc w:val="both"/>
        <w:rPr>
          <w:rFonts w:ascii="IBM Plex Sans" w:hAnsi="IBM Plex Sans" w:cs="Calibri"/>
        </w:rPr>
      </w:pPr>
      <w:r w:rsidRPr="00403714">
        <w:rPr>
          <w:rFonts w:ascii="IBM Plex Sans" w:hAnsi="IBM Plex Sans" w:cs="Calibri"/>
        </w:rPr>
        <w:t>Our long-standing partnerships with airlines, GDSs, OBTs, and aggregators give us early access to reliable, tested content and ensure scalability for customers.</w:t>
      </w:r>
    </w:p>
    <w:p w14:paraId="3831A9BD" w14:textId="77777777" w:rsidR="00FB06C9" w:rsidRDefault="00403714" w:rsidP="00403714">
      <w:pPr>
        <w:pStyle w:val="ListParagraph"/>
        <w:numPr>
          <w:ilvl w:val="0"/>
          <w:numId w:val="24"/>
        </w:numPr>
        <w:jc w:val="both"/>
        <w:rPr>
          <w:rFonts w:ascii="IBM Plex Sans" w:hAnsi="IBM Plex Sans" w:cs="Calibri"/>
        </w:rPr>
      </w:pPr>
      <w:r w:rsidRPr="00FB06C9">
        <w:rPr>
          <w:rFonts w:ascii="IBM Plex Sans" w:hAnsi="IBM Plex Sans" w:cs="Calibri"/>
        </w:rPr>
        <w:t>Through leadership roles in IATA and close collaboration with suppliers, we help shape how modern air retailing evolves — giving customers confidence they’re working with a partner at the forefront of change.</w:t>
      </w:r>
    </w:p>
    <w:p w14:paraId="2A1FB083" w14:textId="3FCD0B27" w:rsidR="00904EF6" w:rsidRPr="00FB06C9" w:rsidRDefault="00881CA0" w:rsidP="00FB06C9">
      <w:pPr>
        <w:jc w:val="both"/>
        <w:rPr>
          <w:rFonts w:ascii="IBM Plex Sans" w:hAnsi="IBM Plex Sans" w:cs="Calibri"/>
        </w:rPr>
      </w:pPr>
      <w:r w:rsidRPr="00FB06C9">
        <w:rPr>
          <w:rFonts w:ascii="IBM Plex Sans" w:hAnsi="IBM Plex Sans" w:cs="Calibri"/>
          <w:b/>
          <w:bCs/>
          <w:color w:val="00DE00"/>
        </w:rPr>
        <w:t>#2</w:t>
      </w:r>
      <w:r w:rsidR="00E772C6" w:rsidRPr="00FB06C9">
        <w:rPr>
          <w:rFonts w:ascii="IBM Plex Sans" w:hAnsi="IBM Plex Sans" w:cs="Calibri"/>
          <w:b/>
          <w:bCs/>
          <w:color w:val="00DE00"/>
        </w:rPr>
        <w:t xml:space="preserve">. </w:t>
      </w:r>
      <w:r w:rsidR="00904EF6" w:rsidRPr="00FB06C9">
        <w:rPr>
          <w:rFonts w:ascii="IBM Plex Sans" w:hAnsi="IBM Plex Sans" w:cs="Calibri"/>
          <w:b/>
          <w:bCs/>
          <w:color w:val="00DE00"/>
        </w:rPr>
        <w:t xml:space="preserve">We focus on delivering NDC content that is serviceable and relevant </w:t>
      </w:r>
    </w:p>
    <w:p w14:paraId="7C54860C" w14:textId="77777777" w:rsidR="00D17E75" w:rsidRPr="00D7701A" w:rsidRDefault="00D17E75" w:rsidP="000A1D51">
      <w:pPr>
        <w:jc w:val="both"/>
        <w:rPr>
          <w:rFonts w:ascii="IBM Plex Sans" w:hAnsi="IBM Plex Sans" w:cs="Calibri"/>
          <w:b/>
          <w:bCs/>
        </w:rPr>
      </w:pPr>
      <w:r w:rsidRPr="00D7701A">
        <w:rPr>
          <w:rFonts w:ascii="IBM Plex Sans" w:hAnsi="IBM Plex Sans" w:cs="Calibri"/>
          <w:b/>
          <w:bCs/>
        </w:rPr>
        <w:t xml:space="preserve">Key talking points: </w:t>
      </w:r>
    </w:p>
    <w:p w14:paraId="23B6FD4B" w14:textId="77777777" w:rsidR="008430C2" w:rsidRPr="008430C2" w:rsidRDefault="008430C2" w:rsidP="008430C2">
      <w:pPr>
        <w:pStyle w:val="ListParagraph"/>
        <w:numPr>
          <w:ilvl w:val="0"/>
          <w:numId w:val="25"/>
        </w:numPr>
        <w:jc w:val="both"/>
        <w:rPr>
          <w:rFonts w:ascii="IBM Plex Sans" w:hAnsi="IBM Plex Sans" w:cs="Calibri"/>
          <w:b/>
          <w:bCs/>
        </w:rPr>
      </w:pPr>
      <w:r w:rsidRPr="008430C2">
        <w:rPr>
          <w:rFonts w:ascii="IBM Plex Sans" w:hAnsi="IBM Plex Sans" w:cs="Calibri"/>
        </w:rPr>
        <w:t xml:space="preserve">While some competitors switch on everything for the sake of breadth, </w:t>
      </w:r>
      <w:r w:rsidRPr="008430C2">
        <w:rPr>
          <w:rFonts w:ascii="IBM Plex Sans" w:hAnsi="IBM Plex Sans" w:cs="Calibri"/>
          <w:b/>
          <w:bCs/>
        </w:rPr>
        <w:t>we focus on NDC content that is tested, reliable, and aligned with corporate programme needs.</w:t>
      </w:r>
    </w:p>
    <w:p w14:paraId="5F8C5F9E" w14:textId="6BDB5689" w:rsidR="001F5ABE" w:rsidRDefault="008430C2" w:rsidP="008430C2">
      <w:pPr>
        <w:pStyle w:val="ListParagraph"/>
        <w:numPr>
          <w:ilvl w:val="0"/>
          <w:numId w:val="25"/>
        </w:numPr>
        <w:jc w:val="both"/>
        <w:rPr>
          <w:rFonts w:ascii="IBM Plex Sans" w:hAnsi="IBM Plex Sans" w:cs="Calibri"/>
        </w:rPr>
      </w:pPr>
      <w:r w:rsidRPr="008430C2">
        <w:rPr>
          <w:rFonts w:ascii="IBM Plex Sans" w:hAnsi="IBM Plex Sans" w:cs="Calibri"/>
        </w:rPr>
        <w:t xml:space="preserve">Our disciplined approach means NDC is activated only when it adds value </w:t>
      </w:r>
      <w:r w:rsidR="001F5ABE">
        <w:rPr>
          <w:rFonts w:ascii="IBM Plex Sans" w:hAnsi="IBM Plex Sans" w:cs="Calibri"/>
        </w:rPr>
        <w:t>-</w:t>
      </w:r>
      <w:r w:rsidRPr="008430C2">
        <w:rPr>
          <w:rFonts w:ascii="IBM Plex Sans" w:hAnsi="IBM Plex Sans" w:cs="Calibri"/>
        </w:rPr>
        <w:t xml:space="preserve"> giving customers confidence that every piece of content works in practice, not just in theory.</w:t>
      </w:r>
    </w:p>
    <w:p w14:paraId="5371DEB5" w14:textId="77777777" w:rsidR="001F5ABE" w:rsidRDefault="008430C2" w:rsidP="008430C2">
      <w:pPr>
        <w:pStyle w:val="ListParagraph"/>
        <w:numPr>
          <w:ilvl w:val="0"/>
          <w:numId w:val="25"/>
        </w:numPr>
        <w:jc w:val="both"/>
        <w:rPr>
          <w:rFonts w:ascii="IBM Plex Sans" w:hAnsi="IBM Plex Sans" w:cs="Calibri"/>
        </w:rPr>
      </w:pPr>
      <w:r w:rsidRPr="001F5ABE">
        <w:rPr>
          <w:rFonts w:ascii="IBM Plex Sans" w:hAnsi="IBM Plex Sans" w:cs="Calibri"/>
        </w:rPr>
        <w:lastRenderedPageBreak/>
        <w:t>By consolidating NDC, EDIFACT, and low-cost carrier fares across our ecosystem of partners, we reduce fragmentation and deliver consistency across systems and regions.</w:t>
      </w:r>
    </w:p>
    <w:p w14:paraId="4DCFD4AF" w14:textId="7911E827" w:rsidR="001F5ABE" w:rsidRPr="001F5ABE" w:rsidRDefault="008430C2" w:rsidP="001F5ABE">
      <w:pPr>
        <w:pStyle w:val="ListParagraph"/>
        <w:numPr>
          <w:ilvl w:val="0"/>
          <w:numId w:val="25"/>
        </w:numPr>
        <w:jc w:val="both"/>
        <w:rPr>
          <w:rFonts w:ascii="IBM Plex Sans" w:hAnsi="IBM Plex Sans" w:cs="Calibri"/>
        </w:rPr>
      </w:pPr>
      <w:r w:rsidRPr="001F5ABE">
        <w:rPr>
          <w:rFonts w:ascii="IBM Plex Sans" w:hAnsi="IBM Plex Sans" w:cs="Calibri"/>
        </w:rPr>
        <w:t>Ongoing investment in modern air retailing ensures the content we provide today continues to evolve with customer and industry needs.</w:t>
      </w:r>
    </w:p>
    <w:p w14:paraId="778B4AF0" w14:textId="6CFA18AB" w:rsidR="00961D17" w:rsidRPr="001F5ABE" w:rsidRDefault="002505AD" w:rsidP="001F5ABE">
      <w:pPr>
        <w:jc w:val="both"/>
        <w:rPr>
          <w:rFonts w:ascii="IBM Plex Sans" w:hAnsi="IBM Plex Sans" w:cs="Calibri"/>
        </w:rPr>
      </w:pPr>
      <w:r w:rsidRPr="001F5ABE">
        <w:rPr>
          <w:rFonts w:ascii="IBM Plex Sans" w:hAnsi="IBM Plex Sans" w:cs="Calibri"/>
          <w:b/>
          <w:bCs/>
          <w:color w:val="00DE00"/>
        </w:rPr>
        <w:t>#3</w:t>
      </w:r>
      <w:r w:rsidR="00E772C6" w:rsidRPr="001F5ABE">
        <w:rPr>
          <w:rFonts w:ascii="IBM Plex Sans" w:hAnsi="IBM Plex Sans" w:cs="Calibri"/>
          <w:b/>
          <w:bCs/>
          <w:color w:val="00DE00"/>
        </w:rPr>
        <w:t>.</w:t>
      </w:r>
      <w:r w:rsidRPr="001F5ABE">
        <w:rPr>
          <w:rFonts w:ascii="IBM Plex Sans" w:hAnsi="IBM Plex Sans" w:cs="Calibri"/>
          <w:b/>
          <w:bCs/>
          <w:color w:val="00DE00"/>
        </w:rPr>
        <w:t xml:space="preserve"> </w:t>
      </w:r>
      <w:r w:rsidR="00B54B43" w:rsidRPr="00B54B43">
        <w:rPr>
          <w:rFonts w:ascii="IBM Plex Sans" w:hAnsi="IBM Plex Sans" w:cs="Calibri"/>
          <w:b/>
          <w:bCs/>
          <w:color w:val="00DE00"/>
        </w:rPr>
        <w:t>Customer-first guidance</w:t>
      </w:r>
    </w:p>
    <w:p w14:paraId="33F55D5C" w14:textId="77777777" w:rsidR="00740714" w:rsidRPr="00D7701A" w:rsidRDefault="00740714" w:rsidP="000A1D51">
      <w:pPr>
        <w:jc w:val="both"/>
        <w:rPr>
          <w:rFonts w:ascii="IBM Plex Sans" w:hAnsi="IBM Plex Sans" w:cs="Calibri"/>
          <w:b/>
          <w:bCs/>
        </w:rPr>
      </w:pPr>
      <w:r w:rsidRPr="00D7701A">
        <w:rPr>
          <w:rFonts w:ascii="IBM Plex Sans" w:hAnsi="IBM Plex Sans" w:cs="Calibri"/>
          <w:b/>
          <w:bCs/>
        </w:rPr>
        <w:t xml:space="preserve">Key talking points: </w:t>
      </w:r>
    </w:p>
    <w:p w14:paraId="01992C79" w14:textId="77777777" w:rsidR="00C37DDC" w:rsidRDefault="00C37DDC" w:rsidP="00C37DDC">
      <w:pPr>
        <w:pStyle w:val="ListParagraph"/>
        <w:numPr>
          <w:ilvl w:val="0"/>
          <w:numId w:val="26"/>
        </w:numPr>
        <w:jc w:val="both"/>
        <w:rPr>
          <w:rFonts w:ascii="IBM Plex Sans" w:hAnsi="IBM Plex Sans" w:cs="Calibri"/>
        </w:rPr>
      </w:pPr>
      <w:r w:rsidRPr="00C37DDC">
        <w:rPr>
          <w:rFonts w:ascii="IBM Plex Sans" w:hAnsi="IBM Plex Sans" w:cs="Calibri"/>
        </w:rPr>
        <w:t>While some competitors simply “switch NDC on” and leave customers to manage the complexity, FCM stays by your side every step of the way.</w:t>
      </w:r>
    </w:p>
    <w:p w14:paraId="6DA99187" w14:textId="77777777" w:rsidR="00C37DDC" w:rsidRDefault="00C37DDC" w:rsidP="00C37DDC">
      <w:pPr>
        <w:pStyle w:val="ListParagraph"/>
        <w:numPr>
          <w:ilvl w:val="0"/>
          <w:numId w:val="26"/>
        </w:numPr>
        <w:jc w:val="both"/>
        <w:rPr>
          <w:rFonts w:ascii="IBM Plex Sans" w:hAnsi="IBM Plex Sans" w:cs="Calibri"/>
        </w:rPr>
      </w:pPr>
      <w:r w:rsidRPr="00C37DDC">
        <w:rPr>
          <w:rFonts w:ascii="IBM Plex Sans" w:hAnsi="IBM Plex Sans" w:cs="Calibri"/>
        </w:rPr>
        <w:t xml:space="preserve">We guide adoption through consultation, phased rollouts, and ongoing support </w:t>
      </w:r>
      <w:r>
        <w:rPr>
          <w:rFonts w:ascii="IBM Plex Sans" w:hAnsi="IBM Plex Sans" w:cs="Calibri"/>
        </w:rPr>
        <w:t>-</w:t>
      </w:r>
      <w:r w:rsidRPr="00C37DDC">
        <w:rPr>
          <w:rFonts w:ascii="IBM Plex Sans" w:hAnsi="IBM Plex Sans" w:cs="Calibri"/>
        </w:rPr>
        <w:t xml:space="preserve"> so customers can make informed decisions with confidence.</w:t>
      </w:r>
    </w:p>
    <w:p w14:paraId="234915D7" w14:textId="77777777" w:rsidR="00C37DDC" w:rsidRDefault="00C37DDC" w:rsidP="00C37DDC">
      <w:pPr>
        <w:pStyle w:val="ListParagraph"/>
        <w:numPr>
          <w:ilvl w:val="0"/>
          <w:numId w:val="26"/>
        </w:numPr>
        <w:jc w:val="both"/>
        <w:rPr>
          <w:rFonts w:ascii="IBM Plex Sans" w:hAnsi="IBM Plex Sans" w:cs="Calibri"/>
        </w:rPr>
      </w:pPr>
      <w:r w:rsidRPr="00C37DDC">
        <w:rPr>
          <w:rFonts w:ascii="IBM Plex Sans" w:hAnsi="IBM Plex Sans" w:cs="Calibri"/>
        </w:rPr>
        <w:t>Every activation is carefully aligned to programme goals and servicing needs, ensuring NDC works for you both online and offline.</w:t>
      </w:r>
    </w:p>
    <w:p w14:paraId="75F73B27" w14:textId="77777777" w:rsidR="00B54B43" w:rsidRDefault="00C37DDC" w:rsidP="00C37DDC">
      <w:pPr>
        <w:pStyle w:val="ListParagraph"/>
        <w:numPr>
          <w:ilvl w:val="0"/>
          <w:numId w:val="26"/>
        </w:numPr>
        <w:jc w:val="both"/>
        <w:rPr>
          <w:rFonts w:ascii="IBM Plex Sans" w:hAnsi="IBM Plex Sans" w:cs="Calibri"/>
        </w:rPr>
      </w:pPr>
      <w:r w:rsidRPr="00C37DDC">
        <w:rPr>
          <w:rFonts w:ascii="IBM Plex Sans" w:hAnsi="IBM Plex Sans" w:cs="Calibri"/>
        </w:rPr>
        <w:t>Our role is to cut through the noise: helping customers understand what’s ready, what’s proven, and what’s just hype.</w:t>
      </w:r>
    </w:p>
    <w:p w14:paraId="20A78B04" w14:textId="01856819" w:rsidR="00881CA0" w:rsidRPr="00B54B43" w:rsidRDefault="00961D17" w:rsidP="00B54B43">
      <w:pPr>
        <w:jc w:val="both"/>
        <w:rPr>
          <w:rFonts w:ascii="IBM Plex Sans" w:hAnsi="IBM Plex Sans" w:cs="Calibri"/>
        </w:rPr>
      </w:pPr>
      <w:r w:rsidRPr="00B54B43">
        <w:rPr>
          <w:rFonts w:ascii="IBM Plex Sans" w:hAnsi="IBM Plex Sans" w:cs="Calibri"/>
          <w:b/>
          <w:bCs/>
          <w:color w:val="00DE00"/>
        </w:rPr>
        <w:t>#4</w:t>
      </w:r>
      <w:r w:rsidR="00E772C6" w:rsidRPr="00B54B43">
        <w:rPr>
          <w:rFonts w:ascii="IBM Plex Sans" w:hAnsi="IBM Plex Sans" w:cs="Calibri"/>
          <w:b/>
          <w:bCs/>
          <w:color w:val="00DE00"/>
        </w:rPr>
        <w:t xml:space="preserve">. </w:t>
      </w:r>
      <w:r w:rsidR="00D17E75" w:rsidRPr="00B54B43">
        <w:rPr>
          <w:rFonts w:ascii="IBM Plex Sans" w:hAnsi="IBM Plex Sans" w:cs="Calibri"/>
          <w:b/>
          <w:bCs/>
          <w:color w:val="00DE00"/>
        </w:rPr>
        <w:t xml:space="preserve">We believe in innovation through technology and </w:t>
      </w:r>
      <w:r w:rsidRPr="00B54B43">
        <w:rPr>
          <w:rFonts w:ascii="IBM Plex Sans" w:hAnsi="IBM Plex Sans" w:cs="Calibri"/>
          <w:b/>
          <w:bCs/>
          <w:color w:val="00DE00"/>
        </w:rPr>
        <w:t xml:space="preserve">future-proof NDC distribution </w:t>
      </w:r>
    </w:p>
    <w:p w14:paraId="4676294B" w14:textId="77777777" w:rsidR="00492E91" w:rsidRPr="00D7701A" w:rsidRDefault="00492E91" w:rsidP="000A1D51">
      <w:pPr>
        <w:jc w:val="both"/>
        <w:rPr>
          <w:rFonts w:ascii="IBM Plex Sans" w:hAnsi="IBM Plex Sans" w:cs="Calibri"/>
          <w:b/>
          <w:bCs/>
        </w:rPr>
      </w:pPr>
      <w:r w:rsidRPr="00D7701A">
        <w:rPr>
          <w:rFonts w:ascii="IBM Plex Sans" w:hAnsi="IBM Plex Sans" w:cs="Calibri"/>
          <w:b/>
          <w:bCs/>
        </w:rPr>
        <w:t xml:space="preserve">Key talking points: </w:t>
      </w:r>
    </w:p>
    <w:p w14:paraId="1739BCFF" w14:textId="77777777" w:rsidR="00053241" w:rsidRDefault="00053241" w:rsidP="00053241">
      <w:pPr>
        <w:pStyle w:val="ListParagraph"/>
        <w:numPr>
          <w:ilvl w:val="0"/>
          <w:numId w:val="27"/>
        </w:numPr>
        <w:jc w:val="both"/>
        <w:rPr>
          <w:rFonts w:ascii="IBM Plex Sans" w:hAnsi="IBM Plex Sans" w:cs="Calibri"/>
        </w:rPr>
      </w:pPr>
      <w:r w:rsidRPr="00053241">
        <w:rPr>
          <w:rFonts w:ascii="IBM Plex Sans" w:hAnsi="IBM Plex Sans" w:cs="Calibri"/>
        </w:rPr>
        <w:t>We continue to invest in modern air retailing and new technology, ensuring our NDC solutions keep pace with industry change.</w:t>
      </w:r>
    </w:p>
    <w:p w14:paraId="0B2A5221" w14:textId="77777777" w:rsidR="00053241" w:rsidRDefault="00053241" w:rsidP="00053241">
      <w:pPr>
        <w:pStyle w:val="ListParagraph"/>
        <w:numPr>
          <w:ilvl w:val="0"/>
          <w:numId w:val="27"/>
        </w:numPr>
        <w:jc w:val="both"/>
        <w:rPr>
          <w:rFonts w:ascii="IBM Plex Sans" w:hAnsi="IBM Plex Sans" w:cs="Calibri"/>
        </w:rPr>
      </w:pPr>
      <w:r w:rsidRPr="00053241">
        <w:rPr>
          <w:rFonts w:ascii="IBM Plex Sans" w:hAnsi="IBM Plex Sans" w:cs="Calibri"/>
        </w:rPr>
        <w:t>By working across airlines, GDSs, OBTs, and aggregators, we give customers confidence their programme will adapt as distribution evolves.</w:t>
      </w:r>
    </w:p>
    <w:p w14:paraId="6DF0057F" w14:textId="521B58E1" w:rsidR="001D09B6" w:rsidRDefault="001D09B6" w:rsidP="00053241">
      <w:pPr>
        <w:pStyle w:val="ListParagraph"/>
        <w:numPr>
          <w:ilvl w:val="0"/>
          <w:numId w:val="27"/>
        </w:numPr>
        <w:jc w:val="both"/>
        <w:rPr>
          <w:rFonts w:ascii="IBM Plex Sans" w:hAnsi="IBM Plex Sans" w:cs="Calibri"/>
        </w:rPr>
      </w:pPr>
      <w:r w:rsidRPr="001D09B6">
        <w:rPr>
          <w:rFonts w:ascii="IBM Plex Sans" w:hAnsi="IBM Plex Sans" w:cs="Calibri"/>
        </w:rPr>
        <w:t>FCM works across the ecosystem — combining NDC, EDIFACT, and low-cost carrier content to give customers flexibility and choice.</w:t>
      </w:r>
    </w:p>
    <w:p w14:paraId="262093B7" w14:textId="5F7AF588" w:rsidR="00053241" w:rsidRPr="00053241" w:rsidRDefault="00053241" w:rsidP="00053241">
      <w:pPr>
        <w:pStyle w:val="ListParagraph"/>
        <w:numPr>
          <w:ilvl w:val="0"/>
          <w:numId w:val="27"/>
        </w:numPr>
        <w:jc w:val="both"/>
        <w:rPr>
          <w:rFonts w:ascii="IBM Plex Sans" w:hAnsi="IBM Plex Sans" w:cs="Calibri"/>
        </w:rPr>
      </w:pPr>
      <w:r w:rsidRPr="00053241">
        <w:rPr>
          <w:rFonts w:ascii="IBM Plex Sans" w:hAnsi="IBM Plex Sans" w:cs="Calibri"/>
        </w:rPr>
        <w:t>Innovation at FCM is designed to be practical: new capabilities are introduced carefully, protecting programme stability while unlocking new value</w:t>
      </w:r>
      <w:r w:rsidRPr="00053241">
        <w:rPr>
          <w:rFonts w:ascii="IBM Plex Sans" w:hAnsi="IBM Plex Sans" w:cs="Calibri"/>
          <w:b/>
          <w:bCs/>
        </w:rPr>
        <w:t>.</w:t>
      </w:r>
    </w:p>
    <w:p w14:paraId="31DF9F6D" w14:textId="2EF27288" w:rsidR="00E772C6" w:rsidRPr="00D7701A" w:rsidRDefault="00E772C6" w:rsidP="00053241">
      <w:pPr>
        <w:jc w:val="both"/>
        <w:rPr>
          <w:rFonts w:ascii="IBM Plex Sans" w:hAnsi="IBM Plex Sans" w:cs="Calibri"/>
          <w:b/>
          <w:bCs/>
          <w:color w:val="00DE00"/>
        </w:rPr>
      </w:pPr>
      <w:r w:rsidRPr="00D7701A">
        <w:rPr>
          <w:rFonts w:ascii="IBM Plex Sans" w:hAnsi="IBM Plex Sans" w:cs="Calibri"/>
          <w:b/>
          <w:bCs/>
          <w:color w:val="00DE00"/>
        </w:rPr>
        <w:t>#</w:t>
      </w:r>
      <w:r w:rsidR="00DB6363">
        <w:rPr>
          <w:rFonts w:ascii="IBM Plex Sans" w:hAnsi="IBM Plex Sans" w:cs="Calibri"/>
          <w:b/>
          <w:bCs/>
          <w:color w:val="00DE00"/>
        </w:rPr>
        <w:t>5</w:t>
      </w:r>
      <w:r w:rsidRPr="00D7701A">
        <w:rPr>
          <w:rFonts w:ascii="IBM Plex Sans" w:hAnsi="IBM Plex Sans" w:cs="Calibri"/>
          <w:b/>
          <w:bCs/>
          <w:color w:val="00DE00"/>
        </w:rPr>
        <w:t xml:space="preserve">. Proven track record of rigorous testing and implementation </w:t>
      </w:r>
    </w:p>
    <w:p w14:paraId="2B5DC7B9" w14:textId="77777777" w:rsidR="00E772C6" w:rsidRPr="00D7701A" w:rsidRDefault="00E772C6" w:rsidP="00E772C6">
      <w:pPr>
        <w:jc w:val="both"/>
        <w:rPr>
          <w:rFonts w:ascii="IBM Plex Sans" w:hAnsi="IBM Plex Sans" w:cs="Calibri"/>
          <w:b/>
          <w:bCs/>
        </w:rPr>
      </w:pPr>
      <w:r w:rsidRPr="00D7701A">
        <w:rPr>
          <w:rFonts w:ascii="IBM Plex Sans" w:hAnsi="IBM Plex Sans" w:cs="Calibri"/>
          <w:b/>
          <w:bCs/>
          <w:color w:val="00DE00"/>
        </w:rPr>
        <w:t xml:space="preserve"> </w:t>
      </w:r>
      <w:r w:rsidRPr="00D7701A">
        <w:rPr>
          <w:rFonts w:ascii="IBM Plex Sans" w:hAnsi="IBM Plex Sans" w:cs="Calibri"/>
          <w:b/>
          <w:bCs/>
        </w:rPr>
        <w:t xml:space="preserve">Key talking points: </w:t>
      </w:r>
    </w:p>
    <w:p w14:paraId="43C971D2" w14:textId="77777777" w:rsidR="006442DF" w:rsidRDefault="006442DF" w:rsidP="006442DF">
      <w:pPr>
        <w:pStyle w:val="ListParagraph"/>
        <w:numPr>
          <w:ilvl w:val="0"/>
          <w:numId w:val="28"/>
        </w:numPr>
        <w:jc w:val="both"/>
        <w:rPr>
          <w:rFonts w:ascii="IBM Plex Sans" w:hAnsi="IBM Plex Sans" w:cs="Calibri"/>
        </w:rPr>
      </w:pPr>
      <w:r w:rsidRPr="006442DF">
        <w:rPr>
          <w:rFonts w:ascii="IBM Plex Sans" w:hAnsi="IBM Plex Sans" w:cs="Calibri"/>
        </w:rPr>
        <w:t>Every piece of NDC content is tested end-to-end before rollout, ensuring it works reliably across booking, servicing, and reporting.</w:t>
      </w:r>
    </w:p>
    <w:p w14:paraId="75B08B6E" w14:textId="77777777" w:rsidR="006442DF" w:rsidRDefault="006442DF" w:rsidP="006442DF">
      <w:pPr>
        <w:pStyle w:val="ListParagraph"/>
        <w:numPr>
          <w:ilvl w:val="0"/>
          <w:numId w:val="28"/>
        </w:numPr>
        <w:jc w:val="both"/>
        <w:rPr>
          <w:rFonts w:ascii="IBM Plex Sans" w:hAnsi="IBM Plex Sans" w:cs="Calibri"/>
        </w:rPr>
      </w:pPr>
      <w:r w:rsidRPr="006442DF">
        <w:rPr>
          <w:rFonts w:ascii="IBM Plex Sans" w:hAnsi="IBM Plex Sans" w:cs="Calibri"/>
        </w:rPr>
        <w:t>We take a phased approach — introducing new content carefully, so customers only see it once it’s proven in practice.</w:t>
      </w:r>
    </w:p>
    <w:p w14:paraId="45317140" w14:textId="77777777" w:rsidR="006442DF" w:rsidRDefault="006442DF" w:rsidP="006442DF">
      <w:pPr>
        <w:pStyle w:val="ListParagraph"/>
        <w:numPr>
          <w:ilvl w:val="0"/>
          <w:numId w:val="28"/>
        </w:numPr>
        <w:jc w:val="both"/>
        <w:rPr>
          <w:rFonts w:ascii="IBM Plex Sans" w:hAnsi="IBM Plex Sans" w:cs="Calibri"/>
        </w:rPr>
      </w:pPr>
      <w:r w:rsidRPr="006442DF">
        <w:rPr>
          <w:rFonts w:ascii="IBM Plex Sans" w:hAnsi="IBM Plex Sans" w:cs="Calibri"/>
        </w:rPr>
        <w:lastRenderedPageBreak/>
        <w:t>NDC is activated only when it enhances a customer’s programme and aligns with policies and goals, giving customers confidence that it adds value, not risk.</w:t>
      </w:r>
    </w:p>
    <w:p w14:paraId="7BBAFC05" w14:textId="28FC26BA" w:rsidR="00275937" w:rsidRPr="00D7701A" w:rsidRDefault="00A800A4" w:rsidP="00F44686">
      <w:pPr>
        <w:ind w:left="360"/>
        <w:jc w:val="both"/>
        <w:rPr>
          <w:rFonts w:ascii="IBM Plex Sans" w:hAnsi="IBM Plex Sans" w:cs="Calibri"/>
        </w:rPr>
      </w:pPr>
      <w:r w:rsidRPr="003031F6">
        <w:rPr>
          <mc:AlternateContent>
            <mc:Choice Requires="w16se"/>
            <mc:Fallback>
              <w:rFonts w:ascii="Segoe UI Emoji" w:eastAsia="Segoe UI Emoji" w:hAnsi="Segoe UI Emoji" w:cs="Segoe UI Emoji"/>
            </mc:Fallback>
          </mc:AlternateContent>
          <w:b/>
          <w:bCs/>
        </w:rPr>
        <mc:AlternateContent>
          <mc:Choice Requires="w16se">
            <w16se:symEx w16se:font="Segoe UI Emoji" w16se:char="1F449"/>
          </mc:Choice>
          <mc:Fallback>
            <w:t>👉</w:t>
          </mc:Fallback>
        </mc:AlternateContent>
      </w:r>
      <w:r w:rsidR="003031F6" w:rsidRPr="006442DF">
        <w:rPr>
          <w:rFonts w:ascii="IBM Plex Sans" w:hAnsi="IBM Plex Sans" w:cs="Calibri"/>
          <w:b/>
          <w:bCs/>
        </w:rPr>
        <w:t>Ioana’s tips:</w:t>
      </w:r>
      <w:r w:rsidRPr="006442DF">
        <w:rPr>
          <w:rFonts w:ascii="IBM Plex Sans" w:hAnsi="IBM Plex Sans" w:cs="Calibri"/>
        </w:rPr>
        <w:t xml:space="preserve"> want to read more about our unique differentiators? Find everything you need in the positioning doc </w:t>
      </w:r>
      <w:hyperlink r:id="rId10" w:history="1">
        <w:r w:rsidRPr="006442DF">
          <w:rPr>
            <w:rStyle w:val="Hyperlink"/>
            <w:rFonts w:ascii="IBM Plex Sans" w:hAnsi="IBM Plex Sans" w:cs="Calibri"/>
          </w:rPr>
          <w:t>here</w:t>
        </w:r>
      </w:hyperlink>
      <w:r w:rsidR="00CB0DAF" w:rsidRPr="006442DF">
        <w:rPr>
          <w:rFonts w:ascii="IBM Plex Sans" w:hAnsi="IBM Plex Sans" w:cs="Calibri"/>
        </w:rPr>
        <w:t xml:space="preserve">. </w:t>
      </w:r>
      <w:r w:rsidRPr="006442DF">
        <w:rPr>
          <w:rFonts w:ascii="IBM Plex Sans" w:hAnsi="IBM Plex Sans" w:cs="Calibri"/>
        </w:rPr>
        <w:t xml:space="preserve"> </w:t>
      </w:r>
    </w:p>
    <w:p w14:paraId="2A5958BA" w14:textId="56659F05" w:rsidR="00275937" w:rsidRPr="00D7701A" w:rsidRDefault="00275937" w:rsidP="00275937">
      <w:pPr>
        <w:pStyle w:val="Heading1"/>
        <w:rPr>
          <w:rFonts w:ascii="IBM Plex Sans" w:hAnsi="IBM Plex Sans"/>
          <w:b/>
          <w:bCs/>
          <w:color w:val="auto"/>
        </w:rPr>
      </w:pPr>
      <w:bookmarkStart w:id="5" w:name="_Toc190344231"/>
      <w:r w:rsidRPr="00D7701A">
        <w:rPr>
          <w:rFonts w:ascii="IBM Plex Sans" w:hAnsi="IBM Plex Sans"/>
          <w:b/>
          <w:bCs/>
          <w:color w:val="auto"/>
        </w:rPr>
        <w:t>Elevator pitch</w:t>
      </w:r>
      <w:bookmarkEnd w:id="5"/>
      <w:r w:rsidRPr="00D7701A">
        <w:rPr>
          <w:rFonts w:ascii="IBM Plex Sans" w:hAnsi="IBM Plex Sans"/>
          <w:b/>
          <w:bCs/>
          <w:color w:val="auto"/>
        </w:rPr>
        <w:t xml:space="preserve"> </w:t>
      </w:r>
    </w:p>
    <w:p w14:paraId="63EFAB94" w14:textId="68EA1B6E" w:rsidR="00F8676A" w:rsidRPr="00D7701A" w:rsidRDefault="000A1751" w:rsidP="00F8676A">
      <w:pPr>
        <w:rPr>
          <w:rFonts w:ascii="IBM Plex Sans" w:hAnsi="IBM Plex Sans"/>
          <w:i/>
          <w:iCs/>
          <w:sz w:val="22"/>
          <w:szCs w:val="22"/>
        </w:rPr>
      </w:pPr>
      <w:r w:rsidRPr="00D7701A">
        <w:rPr>
          <w:rFonts w:ascii="IBM Plex Sans" w:hAnsi="IBM Plex Sans"/>
          <w:i/>
          <w:iCs/>
          <w:sz w:val="22"/>
          <w:szCs w:val="22"/>
        </w:rPr>
        <w:t>1-2 sentences that incorporate our value prop</w:t>
      </w:r>
      <w:r w:rsidR="00FB4019" w:rsidRPr="00D7701A">
        <w:rPr>
          <w:rFonts w:ascii="IBM Plex Sans" w:hAnsi="IBM Plex Sans"/>
          <w:i/>
          <w:iCs/>
          <w:sz w:val="22"/>
          <w:szCs w:val="22"/>
        </w:rPr>
        <w:t>.</w:t>
      </w:r>
    </w:p>
    <w:p w14:paraId="3A66FB21" w14:textId="3AC60D34" w:rsidR="00424272" w:rsidRPr="00D7701A" w:rsidRDefault="00B553EB" w:rsidP="000A1D51">
      <w:pPr>
        <w:jc w:val="both"/>
        <w:rPr>
          <w:rFonts w:ascii="IBM Plex Sans" w:hAnsi="IBM Plex Sans"/>
        </w:rPr>
      </w:pPr>
      <w:r w:rsidRPr="00C74A25">
        <w:rPr>
          <w:rFonts w:ascii="IBM Plex Sans" w:hAnsi="IBM Plex Sans" w:cstheme="majorHAnsi"/>
          <w:iCs/>
          <w:color w:val="2F2E2E"/>
        </w:rPr>
        <w:t xml:space="preserve">At FCM, we don’t just switch NDC on </w:t>
      </w:r>
      <w:r>
        <w:rPr>
          <w:rFonts w:ascii="IBM Plex Sans" w:hAnsi="IBM Plex Sans" w:cstheme="majorHAnsi"/>
          <w:iCs/>
          <w:color w:val="2F2E2E"/>
        </w:rPr>
        <w:t>-</w:t>
      </w:r>
      <w:r w:rsidRPr="00C74A25">
        <w:rPr>
          <w:rFonts w:ascii="IBM Plex Sans" w:hAnsi="IBM Plex Sans" w:cstheme="majorHAnsi"/>
          <w:iCs/>
          <w:color w:val="2F2E2E"/>
        </w:rPr>
        <w:t xml:space="preserve"> we make it work for you</w:t>
      </w:r>
      <w:r>
        <w:rPr>
          <w:rFonts w:ascii="IBM Plex Sans" w:hAnsi="IBM Plex Sans" w:cstheme="majorHAnsi"/>
          <w:iCs/>
          <w:color w:val="2F2E2E"/>
        </w:rPr>
        <w:t>r business</w:t>
      </w:r>
      <w:r w:rsidRPr="00C74A25">
        <w:rPr>
          <w:rFonts w:ascii="IBM Plex Sans" w:hAnsi="IBM Plex Sans" w:cstheme="majorHAnsi"/>
          <w:iCs/>
          <w:color w:val="2F2E2E"/>
        </w:rPr>
        <w:t xml:space="preserve">. </w:t>
      </w:r>
      <w:r w:rsidRPr="00155B70">
        <w:rPr>
          <w:rFonts w:ascii="IBM Plex Sans" w:hAnsi="IBM Plex Sans" w:cstheme="majorHAnsi"/>
          <w:iCs/>
          <w:color w:val="2F2E2E"/>
        </w:rPr>
        <w:t>Every piece of content is tested to the highest standards, so your travellers get reliable options and your programme runs smoothly</w:t>
      </w:r>
      <w:r w:rsidRPr="00C74A25">
        <w:rPr>
          <w:rFonts w:ascii="IBM Plex Sans" w:hAnsi="IBM Plex Sans" w:cstheme="majorHAnsi"/>
          <w:iCs/>
          <w:color w:val="2F2E2E"/>
        </w:rPr>
        <w:t>. Backed by strong airline and technology partnerships, combined with a consultative approach, we deliver content that’s reliable today and adaptable as your needs change.</w:t>
      </w:r>
    </w:p>
    <w:p w14:paraId="3D063C25" w14:textId="40CE8011" w:rsidR="00424272" w:rsidRPr="00D7701A" w:rsidRDefault="00203C6C" w:rsidP="00203C6C">
      <w:pPr>
        <w:pStyle w:val="Heading1"/>
        <w:rPr>
          <w:rFonts w:ascii="IBM Plex Sans" w:hAnsi="IBM Plex Sans"/>
          <w:b/>
          <w:bCs/>
          <w:color w:val="auto"/>
        </w:rPr>
      </w:pPr>
      <w:bookmarkStart w:id="6" w:name="_Toc190344232"/>
      <w:r w:rsidRPr="00D7701A">
        <w:rPr>
          <w:rFonts w:ascii="IBM Plex Sans" w:hAnsi="IBM Plex Sans"/>
          <w:b/>
          <w:bCs/>
          <w:color w:val="auto"/>
        </w:rPr>
        <w:t>Long description</w:t>
      </w:r>
      <w:bookmarkEnd w:id="6"/>
      <w:r w:rsidRPr="00D7701A">
        <w:rPr>
          <w:rFonts w:ascii="IBM Plex Sans" w:hAnsi="IBM Plex Sans"/>
          <w:b/>
          <w:bCs/>
          <w:color w:val="auto"/>
        </w:rPr>
        <w:t xml:space="preserve"> </w:t>
      </w:r>
    </w:p>
    <w:p w14:paraId="6E22202F" w14:textId="78F055E7" w:rsidR="00541511" w:rsidRPr="00D7701A" w:rsidRDefault="00541511" w:rsidP="007E7B2E">
      <w:pPr>
        <w:jc w:val="both"/>
        <w:rPr>
          <w:rFonts w:ascii="IBM Plex Sans" w:hAnsi="IBM Plex Sans"/>
          <w:i/>
          <w:iCs/>
          <w:sz w:val="22"/>
          <w:szCs w:val="22"/>
        </w:rPr>
      </w:pPr>
      <w:r w:rsidRPr="00D7701A">
        <w:rPr>
          <w:rFonts w:ascii="IBM Plex Sans" w:hAnsi="IBM Plex Sans"/>
          <w:i/>
          <w:iCs/>
          <w:sz w:val="22"/>
          <w:szCs w:val="22"/>
        </w:rPr>
        <w:t xml:space="preserve">This includes the value points uncovered in our positioning work, as well as </w:t>
      </w:r>
      <w:r w:rsidR="00D7701A" w:rsidRPr="00D7701A">
        <w:rPr>
          <w:rFonts w:ascii="IBM Plex Sans" w:hAnsi="IBM Plex Sans"/>
          <w:i/>
          <w:iCs/>
          <w:sz w:val="22"/>
          <w:szCs w:val="22"/>
        </w:rPr>
        <w:t>our NDC solution’s</w:t>
      </w:r>
      <w:r w:rsidRPr="00D7701A">
        <w:rPr>
          <w:rFonts w:ascii="IBM Plex Sans" w:hAnsi="IBM Plex Sans"/>
          <w:i/>
          <w:iCs/>
          <w:sz w:val="22"/>
          <w:szCs w:val="22"/>
        </w:rPr>
        <w:t xml:space="preserve"> details, headline benefits</w:t>
      </w:r>
      <w:r w:rsidR="007E7B2E" w:rsidRPr="00D7701A">
        <w:rPr>
          <w:rFonts w:ascii="IBM Plex Sans" w:hAnsi="IBM Plex Sans"/>
          <w:i/>
          <w:iCs/>
          <w:sz w:val="22"/>
          <w:szCs w:val="22"/>
        </w:rPr>
        <w:t xml:space="preserve"> and</w:t>
      </w:r>
      <w:r w:rsidRPr="00D7701A">
        <w:rPr>
          <w:rFonts w:ascii="IBM Plex Sans" w:hAnsi="IBM Plex Sans"/>
          <w:i/>
          <w:iCs/>
          <w:sz w:val="22"/>
          <w:szCs w:val="22"/>
        </w:rPr>
        <w:t xml:space="preserve"> an indication of our target market</w:t>
      </w:r>
      <w:r w:rsidR="00D7701A" w:rsidRPr="00D7701A">
        <w:rPr>
          <w:rFonts w:ascii="IBM Plex Sans" w:hAnsi="IBM Plex Sans"/>
          <w:i/>
          <w:iCs/>
          <w:sz w:val="22"/>
          <w:szCs w:val="22"/>
        </w:rPr>
        <w:t>.</w:t>
      </w:r>
    </w:p>
    <w:p w14:paraId="6ACA0DE1" w14:textId="2D788420" w:rsidR="00B01A91" w:rsidRPr="00C35BED" w:rsidRDefault="00B01A91" w:rsidP="00B01A91">
      <w:pPr>
        <w:widowControl w:val="0"/>
        <w:jc w:val="both"/>
        <w:rPr>
          <w:rFonts w:ascii="IBM Plex Sans" w:hAnsi="IBM Plex Sans" w:cstheme="majorHAnsi"/>
        </w:rPr>
      </w:pPr>
      <w:commentRangeStart w:id="7"/>
      <w:commentRangeStart w:id="8"/>
      <w:r w:rsidRPr="00C35BED">
        <w:rPr>
          <w:rFonts w:ascii="IBM Plex Sans" w:hAnsi="IBM Plex Sans" w:cstheme="majorHAnsi"/>
        </w:rPr>
        <w:t xml:space="preserve">We make NDC </w:t>
      </w:r>
      <w:r w:rsidRPr="00C35BED">
        <w:rPr>
          <w:rStyle w:val="Strong"/>
          <w:rFonts w:ascii="IBM Plex Sans" w:hAnsi="IBM Plex Sans" w:cstheme="majorHAnsi"/>
        </w:rPr>
        <w:t>practical, effective, and ready to deliver meaningful outcomes</w:t>
      </w:r>
      <w:r w:rsidRPr="00C35BED">
        <w:rPr>
          <w:rFonts w:ascii="IBM Plex Sans" w:hAnsi="IBM Plex Sans" w:cstheme="majorHAnsi"/>
        </w:rPr>
        <w:t xml:space="preserve"> for your travel programme. FCM’s NDC solution provides </w:t>
      </w:r>
      <w:r w:rsidRPr="00C35BED">
        <w:rPr>
          <w:rStyle w:val="Strong"/>
          <w:rFonts w:ascii="IBM Plex Sans" w:hAnsi="IBM Plex Sans" w:cstheme="majorHAnsi"/>
        </w:rPr>
        <w:t>rigorously tested, relevant content</w:t>
      </w:r>
      <w:r w:rsidRPr="00C35BED">
        <w:rPr>
          <w:rFonts w:ascii="IBM Plex Sans" w:hAnsi="IBM Plex Sans" w:cstheme="majorHAnsi"/>
        </w:rPr>
        <w:t xml:space="preserve"> from trusted partners, ensuring your programme benefits fully.</w:t>
      </w:r>
    </w:p>
    <w:p w14:paraId="6483677F" w14:textId="77777777" w:rsidR="00B01A91" w:rsidRPr="00C35BED" w:rsidRDefault="00B01A91" w:rsidP="00B01A91">
      <w:pPr>
        <w:spacing w:before="100" w:beforeAutospacing="1" w:after="100" w:afterAutospacing="1" w:line="240" w:lineRule="auto"/>
        <w:jc w:val="both"/>
        <w:rPr>
          <w:rFonts w:ascii="IBM Plex Sans" w:eastAsia="Times New Roman" w:hAnsi="IBM Plex Sans" w:cs="Times New Roman"/>
        </w:rPr>
      </w:pPr>
      <w:r w:rsidRPr="00C35BED">
        <w:rPr>
          <w:rFonts w:ascii="IBM Plex Sans" w:eastAsia="Times New Roman" w:hAnsi="IBM Plex Sans" w:cs="Times New Roman"/>
        </w:rPr>
        <w:t xml:space="preserve">We work closely with </w:t>
      </w:r>
      <w:r w:rsidRPr="00C35BED">
        <w:rPr>
          <w:rFonts w:ascii="IBM Plex Sans" w:eastAsia="Times New Roman" w:hAnsi="IBM Plex Sans" w:cs="Times New Roman"/>
          <w:b/>
          <w:bCs/>
        </w:rPr>
        <w:t>the majority of leading global NDC carriers</w:t>
      </w:r>
      <w:r w:rsidRPr="00C35BED">
        <w:rPr>
          <w:rFonts w:ascii="IBM Plex Sans" w:eastAsia="Times New Roman" w:hAnsi="IBM Plex Sans" w:cs="Times New Roman"/>
        </w:rPr>
        <w:t xml:space="preserve"> and validate each offering through extensive testing, ensuring it integrates smoothly into your booking and servicing systems. This results in </w:t>
      </w:r>
      <w:r w:rsidRPr="00C35BED">
        <w:rPr>
          <w:rFonts w:ascii="IBM Plex Sans" w:eastAsia="Times New Roman" w:hAnsi="IBM Plex Sans" w:cs="Times New Roman"/>
          <w:b/>
          <w:bCs/>
        </w:rPr>
        <w:t>consistent service, enhanced efficiency, and content that adds real value to your business</w:t>
      </w:r>
      <w:r w:rsidRPr="00C35BED">
        <w:rPr>
          <w:rFonts w:ascii="IBM Plex Sans" w:eastAsia="Times New Roman" w:hAnsi="IBM Plex Sans" w:cs="Times New Roman"/>
        </w:rPr>
        <w:t>.</w:t>
      </w:r>
    </w:p>
    <w:p w14:paraId="7E8C3BB6" w14:textId="2417F91F" w:rsidR="002A161C" w:rsidRPr="00D7701A" w:rsidRDefault="00B01A91" w:rsidP="00B01A91">
      <w:pPr>
        <w:jc w:val="both"/>
        <w:rPr>
          <w:rFonts w:ascii="IBM Plex Sans" w:eastAsia="Times New Roman" w:hAnsi="IBM Plex Sans" w:cs="Times New Roman"/>
        </w:rPr>
      </w:pPr>
      <w:r w:rsidRPr="00C35BED">
        <w:rPr>
          <w:rFonts w:ascii="IBM Plex Sans" w:eastAsia="Times New Roman" w:hAnsi="IBM Plex Sans" w:cs="Times New Roman"/>
        </w:rPr>
        <w:t xml:space="preserve">Our approach </w:t>
      </w:r>
      <w:r w:rsidRPr="00C35BED">
        <w:rPr>
          <w:rFonts w:ascii="IBM Plex Sans" w:eastAsia="Times New Roman" w:hAnsi="IBM Plex Sans" w:cs="Times New Roman"/>
          <w:b/>
          <w:bCs/>
        </w:rPr>
        <w:t>prioritises quality, reliability, and alignment</w:t>
      </w:r>
      <w:r w:rsidRPr="00C35BED">
        <w:rPr>
          <w:rFonts w:ascii="IBM Plex Sans" w:eastAsia="Times New Roman" w:hAnsi="IBM Plex Sans" w:cs="Times New Roman"/>
        </w:rPr>
        <w:t xml:space="preserve"> with your needs over quantity, making NDC a practical and </w:t>
      </w:r>
      <w:r w:rsidRPr="00C35BED">
        <w:rPr>
          <w:rFonts w:ascii="IBM Plex Sans" w:eastAsia="Times New Roman" w:hAnsi="IBM Plex Sans" w:cs="Times New Roman"/>
          <w:b/>
          <w:bCs/>
        </w:rPr>
        <w:t>future-ready</w:t>
      </w:r>
      <w:r w:rsidRPr="00C35BED">
        <w:rPr>
          <w:rFonts w:ascii="IBM Plex Sans" w:eastAsia="Times New Roman" w:hAnsi="IBM Plex Sans" w:cs="Times New Roman"/>
        </w:rPr>
        <w:t xml:space="preserve"> solution for modern corporate travel.</w:t>
      </w:r>
      <w:commentRangeEnd w:id="7"/>
      <w:r w:rsidRPr="00C35BED">
        <w:rPr>
          <w:rStyle w:val="CommentReference"/>
        </w:rPr>
        <w:commentReference w:id="7"/>
      </w:r>
      <w:commentRangeEnd w:id="8"/>
      <w:r w:rsidRPr="00C35BED">
        <w:rPr>
          <w:rStyle w:val="CommentReference"/>
        </w:rPr>
        <w:commentReference w:id="8"/>
      </w:r>
    </w:p>
    <w:p w14:paraId="5B2CA385" w14:textId="212C1397" w:rsidR="002A161C" w:rsidRPr="00D7701A" w:rsidRDefault="002A161C" w:rsidP="002A161C">
      <w:pPr>
        <w:pStyle w:val="Heading1"/>
        <w:rPr>
          <w:rFonts w:ascii="IBM Plex Sans" w:eastAsia="Times New Roman" w:hAnsi="IBM Plex Sans"/>
          <w:b/>
          <w:bCs/>
          <w:color w:val="auto"/>
        </w:rPr>
      </w:pPr>
      <w:bookmarkStart w:id="9" w:name="_Toc190344233"/>
      <w:r w:rsidRPr="00D7701A">
        <w:rPr>
          <w:rFonts w:ascii="IBM Plex Sans" w:eastAsia="Times New Roman" w:hAnsi="IBM Plex Sans"/>
          <w:b/>
          <w:bCs/>
          <w:color w:val="auto"/>
        </w:rPr>
        <w:t>Tone of voice</w:t>
      </w:r>
      <w:bookmarkEnd w:id="9"/>
      <w:r w:rsidRPr="00D7701A">
        <w:rPr>
          <w:rFonts w:ascii="IBM Plex Sans" w:eastAsia="Times New Roman" w:hAnsi="IBM Plex Sans"/>
          <w:b/>
          <w:bCs/>
          <w:color w:val="auto"/>
        </w:rPr>
        <w:t xml:space="preserve"> </w:t>
      </w:r>
    </w:p>
    <w:p w14:paraId="11C2A5B3" w14:textId="77777777" w:rsidR="00367648" w:rsidRPr="00D7701A" w:rsidRDefault="00367648" w:rsidP="00367648">
      <w:pPr>
        <w:pStyle w:val="ListParagraph"/>
        <w:widowControl w:val="0"/>
        <w:numPr>
          <w:ilvl w:val="0"/>
          <w:numId w:val="11"/>
        </w:numPr>
        <w:spacing w:after="0" w:line="276" w:lineRule="auto"/>
        <w:rPr>
          <w:rFonts w:ascii="IBM Plex Sans" w:hAnsi="IBM Plex Sans" w:cstheme="majorHAnsi"/>
          <w:color w:val="2F2E2E"/>
        </w:rPr>
      </w:pPr>
      <w:r w:rsidRPr="00D7701A">
        <w:rPr>
          <w:rFonts w:ascii="IBM Plex Sans" w:hAnsi="IBM Plex Sans" w:cstheme="majorHAnsi"/>
          <w:b/>
          <w:bCs/>
          <w:color w:val="2F2E2E"/>
        </w:rPr>
        <w:t>Professional</w:t>
      </w:r>
      <w:r w:rsidRPr="00D7701A">
        <w:rPr>
          <w:rFonts w:ascii="IBM Plex Sans" w:hAnsi="IBM Plex Sans" w:cstheme="majorHAnsi"/>
          <w:color w:val="2F2E2E"/>
        </w:rPr>
        <w:t xml:space="preserve"> yet approachable</w:t>
      </w:r>
    </w:p>
    <w:p w14:paraId="735B7687" w14:textId="77777777" w:rsidR="00367648" w:rsidRPr="00D7701A" w:rsidRDefault="00367648" w:rsidP="00367648">
      <w:pPr>
        <w:pStyle w:val="ListParagraph"/>
        <w:widowControl w:val="0"/>
        <w:numPr>
          <w:ilvl w:val="0"/>
          <w:numId w:val="11"/>
        </w:numPr>
        <w:spacing w:after="0" w:line="276" w:lineRule="auto"/>
        <w:rPr>
          <w:rFonts w:ascii="IBM Plex Sans" w:hAnsi="IBM Plex Sans" w:cstheme="majorHAnsi"/>
          <w:color w:val="2F2E2E"/>
        </w:rPr>
      </w:pPr>
      <w:r w:rsidRPr="00D7701A">
        <w:rPr>
          <w:rFonts w:ascii="IBM Plex Sans" w:hAnsi="IBM Plex Sans" w:cstheme="majorHAnsi"/>
          <w:b/>
          <w:bCs/>
          <w:color w:val="2F2E2E"/>
        </w:rPr>
        <w:t>Confident</w:t>
      </w:r>
      <w:r w:rsidRPr="00D7701A">
        <w:rPr>
          <w:rFonts w:ascii="IBM Plex Sans" w:hAnsi="IBM Plex Sans" w:cstheme="majorHAnsi"/>
          <w:color w:val="2F2E2E"/>
        </w:rPr>
        <w:t xml:space="preserve"> and innovative</w:t>
      </w:r>
    </w:p>
    <w:p w14:paraId="46274C9A" w14:textId="77777777" w:rsidR="00367648" w:rsidRPr="00D7701A" w:rsidRDefault="00367648" w:rsidP="00367648">
      <w:pPr>
        <w:pStyle w:val="ListParagraph"/>
        <w:widowControl w:val="0"/>
        <w:numPr>
          <w:ilvl w:val="0"/>
          <w:numId w:val="11"/>
        </w:numPr>
        <w:spacing w:after="0" w:line="276" w:lineRule="auto"/>
        <w:rPr>
          <w:rFonts w:ascii="IBM Plex Sans" w:hAnsi="IBM Plex Sans" w:cstheme="majorHAnsi"/>
          <w:color w:val="2F2E2E"/>
        </w:rPr>
      </w:pPr>
      <w:r w:rsidRPr="00D7701A">
        <w:rPr>
          <w:rFonts w:ascii="IBM Plex Sans" w:hAnsi="IBM Plex Sans" w:cstheme="majorHAnsi"/>
          <w:b/>
          <w:bCs/>
          <w:color w:val="2F2E2E"/>
        </w:rPr>
        <w:t>Clear</w:t>
      </w:r>
      <w:r w:rsidRPr="00D7701A">
        <w:rPr>
          <w:rFonts w:ascii="IBM Plex Sans" w:hAnsi="IBM Plex Sans" w:cstheme="majorHAnsi"/>
          <w:color w:val="2F2E2E"/>
        </w:rPr>
        <w:t xml:space="preserve"> and straightforward</w:t>
      </w:r>
    </w:p>
    <w:p w14:paraId="467F4D74" w14:textId="0109C8D6" w:rsidR="007E287D" w:rsidRPr="00D7701A" w:rsidRDefault="00367648" w:rsidP="007E287D">
      <w:pPr>
        <w:pStyle w:val="ListParagraph"/>
        <w:widowControl w:val="0"/>
        <w:numPr>
          <w:ilvl w:val="0"/>
          <w:numId w:val="11"/>
        </w:numPr>
        <w:spacing w:after="0" w:line="276" w:lineRule="auto"/>
        <w:rPr>
          <w:rFonts w:ascii="IBM Plex Sans" w:hAnsi="IBM Plex Sans" w:cstheme="majorHAnsi"/>
          <w:color w:val="2F2E2E"/>
        </w:rPr>
      </w:pPr>
      <w:r w:rsidRPr="00D7701A">
        <w:rPr>
          <w:rFonts w:ascii="IBM Plex Sans" w:hAnsi="IBM Plex Sans" w:cstheme="majorHAnsi"/>
          <w:b/>
          <w:bCs/>
          <w:color w:val="2F2E2E"/>
        </w:rPr>
        <w:t>Customer-focused</w:t>
      </w:r>
      <w:r w:rsidRPr="00D7701A">
        <w:rPr>
          <w:rFonts w:ascii="IBM Plex Sans" w:hAnsi="IBM Plex Sans" w:cstheme="majorHAnsi"/>
          <w:color w:val="2F2E2E"/>
        </w:rPr>
        <w:t>, highlighting partnership and value</w:t>
      </w:r>
    </w:p>
    <w:p w14:paraId="5ACC1A3E" w14:textId="02A53B75" w:rsidR="004543FA" w:rsidRPr="00D7701A" w:rsidRDefault="004543FA" w:rsidP="004543FA">
      <w:pPr>
        <w:pStyle w:val="Heading1"/>
        <w:rPr>
          <w:rFonts w:ascii="IBM Plex Sans" w:hAnsi="IBM Plex Sans"/>
          <w:b/>
          <w:bCs/>
          <w:color w:val="auto"/>
        </w:rPr>
      </w:pPr>
      <w:bookmarkStart w:id="10" w:name="_Toc190344234"/>
      <w:r w:rsidRPr="00D7701A">
        <w:rPr>
          <w:rFonts w:ascii="IBM Plex Sans" w:hAnsi="IBM Plex Sans"/>
          <w:b/>
          <w:bCs/>
          <w:color w:val="auto"/>
        </w:rPr>
        <w:lastRenderedPageBreak/>
        <w:t>Outcomes</w:t>
      </w:r>
      <w:bookmarkEnd w:id="10"/>
    </w:p>
    <w:p w14:paraId="7FBC760A" w14:textId="77777777" w:rsidR="00D738BD" w:rsidRDefault="009A27BC" w:rsidP="00D738BD">
      <w:pPr>
        <w:rPr>
          <w:rFonts w:ascii="IBM Plex Sans" w:hAnsi="IBM Plex Sans"/>
          <w:i/>
          <w:iCs/>
          <w:sz w:val="22"/>
          <w:szCs w:val="22"/>
        </w:rPr>
      </w:pPr>
      <w:r w:rsidRPr="00D7701A">
        <w:rPr>
          <w:rFonts w:ascii="IBM Plex Sans" w:hAnsi="IBM Plex Sans"/>
          <w:i/>
          <w:iCs/>
          <w:sz w:val="22"/>
          <w:szCs w:val="22"/>
        </w:rPr>
        <w:t xml:space="preserve">The outcomes that are possible because of our NDC approach/solution. </w:t>
      </w:r>
    </w:p>
    <w:p w14:paraId="3F6801E7" w14:textId="77777777" w:rsidR="00D738BD" w:rsidRPr="00D738BD" w:rsidRDefault="00D738BD" w:rsidP="00D738BD">
      <w:pPr>
        <w:pStyle w:val="ListParagraph"/>
        <w:numPr>
          <w:ilvl w:val="0"/>
          <w:numId w:val="30"/>
        </w:numPr>
        <w:rPr>
          <w:rFonts w:ascii="IBM Plex Sans" w:hAnsi="IBM Plex Sans"/>
          <w:i/>
          <w:iCs/>
          <w:sz w:val="22"/>
          <w:szCs w:val="22"/>
        </w:rPr>
      </w:pPr>
      <w:r w:rsidRPr="00D738BD">
        <w:rPr>
          <w:rFonts w:ascii="IBM Plex Sans" w:hAnsi="IBM Plex Sans" w:cstheme="majorHAnsi"/>
          <w:b/>
          <w:bCs/>
          <w:color w:val="2F2E2E"/>
        </w:rPr>
        <w:t>Access to a wide range of NDC content from leading global airlines</w:t>
      </w:r>
      <w:r w:rsidRPr="00D738BD">
        <w:rPr>
          <w:rFonts w:ascii="IBM Plex Sans" w:hAnsi="IBM Plex Sans" w:cstheme="majorHAnsi"/>
          <w:color w:val="2F2E2E"/>
        </w:rPr>
        <w:t>, tested to the highest standards so you can trust it will deliver in your travel programme.</w:t>
      </w:r>
    </w:p>
    <w:p w14:paraId="3ADAB8F1" w14:textId="77777777" w:rsidR="00D738BD" w:rsidRPr="00D738BD" w:rsidRDefault="00D738BD" w:rsidP="00D738BD">
      <w:pPr>
        <w:pStyle w:val="ListParagraph"/>
        <w:numPr>
          <w:ilvl w:val="0"/>
          <w:numId w:val="30"/>
        </w:numPr>
        <w:rPr>
          <w:rFonts w:ascii="IBM Plex Sans" w:hAnsi="IBM Plex Sans"/>
          <w:i/>
          <w:iCs/>
          <w:sz w:val="22"/>
          <w:szCs w:val="22"/>
        </w:rPr>
      </w:pPr>
      <w:r w:rsidRPr="00D738BD">
        <w:rPr>
          <w:rFonts w:ascii="IBM Plex Sans" w:hAnsi="IBM Plex Sans" w:cstheme="majorHAnsi"/>
          <w:b/>
          <w:bCs/>
          <w:color w:val="2F2E2E"/>
        </w:rPr>
        <w:t>Tailored programme alignment, with content activated only when it supports your policies</w:t>
      </w:r>
      <w:r w:rsidRPr="00D738BD">
        <w:rPr>
          <w:rFonts w:ascii="IBM Plex Sans" w:hAnsi="IBM Plex Sans" w:cstheme="majorHAnsi"/>
          <w:color w:val="2F2E2E"/>
        </w:rPr>
        <w:t>, budgets, and goals.</w:t>
      </w:r>
    </w:p>
    <w:p w14:paraId="76B6D73E" w14:textId="77777777" w:rsidR="00D738BD" w:rsidRPr="00D738BD" w:rsidRDefault="00D738BD" w:rsidP="00D738BD">
      <w:pPr>
        <w:pStyle w:val="ListParagraph"/>
        <w:numPr>
          <w:ilvl w:val="0"/>
          <w:numId w:val="30"/>
        </w:numPr>
        <w:rPr>
          <w:rFonts w:ascii="IBM Plex Sans" w:hAnsi="IBM Plex Sans"/>
          <w:i/>
          <w:iCs/>
          <w:sz w:val="22"/>
          <w:szCs w:val="22"/>
        </w:rPr>
      </w:pPr>
      <w:r w:rsidRPr="00D738BD">
        <w:rPr>
          <w:rFonts w:ascii="IBM Plex Sans" w:hAnsi="IBM Plex Sans" w:cstheme="majorHAnsi"/>
          <w:b/>
          <w:bCs/>
          <w:color w:val="2F2E2E"/>
        </w:rPr>
        <w:t>Future-ready flexibility, powered by strong partnerships with airlines, GDSs, OBTs, and aggregators</w:t>
      </w:r>
      <w:r w:rsidRPr="00D738BD">
        <w:rPr>
          <w:rFonts w:ascii="IBM Plex Sans" w:hAnsi="IBM Plex Sans" w:cstheme="majorHAnsi"/>
          <w:color w:val="2F2E2E"/>
        </w:rPr>
        <w:t xml:space="preserve"> to keep pace with industry change.</w:t>
      </w:r>
    </w:p>
    <w:p w14:paraId="6B5A8B28" w14:textId="7EE72500" w:rsidR="00BB05FA" w:rsidRPr="00FD0387" w:rsidRDefault="00D738BD" w:rsidP="00FD0387">
      <w:pPr>
        <w:pStyle w:val="ListParagraph"/>
        <w:numPr>
          <w:ilvl w:val="0"/>
          <w:numId w:val="30"/>
        </w:numPr>
        <w:rPr>
          <w:rFonts w:ascii="IBM Plex Sans" w:hAnsi="IBM Plex Sans"/>
          <w:i/>
          <w:iCs/>
          <w:sz w:val="22"/>
          <w:szCs w:val="22"/>
        </w:rPr>
      </w:pPr>
      <w:r w:rsidRPr="00D738BD">
        <w:rPr>
          <w:rFonts w:ascii="IBM Plex Sans" w:hAnsi="IBM Plex Sans" w:cstheme="majorHAnsi"/>
          <w:b/>
          <w:bCs/>
          <w:color w:val="2F2E2E"/>
        </w:rPr>
        <w:t xml:space="preserve">An enhanced traveller experience, through richer content, personalised offers, and greater transparency </w:t>
      </w:r>
      <w:r w:rsidRPr="00D738BD">
        <w:rPr>
          <w:rFonts w:ascii="IBM Plex Sans" w:hAnsi="IBM Plex Sans" w:cstheme="majorHAnsi"/>
          <w:color w:val="2F2E2E"/>
        </w:rPr>
        <w:t>at the point of booking.</w:t>
      </w:r>
    </w:p>
    <w:p w14:paraId="3A2DA3D7" w14:textId="77777777" w:rsidR="00FD0387" w:rsidRPr="00AF327F" w:rsidRDefault="00FD0387" w:rsidP="00FD0387">
      <w:pPr>
        <w:pStyle w:val="ListParagraph"/>
        <w:widowControl w:val="0"/>
        <w:numPr>
          <w:ilvl w:val="0"/>
          <w:numId w:val="32"/>
        </w:numPr>
        <w:spacing w:after="0" w:line="276" w:lineRule="auto"/>
        <w:rPr>
          <w:rFonts w:ascii="IBM Plex Sans" w:hAnsi="IBM Plex Sans" w:cstheme="majorHAnsi"/>
          <w:color w:val="2F2E2E"/>
        </w:rPr>
      </w:pPr>
      <w:r w:rsidRPr="00AF327F">
        <w:rPr>
          <w:rFonts w:ascii="IBM Plex Sans" w:hAnsi="IBM Plex Sans" w:cstheme="majorHAnsi"/>
          <w:b/>
          <w:bCs/>
          <w:color w:val="2F2E2E"/>
        </w:rPr>
        <w:t>NDC availability across regions and OBTs:</w:t>
      </w:r>
      <w:r w:rsidRPr="00AF327F">
        <w:rPr>
          <w:rFonts w:ascii="IBM Plex Sans" w:hAnsi="IBM Plex Sans" w:cstheme="majorHAnsi"/>
          <w:color w:val="2F2E2E"/>
        </w:rPr>
        <w:t xml:space="preserve"> customers need access to relevant NDC content wherever they operate, seamlessly integrated with their preferred online booking tools. </w:t>
      </w:r>
    </w:p>
    <w:p w14:paraId="03F33A90" w14:textId="77777777" w:rsidR="00FD0387" w:rsidRPr="00A93293" w:rsidRDefault="00FD0387" w:rsidP="00FD0387">
      <w:pPr>
        <w:widowControl w:val="0"/>
        <w:numPr>
          <w:ilvl w:val="0"/>
          <w:numId w:val="31"/>
        </w:numPr>
        <w:spacing w:after="0" w:line="276" w:lineRule="auto"/>
        <w:rPr>
          <w:rFonts w:ascii="IBM Plex Sans" w:hAnsi="IBM Plex Sans" w:cstheme="majorHAnsi"/>
          <w:color w:val="2F2E2E"/>
        </w:rPr>
      </w:pPr>
      <w:r w:rsidRPr="00A93293">
        <w:rPr>
          <w:rFonts w:ascii="IBM Plex Sans" w:hAnsi="IBM Plex Sans" w:cstheme="majorHAnsi"/>
          <w:b/>
          <w:bCs/>
          <w:color w:val="2F2E2E"/>
        </w:rPr>
        <w:t>Seamless implementation:</w:t>
      </w:r>
      <w:r w:rsidRPr="00A93293">
        <w:rPr>
          <w:rFonts w:ascii="IBM Plex Sans" w:hAnsi="IBM Plex Sans" w:cstheme="majorHAnsi"/>
          <w:color w:val="2F2E2E"/>
        </w:rPr>
        <w:t xml:space="preserve"> they require confidence that integrating NDC into their travel programme will not disrupt existing workflows, servicing, or reporting capabilities.</w:t>
      </w:r>
    </w:p>
    <w:p w14:paraId="251A566B" w14:textId="77777777" w:rsidR="00FD0387" w:rsidRPr="00A93293" w:rsidRDefault="00FD0387" w:rsidP="00FD0387">
      <w:pPr>
        <w:widowControl w:val="0"/>
        <w:numPr>
          <w:ilvl w:val="0"/>
          <w:numId w:val="31"/>
        </w:numPr>
        <w:spacing w:after="0" w:line="276" w:lineRule="auto"/>
        <w:rPr>
          <w:rFonts w:ascii="IBM Plex Sans" w:hAnsi="IBM Plex Sans" w:cstheme="majorHAnsi"/>
          <w:color w:val="2F2E2E"/>
        </w:rPr>
      </w:pPr>
      <w:r w:rsidRPr="00A93293">
        <w:rPr>
          <w:rFonts w:ascii="IBM Plex Sans" w:hAnsi="IBM Plex Sans" w:cstheme="majorHAnsi"/>
          <w:b/>
          <w:bCs/>
          <w:color w:val="2F2E2E"/>
        </w:rPr>
        <w:t>Data and reporting insights:</w:t>
      </w:r>
      <w:r w:rsidRPr="00A93293">
        <w:rPr>
          <w:rFonts w:ascii="IBM Plex Sans" w:hAnsi="IBM Plex Sans" w:cstheme="majorHAnsi"/>
          <w:color w:val="2F2E2E"/>
        </w:rPr>
        <w:t xml:space="preserve"> access to clear, actionable reporting on NDC bookings, including visibility into potential cost savings and programme performance.</w:t>
      </w:r>
    </w:p>
    <w:p w14:paraId="42108443" w14:textId="7E7211DF" w:rsidR="00FD0387" w:rsidRPr="00FD0387" w:rsidRDefault="00FD0387" w:rsidP="00FD0387">
      <w:pPr>
        <w:pStyle w:val="ListParagraph"/>
        <w:numPr>
          <w:ilvl w:val="0"/>
          <w:numId w:val="30"/>
        </w:numPr>
        <w:rPr>
          <w:rFonts w:ascii="IBM Plex Sans" w:hAnsi="IBM Plex Sans"/>
          <w:i/>
          <w:iCs/>
          <w:sz w:val="22"/>
          <w:szCs w:val="22"/>
        </w:rPr>
      </w:pPr>
      <w:r w:rsidRPr="00A93293">
        <w:rPr>
          <w:rFonts w:ascii="IBM Plex Sans" w:hAnsi="IBM Plex Sans" w:cstheme="majorHAnsi"/>
          <w:b/>
          <w:bCs/>
          <w:color w:val="2F2E2E"/>
        </w:rPr>
        <w:t>Guidance and education:</w:t>
      </w:r>
      <w:r w:rsidRPr="00A93293">
        <w:rPr>
          <w:rFonts w:ascii="IBM Plex Sans" w:hAnsi="IBM Plex Sans" w:cstheme="majorHAnsi"/>
          <w:color w:val="2F2E2E"/>
        </w:rPr>
        <w:t xml:space="preserve"> a trusted partner to provide clarity on the differences between EDIFACT and NDC content, helping customers evaluate whether NDC is the right fit for their programme.</w:t>
      </w:r>
    </w:p>
    <w:p w14:paraId="0305AA18" w14:textId="477855DA" w:rsidR="004938FE" w:rsidRPr="00D7701A" w:rsidRDefault="004938FE" w:rsidP="00BB05FA">
      <w:pPr>
        <w:pStyle w:val="Heading2"/>
        <w:jc w:val="both"/>
        <w:rPr>
          <w:rFonts w:ascii="IBM Plex Sans" w:hAnsi="IBM Plex Sans"/>
          <w:b/>
          <w:bCs/>
          <w:color w:val="auto"/>
        </w:rPr>
      </w:pPr>
      <w:bookmarkStart w:id="11" w:name="_Toc190344235"/>
      <w:r w:rsidRPr="00D7701A">
        <w:rPr>
          <w:rFonts w:ascii="IBM Plex Sans" w:hAnsi="IBM Plex Sans"/>
          <w:b/>
          <w:bCs/>
          <w:color w:val="auto"/>
        </w:rPr>
        <w:t>Outcome pillars</w:t>
      </w:r>
      <w:bookmarkEnd w:id="11"/>
      <w:r w:rsidRPr="00D7701A">
        <w:rPr>
          <w:rFonts w:ascii="IBM Plex Sans" w:hAnsi="IBM Plex Sans"/>
          <w:b/>
          <w:bCs/>
          <w:color w:val="auto"/>
        </w:rPr>
        <w:t xml:space="preserve"> </w:t>
      </w:r>
    </w:p>
    <w:p w14:paraId="61BC4150" w14:textId="2E07C350" w:rsidR="004938FE" w:rsidRPr="00D7701A" w:rsidRDefault="00742FAC" w:rsidP="00BB05FA">
      <w:pPr>
        <w:jc w:val="both"/>
        <w:rPr>
          <w:rFonts w:ascii="IBM Plex Sans" w:hAnsi="IBM Plex Sans"/>
          <w:i/>
          <w:iCs/>
          <w:sz w:val="22"/>
          <w:szCs w:val="22"/>
        </w:rPr>
      </w:pPr>
      <w:r w:rsidRPr="00D7701A">
        <w:rPr>
          <w:rFonts w:ascii="IBM Plex Sans" w:hAnsi="IBM Plex Sans"/>
          <w:i/>
          <w:iCs/>
          <w:sz w:val="22"/>
          <w:szCs w:val="22"/>
        </w:rPr>
        <w:t>These pillars substantiate our elevator pitch and positioning work.</w:t>
      </w:r>
    </w:p>
    <w:p w14:paraId="02188E0A" w14:textId="77777777" w:rsidR="00FD0B5C" w:rsidRPr="00D7701A" w:rsidRDefault="00FD0B5C" w:rsidP="00BB05FA">
      <w:pPr>
        <w:widowControl w:val="0"/>
        <w:jc w:val="both"/>
        <w:rPr>
          <w:rFonts w:ascii="IBM Plex Sans" w:hAnsi="IBM Plex Sans" w:cstheme="majorHAnsi"/>
          <w:b/>
          <w:color w:val="00DE00"/>
        </w:rPr>
      </w:pPr>
      <w:r w:rsidRPr="00D7701A">
        <w:rPr>
          <w:rFonts w:ascii="IBM Plex Sans" w:hAnsi="IBM Plex Sans" w:cstheme="majorHAnsi"/>
          <w:b/>
          <w:color w:val="00DE00"/>
        </w:rPr>
        <w:t xml:space="preserve">Pillar #1 </w:t>
      </w:r>
    </w:p>
    <w:p w14:paraId="4065215A" w14:textId="7F66C970" w:rsidR="00FD0B5C" w:rsidRPr="00D7701A" w:rsidRDefault="00FD0B5C" w:rsidP="00BB05FA">
      <w:pPr>
        <w:jc w:val="both"/>
        <w:rPr>
          <w:rFonts w:ascii="IBM Plex Sans" w:hAnsi="IBM Plex Sans" w:cstheme="majorHAnsi"/>
          <w:b/>
          <w:color w:val="2F2E2E"/>
        </w:rPr>
      </w:pPr>
      <w:r w:rsidRPr="00D7701A">
        <w:rPr>
          <w:rFonts w:ascii="IBM Plex Sans" w:hAnsi="IBM Plex Sans" w:cstheme="majorHAnsi"/>
          <w:b/>
          <w:color w:val="2F2E2E"/>
        </w:rPr>
        <w:t>Relevant global NDC content that is serviceable and proven to work</w:t>
      </w:r>
    </w:p>
    <w:p w14:paraId="35ACBF4D" w14:textId="77777777" w:rsidR="004C6659" w:rsidRPr="00D7701A" w:rsidRDefault="004C6659" w:rsidP="00BB05FA">
      <w:pPr>
        <w:widowControl w:val="0"/>
        <w:jc w:val="both"/>
        <w:rPr>
          <w:rFonts w:ascii="IBM Plex Sans" w:hAnsi="IBM Plex Sans" w:cstheme="majorHAnsi"/>
          <w:b/>
          <w:color w:val="00DE00"/>
        </w:rPr>
      </w:pPr>
      <w:r w:rsidRPr="00D7701A">
        <w:rPr>
          <w:rFonts w:ascii="IBM Plex Sans" w:hAnsi="IBM Plex Sans" w:cstheme="majorHAnsi"/>
          <w:b/>
          <w:color w:val="00DE00"/>
        </w:rPr>
        <w:t>Pillar #2</w:t>
      </w:r>
    </w:p>
    <w:p w14:paraId="0CF4580E" w14:textId="4E82CCBC" w:rsidR="0004116C" w:rsidRDefault="0004116C" w:rsidP="00BB05FA">
      <w:pPr>
        <w:widowControl w:val="0"/>
        <w:jc w:val="both"/>
        <w:rPr>
          <w:rFonts w:ascii="IBM Plex Sans" w:hAnsi="IBM Plex Sans" w:cstheme="majorHAnsi"/>
          <w:b/>
          <w:color w:val="00DE00"/>
        </w:rPr>
      </w:pPr>
      <w:r w:rsidRPr="00242596">
        <w:rPr>
          <w:rFonts w:ascii="IBM Plex Sans" w:hAnsi="IBM Plex Sans" w:cstheme="majorHAnsi"/>
          <w:b/>
          <w:color w:val="2F2E2E"/>
        </w:rPr>
        <w:t xml:space="preserve">Trusted </w:t>
      </w:r>
      <w:r>
        <w:rPr>
          <w:rFonts w:ascii="IBM Plex Sans" w:hAnsi="IBM Plex Sans" w:cstheme="majorHAnsi"/>
          <w:b/>
          <w:color w:val="2F2E2E"/>
        </w:rPr>
        <w:t>NDC g</w:t>
      </w:r>
      <w:r w:rsidRPr="00242596">
        <w:rPr>
          <w:rFonts w:ascii="IBM Plex Sans" w:hAnsi="IBM Plex Sans" w:cstheme="majorHAnsi"/>
          <w:b/>
          <w:color w:val="2F2E2E"/>
        </w:rPr>
        <w:t xml:space="preserve">uidance </w:t>
      </w:r>
      <w:r>
        <w:rPr>
          <w:rFonts w:ascii="IBM Plex Sans" w:hAnsi="IBM Plex Sans" w:cstheme="majorHAnsi"/>
          <w:b/>
          <w:color w:val="2F2E2E"/>
        </w:rPr>
        <w:t>backed by i</w:t>
      </w:r>
      <w:r w:rsidRPr="00242596">
        <w:rPr>
          <w:rFonts w:ascii="IBM Plex Sans" w:hAnsi="IBM Plex Sans" w:cstheme="majorHAnsi"/>
          <w:b/>
          <w:color w:val="2F2E2E"/>
        </w:rPr>
        <w:t xml:space="preserve">ndustry </w:t>
      </w:r>
      <w:r>
        <w:rPr>
          <w:rFonts w:ascii="IBM Plex Sans" w:hAnsi="IBM Plex Sans" w:cstheme="majorHAnsi"/>
          <w:b/>
          <w:color w:val="2F2E2E"/>
        </w:rPr>
        <w:t>e</w:t>
      </w:r>
      <w:r w:rsidRPr="00242596">
        <w:rPr>
          <w:rFonts w:ascii="IBM Plex Sans" w:hAnsi="IBM Plex Sans" w:cstheme="majorHAnsi"/>
          <w:b/>
          <w:color w:val="2F2E2E"/>
        </w:rPr>
        <w:t>xpertise</w:t>
      </w:r>
      <w:r w:rsidRPr="00D7701A">
        <w:rPr>
          <w:rFonts w:ascii="IBM Plex Sans" w:hAnsi="IBM Plex Sans" w:cstheme="majorHAnsi"/>
          <w:b/>
          <w:color w:val="00DE00"/>
        </w:rPr>
        <w:t xml:space="preserve"> </w:t>
      </w:r>
    </w:p>
    <w:p w14:paraId="735EC7DD" w14:textId="6A3BA34B" w:rsidR="00BB05FA" w:rsidRPr="00D7701A" w:rsidRDefault="00BB05FA" w:rsidP="00BB05FA">
      <w:pPr>
        <w:widowControl w:val="0"/>
        <w:jc w:val="both"/>
        <w:rPr>
          <w:rFonts w:ascii="IBM Plex Sans" w:hAnsi="IBM Plex Sans" w:cstheme="majorHAnsi"/>
          <w:b/>
          <w:color w:val="00DE00"/>
        </w:rPr>
      </w:pPr>
      <w:r w:rsidRPr="00D7701A">
        <w:rPr>
          <w:rFonts w:ascii="IBM Plex Sans" w:hAnsi="IBM Plex Sans" w:cstheme="majorHAnsi"/>
          <w:b/>
          <w:color w:val="00DE00"/>
        </w:rPr>
        <w:t xml:space="preserve">Pillar #3 </w:t>
      </w:r>
    </w:p>
    <w:p w14:paraId="1085F4A4" w14:textId="0284C68A" w:rsidR="00FA4544" w:rsidRPr="00D7701A" w:rsidRDefault="00E527BF" w:rsidP="00BB05FA">
      <w:pPr>
        <w:jc w:val="both"/>
        <w:rPr>
          <w:rFonts w:ascii="IBM Plex Sans" w:hAnsi="IBM Plex Sans"/>
          <w:i/>
          <w:iCs/>
          <w:sz w:val="22"/>
          <w:szCs w:val="22"/>
        </w:rPr>
      </w:pPr>
      <w:r w:rsidRPr="00E527BF">
        <w:rPr>
          <w:rFonts w:ascii="IBM Plex Sans" w:hAnsi="IBM Plex Sans" w:cstheme="majorHAnsi"/>
          <w:b/>
          <w:color w:val="2F2E2E"/>
        </w:rPr>
        <w:t>Thoroughly tested, ready for your business</w:t>
      </w:r>
    </w:p>
    <w:p w14:paraId="528BEBA5" w14:textId="1DF54CD0" w:rsidR="007E287D" w:rsidRDefault="00A22265" w:rsidP="00A22265">
      <w:pPr>
        <w:pStyle w:val="Heading1"/>
        <w:rPr>
          <w:rFonts w:ascii="IBM Plex Sans" w:hAnsi="IBM Plex Sans"/>
          <w:b/>
          <w:bCs/>
          <w:color w:val="auto"/>
        </w:rPr>
      </w:pPr>
      <w:bookmarkStart w:id="12" w:name="_Toc190344236"/>
      <w:r w:rsidRPr="00D7701A">
        <w:rPr>
          <w:rFonts w:ascii="IBM Plex Sans" w:hAnsi="IBM Plex Sans"/>
          <w:b/>
          <w:bCs/>
          <w:color w:val="auto"/>
        </w:rPr>
        <w:lastRenderedPageBreak/>
        <w:t>Key messages for NDC at FCM</w:t>
      </w:r>
      <w:bookmarkEnd w:id="12"/>
      <w:r w:rsidRPr="00D7701A">
        <w:rPr>
          <w:rFonts w:ascii="IBM Plex Sans" w:hAnsi="IBM Plex Sans"/>
          <w:b/>
          <w:bCs/>
          <w:color w:val="auto"/>
        </w:rPr>
        <w:t xml:space="preserve"> </w:t>
      </w:r>
    </w:p>
    <w:p w14:paraId="2A5FD8F6" w14:textId="73D804C8" w:rsidR="00FA4544" w:rsidRPr="00921FFD" w:rsidRDefault="008216F6" w:rsidP="00FA4544">
      <w:pPr>
        <w:rPr>
          <w:rFonts w:ascii="IBM Plex Sans" w:hAnsi="IBM Plex Sans"/>
          <w:i/>
          <w:iCs/>
          <w:sz w:val="22"/>
          <w:szCs w:val="22"/>
        </w:rPr>
      </w:pPr>
      <w:r w:rsidRPr="00921FFD">
        <w:rPr>
          <mc:AlternateContent>
            <mc:Choice Requires="w16se">
              <w:rFonts w:ascii="IBM Plex Sans" w:hAnsi="IBM Plex Sans" w:cs="Calibri"/>
            </mc:Choice>
            <mc:Fallback>
              <w:rFonts w:ascii="Segoe UI Emoji" w:eastAsia="Segoe UI Emoji" w:hAnsi="Segoe UI Emoji" w:cs="Segoe UI Emoji"/>
            </mc:Fallback>
          </mc:AlternateContent>
          <w:i/>
          <w:iCs/>
          <w:sz w:val="22"/>
          <w:szCs w:val="22"/>
        </w:rPr>
        <mc:AlternateContent>
          <mc:Choice Requires="w16se">
            <w16se:symEx w16se:font="Segoe UI Emoji" w16se:char="1F449"/>
          </mc:Choice>
          <mc:Fallback>
            <w:t>👉</w:t>
          </mc:Fallback>
        </mc:AlternateContent>
      </w:r>
      <w:r w:rsidRPr="00921FFD">
        <w:rPr>
          <w:rFonts w:ascii="IBM Plex Sans" w:hAnsi="IBM Plex Sans" w:cs="Calibri"/>
          <w:i/>
          <w:iCs/>
          <w:sz w:val="22"/>
          <w:szCs w:val="22"/>
        </w:rPr>
        <w:t xml:space="preserve"> </w:t>
      </w:r>
      <w:r w:rsidRPr="00921FFD">
        <w:rPr>
          <w:rFonts w:ascii="IBM Plex Sans" w:hAnsi="IBM Plex Sans"/>
          <w:i/>
          <w:iCs/>
          <w:sz w:val="22"/>
          <w:szCs w:val="22"/>
        </w:rPr>
        <w:t>K</w:t>
      </w:r>
      <w:r w:rsidR="00FA4544" w:rsidRPr="00FA4544">
        <w:rPr>
          <w:rFonts w:ascii="IBM Plex Sans" w:hAnsi="IBM Plex Sans"/>
          <w:i/>
          <w:iCs/>
          <w:sz w:val="22"/>
          <w:szCs w:val="22"/>
        </w:rPr>
        <w:t>ey messaging pillars to help shape blogs, social media, and other content assets.</w:t>
      </w:r>
    </w:p>
    <w:p w14:paraId="1D71375D" w14:textId="23CD56E5" w:rsidR="00E75086" w:rsidRPr="00D7701A" w:rsidRDefault="00E75086" w:rsidP="00F77E8E">
      <w:pPr>
        <w:pStyle w:val="ListParagraph"/>
        <w:numPr>
          <w:ilvl w:val="0"/>
          <w:numId w:val="12"/>
        </w:numPr>
        <w:jc w:val="both"/>
        <w:rPr>
          <w:rFonts w:ascii="IBM Plex Sans" w:hAnsi="IBM Plex Sans"/>
          <w:b/>
          <w:bCs/>
          <w:color w:val="00DE00"/>
        </w:rPr>
      </w:pPr>
      <w:r w:rsidRPr="00D7701A">
        <w:rPr>
          <w:rFonts w:ascii="IBM Plex Sans" w:hAnsi="IBM Plex Sans"/>
          <w:b/>
          <w:bCs/>
          <w:color w:val="00DE00"/>
        </w:rPr>
        <w:t xml:space="preserve">Business-ready NDC content </w:t>
      </w:r>
      <w:r w:rsidR="000A1C03" w:rsidRPr="00D7701A">
        <w:rPr>
          <w:rFonts w:ascii="IBM Plex Sans" w:hAnsi="IBM Plex Sans"/>
          <w:b/>
          <w:bCs/>
          <w:color w:val="00DE00"/>
        </w:rPr>
        <w:t>delivered by FCM</w:t>
      </w:r>
    </w:p>
    <w:p w14:paraId="6F133B03" w14:textId="77777777" w:rsidR="0050572E" w:rsidRPr="0050572E" w:rsidRDefault="0050572E" w:rsidP="00F77E8E">
      <w:pPr>
        <w:pStyle w:val="ListParagraph"/>
        <w:numPr>
          <w:ilvl w:val="0"/>
          <w:numId w:val="13"/>
        </w:numPr>
        <w:jc w:val="both"/>
        <w:rPr>
          <w:rFonts w:ascii="IBM Plex Sans" w:hAnsi="IBM Plex Sans"/>
        </w:rPr>
      </w:pPr>
      <w:r w:rsidRPr="0050572E">
        <w:rPr>
          <w:rFonts w:ascii="IBM Plex Sans" w:hAnsi="IBM Plex Sans"/>
          <w:b/>
          <w:bCs/>
        </w:rPr>
        <w:t xml:space="preserve">NDC that works for corporate travel: </w:t>
      </w:r>
      <w:r w:rsidRPr="0050572E">
        <w:rPr>
          <w:rFonts w:ascii="IBM Plex Sans" w:hAnsi="IBM Plex Sans"/>
        </w:rPr>
        <w:t>We ensure every piece of NDC content is tested and aligned with corporate programme needs, so customers can trust it fits their policies, workflows, and traveller expectations.</w:t>
      </w:r>
    </w:p>
    <w:p w14:paraId="18A81210" w14:textId="1D3D9A49" w:rsidR="00E75086" w:rsidRPr="00D7701A" w:rsidRDefault="00E75086" w:rsidP="00F77E8E">
      <w:pPr>
        <w:pStyle w:val="ListParagraph"/>
        <w:numPr>
          <w:ilvl w:val="0"/>
          <w:numId w:val="13"/>
        </w:numPr>
        <w:jc w:val="both"/>
        <w:rPr>
          <w:rFonts w:ascii="IBM Plex Sans" w:hAnsi="IBM Plex Sans"/>
        </w:rPr>
      </w:pPr>
      <w:r w:rsidRPr="00D7701A">
        <w:rPr>
          <w:rFonts w:ascii="IBM Plex Sans" w:hAnsi="IBM Plex Sans"/>
          <w:b/>
          <w:bCs/>
        </w:rPr>
        <w:t>Quality over quantity</w:t>
      </w:r>
      <w:r w:rsidR="006D0005">
        <w:rPr>
          <w:rFonts w:ascii="IBM Plex Sans" w:hAnsi="IBM Plex Sans"/>
        </w:rPr>
        <w:t xml:space="preserve">: </w:t>
      </w:r>
      <w:r w:rsidRPr="00D7701A">
        <w:rPr>
          <w:rFonts w:ascii="IBM Plex Sans" w:hAnsi="IBM Plex Sans"/>
        </w:rPr>
        <w:t>we prioritise NDC content that is aligned with corporate travel needs, rather than simply offering broad, untested options.</w:t>
      </w:r>
      <w:r w:rsidR="00675A81" w:rsidRPr="00D7701A">
        <w:rPr>
          <w:rFonts w:ascii="IBM Plex Sans" w:hAnsi="IBM Plex Sans"/>
        </w:rPr>
        <w:t xml:space="preserve"> Every NDC content offering is rigorously reviewed to ensure compliance with global data protection regulations, safeguarding business and traveller information.</w:t>
      </w:r>
    </w:p>
    <w:p w14:paraId="5D0525DF" w14:textId="77777777" w:rsidR="00127ABF" w:rsidRDefault="00E75086" w:rsidP="0021535B">
      <w:pPr>
        <w:pStyle w:val="ListParagraph"/>
        <w:numPr>
          <w:ilvl w:val="0"/>
          <w:numId w:val="13"/>
        </w:numPr>
        <w:jc w:val="both"/>
        <w:rPr>
          <w:rFonts w:ascii="IBM Plex Sans" w:hAnsi="IBM Plex Sans"/>
        </w:rPr>
      </w:pPr>
      <w:r w:rsidRPr="00D7701A">
        <w:rPr>
          <w:rFonts w:ascii="IBM Plex Sans" w:hAnsi="IBM Plex Sans"/>
          <w:b/>
          <w:bCs/>
        </w:rPr>
        <w:t>Strategic industry partnerships</w:t>
      </w:r>
      <w:r w:rsidR="006D0005">
        <w:rPr>
          <w:rFonts w:ascii="IBM Plex Sans" w:hAnsi="IBM Plex Sans"/>
        </w:rPr>
        <w:t xml:space="preserve">: </w:t>
      </w:r>
      <w:r w:rsidR="006D0005" w:rsidRPr="006D0005">
        <w:rPr>
          <w:rFonts w:ascii="IBM Plex Sans" w:hAnsi="IBM Plex Sans"/>
        </w:rPr>
        <w:t>Our strong relationships with airlines, OBTs, GDSs, and aggregators mean we bring customers early access to the most effective and relevant content.</w:t>
      </w:r>
    </w:p>
    <w:p w14:paraId="4D1B3394" w14:textId="77777777" w:rsidR="00127ABF" w:rsidRPr="00127ABF" w:rsidRDefault="00127ABF" w:rsidP="0021535B">
      <w:pPr>
        <w:pStyle w:val="ListParagraph"/>
        <w:numPr>
          <w:ilvl w:val="0"/>
          <w:numId w:val="13"/>
        </w:numPr>
        <w:jc w:val="both"/>
        <w:rPr>
          <w:rFonts w:ascii="IBM Plex Sans" w:hAnsi="IBM Plex Sans"/>
        </w:rPr>
      </w:pPr>
      <w:r w:rsidRPr="00127ABF">
        <w:rPr>
          <w:rFonts w:ascii="IBM Plex Sans" w:hAnsi="IBM Plex Sans" w:cstheme="majorHAnsi"/>
          <w:b/>
          <w:bCs/>
          <w:color w:val="2F2E2E"/>
        </w:rPr>
        <w:t xml:space="preserve">Freedom of choice: </w:t>
      </w:r>
      <w:r w:rsidRPr="00127ABF">
        <w:rPr>
          <w:rFonts w:ascii="IBM Plex Sans" w:hAnsi="IBM Plex Sans" w:cstheme="majorHAnsi"/>
          <w:color w:val="2F2E2E"/>
        </w:rPr>
        <w:t>By consolidating NDC, EDIFACT, and low-cost carrier fares, we reduce fragmentation and give businesses the flexibility to manage all their air content in one place.</w:t>
      </w:r>
    </w:p>
    <w:p w14:paraId="21201CAB" w14:textId="298ACE5B" w:rsidR="0021535B" w:rsidRPr="00127ABF" w:rsidRDefault="0021535B" w:rsidP="00127ABF">
      <w:pPr>
        <w:ind w:left="360"/>
        <w:jc w:val="both"/>
        <w:rPr>
          <w:rFonts w:ascii="IBM Plex Sans" w:hAnsi="IBM Plex Sans"/>
        </w:rPr>
      </w:pPr>
      <w:r w:rsidRPr="00D7701A">
        <w:rPr>
          <mc:AlternateContent>
            <mc:Choice Requires="w16se">
              <w:rFonts w:cs="Calibri"/>
            </mc:Choice>
            <mc:Fallback>
              <w:rFonts w:ascii="Segoe UI Emoji" w:eastAsia="Segoe UI Emoji" w:hAnsi="Segoe UI Emoji" w:cs="Segoe UI Emoji"/>
            </mc:Fallback>
          </mc:AlternateContent>
        </w:rPr>
        <mc:AlternateContent>
          <mc:Choice Requires="w16se">
            <w16se:symEx w16se:font="Segoe UI Emoji" w16se:char="1F449"/>
          </mc:Choice>
          <mc:Fallback>
            <w:t>👉</w:t>
          </mc:Fallback>
        </mc:AlternateContent>
      </w:r>
      <w:r w:rsidRPr="00127ABF">
        <w:rPr>
          <w:rFonts w:ascii="IBM Plex Sans" w:hAnsi="IBM Plex Sans" w:cs="Calibri"/>
        </w:rPr>
        <w:t xml:space="preserve"> </w:t>
      </w:r>
      <w:r w:rsidR="005E550C" w:rsidRPr="00127ABF">
        <w:rPr>
          <w:rFonts w:ascii="IBM Plex Sans" w:hAnsi="IBM Plex Sans" w:cstheme="majorHAnsi"/>
          <w:b/>
          <w:bCs/>
          <w:color w:val="2F2E2E"/>
        </w:rPr>
        <w:t xml:space="preserve">Proof points: </w:t>
      </w:r>
    </w:p>
    <w:p w14:paraId="21F52B05" w14:textId="0410693B" w:rsidR="0021535B" w:rsidRPr="00D7701A" w:rsidRDefault="0021535B" w:rsidP="00B622B8">
      <w:pPr>
        <w:pStyle w:val="ListParagraph"/>
        <w:numPr>
          <w:ilvl w:val="0"/>
          <w:numId w:val="21"/>
        </w:numPr>
        <w:rPr>
          <w:rFonts w:ascii="IBM Plex Sans" w:hAnsi="IBM Plex Sans" w:cstheme="majorHAnsi"/>
          <w:color w:val="2F2E2E"/>
        </w:rPr>
      </w:pPr>
      <w:r w:rsidRPr="00D7701A">
        <w:rPr>
          <w:rFonts w:ascii="IBM Plex Sans" w:hAnsi="IBM Plex Sans" w:cstheme="majorHAnsi"/>
          <w:color w:val="2F2E2E"/>
        </w:rPr>
        <w:t>We consider a range of factors including how NDC fits in with our customers: </w:t>
      </w:r>
    </w:p>
    <w:p w14:paraId="55801E6E" w14:textId="77777777" w:rsidR="0021535B" w:rsidRPr="00D7701A" w:rsidRDefault="0021535B" w:rsidP="0021535B">
      <w:pPr>
        <w:numPr>
          <w:ilvl w:val="1"/>
          <w:numId w:val="16"/>
        </w:numPr>
        <w:spacing w:after="0" w:line="276" w:lineRule="auto"/>
        <w:rPr>
          <w:rFonts w:ascii="IBM Plex Sans" w:hAnsi="IBM Plex Sans" w:cstheme="majorHAnsi"/>
          <w:color w:val="2F2E2E"/>
        </w:rPr>
      </w:pPr>
      <w:r w:rsidRPr="00D7701A">
        <w:rPr>
          <w:rFonts w:ascii="IBM Plex Sans" w:hAnsi="IBM Plex Sans" w:cstheme="majorHAnsi"/>
          <w:color w:val="2F2E2E"/>
        </w:rPr>
        <w:t>Travel policy</w:t>
      </w:r>
    </w:p>
    <w:p w14:paraId="2F1C43F8" w14:textId="77777777" w:rsidR="0021535B" w:rsidRPr="00D7701A" w:rsidRDefault="0021535B" w:rsidP="0021535B">
      <w:pPr>
        <w:numPr>
          <w:ilvl w:val="1"/>
          <w:numId w:val="16"/>
        </w:numPr>
        <w:spacing w:after="0" w:line="276" w:lineRule="auto"/>
        <w:rPr>
          <w:rFonts w:ascii="IBM Plex Sans" w:hAnsi="IBM Plex Sans" w:cstheme="majorHAnsi"/>
          <w:color w:val="2F2E2E"/>
        </w:rPr>
      </w:pPr>
      <w:r w:rsidRPr="00D7701A">
        <w:rPr>
          <w:rFonts w:ascii="IBM Plex Sans" w:hAnsi="IBM Plex Sans" w:cstheme="majorHAnsi"/>
          <w:color w:val="2F2E2E"/>
        </w:rPr>
        <w:t>Online/offline booking</w:t>
      </w:r>
    </w:p>
    <w:p w14:paraId="6A684B0C" w14:textId="77777777" w:rsidR="0021535B" w:rsidRPr="00D7701A" w:rsidRDefault="0021535B" w:rsidP="0021535B">
      <w:pPr>
        <w:numPr>
          <w:ilvl w:val="1"/>
          <w:numId w:val="16"/>
        </w:numPr>
        <w:spacing w:after="0" w:line="276" w:lineRule="auto"/>
        <w:rPr>
          <w:rFonts w:ascii="IBM Plex Sans" w:hAnsi="IBM Plex Sans" w:cstheme="majorHAnsi"/>
          <w:color w:val="2F2E2E"/>
        </w:rPr>
      </w:pPr>
      <w:r w:rsidRPr="00D7701A">
        <w:rPr>
          <w:rFonts w:ascii="IBM Plex Sans" w:hAnsi="IBM Plex Sans" w:cstheme="majorHAnsi"/>
          <w:color w:val="2F2E2E"/>
        </w:rPr>
        <w:t>Servicing</w:t>
      </w:r>
    </w:p>
    <w:p w14:paraId="3E13EFEA" w14:textId="77777777" w:rsidR="0021535B" w:rsidRPr="00D7701A" w:rsidRDefault="0021535B" w:rsidP="0021535B">
      <w:pPr>
        <w:numPr>
          <w:ilvl w:val="1"/>
          <w:numId w:val="16"/>
        </w:numPr>
        <w:spacing w:after="0" w:line="276" w:lineRule="auto"/>
        <w:rPr>
          <w:rFonts w:ascii="IBM Plex Sans" w:hAnsi="IBM Plex Sans" w:cstheme="majorHAnsi"/>
          <w:color w:val="2F2E2E"/>
        </w:rPr>
      </w:pPr>
      <w:r w:rsidRPr="00D7701A">
        <w:rPr>
          <w:rFonts w:ascii="IBM Plex Sans" w:hAnsi="IBM Plex Sans" w:cstheme="majorHAnsi"/>
          <w:color w:val="2F2E2E"/>
        </w:rPr>
        <w:t>Duty of care</w:t>
      </w:r>
    </w:p>
    <w:p w14:paraId="1DE7B4B5" w14:textId="77777777" w:rsidR="0021535B" w:rsidRPr="00D7701A" w:rsidRDefault="0021535B" w:rsidP="0021535B">
      <w:pPr>
        <w:numPr>
          <w:ilvl w:val="1"/>
          <w:numId w:val="16"/>
        </w:numPr>
        <w:spacing w:after="0" w:line="276" w:lineRule="auto"/>
        <w:rPr>
          <w:rFonts w:ascii="IBM Plex Sans" w:hAnsi="IBM Plex Sans" w:cstheme="majorHAnsi"/>
          <w:color w:val="2F2E2E"/>
        </w:rPr>
      </w:pPr>
      <w:r w:rsidRPr="00D7701A">
        <w:rPr>
          <w:rFonts w:ascii="IBM Plex Sans" w:hAnsi="IBM Plex Sans" w:cstheme="majorHAnsi"/>
          <w:color w:val="2F2E2E"/>
        </w:rPr>
        <w:t>Compliance</w:t>
      </w:r>
    </w:p>
    <w:p w14:paraId="5D0C4F48" w14:textId="77777777" w:rsidR="0021535B" w:rsidRPr="00D7701A" w:rsidRDefault="0021535B" w:rsidP="0021535B">
      <w:pPr>
        <w:numPr>
          <w:ilvl w:val="1"/>
          <w:numId w:val="16"/>
        </w:numPr>
        <w:spacing w:after="0" w:line="276" w:lineRule="auto"/>
        <w:rPr>
          <w:rFonts w:ascii="IBM Plex Sans" w:hAnsi="IBM Plex Sans" w:cstheme="majorHAnsi"/>
          <w:color w:val="2F2E2E"/>
        </w:rPr>
      </w:pPr>
      <w:r w:rsidRPr="00D7701A">
        <w:rPr>
          <w:rFonts w:ascii="IBM Plex Sans" w:hAnsi="IBM Plex Sans" w:cstheme="majorHAnsi"/>
          <w:color w:val="2F2E2E"/>
        </w:rPr>
        <w:t>Payments and credits</w:t>
      </w:r>
    </w:p>
    <w:p w14:paraId="3DDA37C1" w14:textId="77777777" w:rsidR="00C33AE3" w:rsidRPr="00D7701A" w:rsidRDefault="00C33AE3" w:rsidP="00FF7431">
      <w:pPr>
        <w:rPr>
          <w:rFonts w:ascii="IBM Plex Sans" w:hAnsi="IBM Plex Sans" w:cstheme="majorHAnsi"/>
          <w:i/>
          <w:iCs/>
          <w:color w:val="2F2E2E"/>
        </w:rPr>
      </w:pPr>
    </w:p>
    <w:p w14:paraId="460C934E" w14:textId="534FF3E6" w:rsidR="007B2F5B" w:rsidRPr="00D7701A" w:rsidRDefault="007B2F5B" w:rsidP="00FF7431">
      <w:pPr>
        <w:rPr>
          <w:rFonts w:ascii="IBM Plex Sans" w:hAnsi="IBM Plex Sans" w:cstheme="majorHAnsi"/>
          <w:i/>
          <w:iCs/>
          <w:color w:val="2F2E2E"/>
        </w:rPr>
      </w:pPr>
      <w:r w:rsidRPr="00D7701A">
        <w:rPr>
          <w:rFonts w:ascii="IBM Plex Sans" w:hAnsi="IBM Plex Sans" w:cstheme="majorHAnsi"/>
          <w:i/>
          <w:iCs/>
          <w:color w:val="2F2E2E"/>
        </w:rPr>
        <w:t>*In case you’re looking for customer quotes, we’re currently working on this library.</w:t>
      </w:r>
      <w:r w:rsidR="003031F6">
        <w:rPr>
          <w:rFonts w:ascii="IBM Plex Sans" w:hAnsi="IBM Plex Sans" w:cstheme="majorHAnsi"/>
          <w:i/>
          <w:iCs/>
          <w:color w:val="2F2E2E"/>
        </w:rPr>
        <w:t xml:space="preserve"> Speak to Ioana for more </w:t>
      </w:r>
      <w:proofErr w:type="gramStart"/>
      <w:r w:rsidR="003031F6">
        <w:rPr>
          <w:rFonts w:ascii="IBM Plex Sans" w:hAnsi="IBM Plex Sans" w:cstheme="majorHAnsi"/>
          <w:i/>
          <w:iCs/>
          <w:color w:val="2F2E2E"/>
        </w:rPr>
        <w:t>details.</w:t>
      </w:r>
      <w:r w:rsidRPr="00D7701A">
        <w:rPr>
          <w:rFonts w:ascii="IBM Plex Sans" w:hAnsi="IBM Plex Sans" w:cstheme="majorHAnsi"/>
          <w:i/>
          <w:iCs/>
          <w:color w:val="2F2E2E"/>
        </w:rPr>
        <w:t>*</w:t>
      </w:r>
      <w:proofErr w:type="gramEnd"/>
    </w:p>
    <w:p w14:paraId="2FC7499E" w14:textId="77777777" w:rsidR="005062CD" w:rsidRPr="00D7701A" w:rsidRDefault="005062CD" w:rsidP="005062CD">
      <w:pPr>
        <w:pStyle w:val="ListParagraph"/>
        <w:jc w:val="both"/>
        <w:rPr>
          <w:rFonts w:ascii="IBM Plex Sans" w:hAnsi="IBM Plex Sans"/>
        </w:rPr>
      </w:pPr>
    </w:p>
    <w:p w14:paraId="740E4473" w14:textId="509F86E0" w:rsidR="00F77E8E" w:rsidRPr="00D7701A" w:rsidRDefault="00A10D8A" w:rsidP="00F77E8E">
      <w:pPr>
        <w:pStyle w:val="ListParagraph"/>
        <w:numPr>
          <w:ilvl w:val="0"/>
          <w:numId w:val="12"/>
        </w:numPr>
        <w:jc w:val="both"/>
        <w:rPr>
          <w:rFonts w:ascii="IBM Plex Sans" w:hAnsi="IBM Plex Sans"/>
          <w:b/>
          <w:bCs/>
          <w:color w:val="00DE00"/>
        </w:rPr>
      </w:pPr>
      <w:r w:rsidRPr="00D7701A">
        <w:rPr>
          <w:rFonts w:ascii="IBM Plex Sans" w:hAnsi="IBM Plex Sans"/>
          <w:b/>
          <w:bCs/>
          <w:color w:val="00DE00"/>
        </w:rPr>
        <w:t xml:space="preserve">We’re a trusted partner is NDC adoption </w:t>
      </w:r>
    </w:p>
    <w:p w14:paraId="63DC3B53" w14:textId="77777777" w:rsidR="003A6529" w:rsidRDefault="003A6529" w:rsidP="00804CA4">
      <w:pPr>
        <w:pStyle w:val="ListParagraph"/>
        <w:numPr>
          <w:ilvl w:val="0"/>
          <w:numId w:val="14"/>
        </w:numPr>
        <w:jc w:val="both"/>
        <w:rPr>
          <w:rFonts w:ascii="IBM Plex Sans" w:hAnsi="IBM Plex Sans"/>
        </w:rPr>
      </w:pPr>
      <w:r w:rsidRPr="003A6529">
        <w:rPr>
          <w:rFonts w:ascii="IBM Plex Sans" w:hAnsi="IBM Plex Sans"/>
          <w:b/>
          <w:bCs/>
        </w:rPr>
        <w:t xml:space="preserve">Clear guidance in a complex space: </w:t>
      </w:r>
      <w:r w:rsidRPr="003A6529">
        <w:rPr>
          <w:rFonts w:ascii="IBM Plex Sans" w:hAnsi="IBM Plex Sans"/>
        </w:rPr>
        <w:t>We simplify NDC by helping customers understand what’s ready, what’s proven, and what will work best for their programme.</w:t>
      </w:r>
    </w:p>
    <w:p w14:paraId="2CAEACB1" w14:textId="58BA555F" w:rsidR="0036307C" w:rsidRDefault="0036307C" w:rsidP="00804CA4">
      <w:pPr>
        <w:pStyle w:val="ListParagraph"/>
        <w:numPr>
          <w:ilvl w:val="0"/>
          <w:numId w:val="14"/>
        </w:numPr>
        <w:jc w:val="both"/>
        <w:rPr>
          <w:rFonts w:ascii="IBM Plex Sans" w:hAnsi="IBM Plex Sans"/>
        </w:rPr>
      </w:pPr>
      <w:r w:rsidRPr="0036307C">
        <w:rPr>
          <w:rFonts w:ascii="IBM Plex Sans" w:hAnsi="IBM Plex Sans"/>
          <w:b/>
          <w:bCs/>
        </w:rPr>
        <w:lastRenderedPageBreak/>
        <w:t>Customer-first activation:</w:t>
      </w:r>
      <w:r w:rsidRPr="0036307C">
        <w:rPr>
          <w:rFonts w:ascii="IBM Plex Sans" w:hAnsi="IBM Plex Sans"/>
        </w:rPr>
        <w:t xml:space="preserve"> NDC is only switched on when it genuinely benefits your travel programme, ensuring smoother integration and productive outcomes.</w:t>
      </w:r>
    </w:p>
    <w:p w14:paraId="2FB5A1EE" w14:textId="6611F0BD" w:rsidR="001D6D64" w:rsidRPr="003A6529" w:rsidRDefault="001D6D64" w:rsidP="00804CA4">
      <w:pPr>
        <w:pStyle w:val="ListParagraph"/>
        <w:numPr>
          <w:ilvl w:val="0"/>
          <w:numId w:val="14"/>
        </w:numPr>
        <w:jc w:val="both"/>
        <w:rPr>
          <w:rFonts w:ascii="IBM Plex Sans" w:hAnsi="IBM Plex Sans"/>
        </w:rPr>
      </w:pPr>
      <w:r w:rsidRPr="00413718">
        <w:rPr>
          <w:rFonts w:ascii="IBM Plex Sans" w:hAnsi="IBM Plex Sans"/>
          <w:b/>
          <w:bCs/>
          <w:color w:val="2F2E2E"/>
        </w:rPr>
        <w:t xml:space="preserve">Consultative guidance: </w:t>
      </w:r>
      <w:r w:rsidRPr="00413718">
        <w:rPr>
          <w:rFonts w:ascii="IBM Plex Sans" w:hAnsi="IBM Plex Sans"/>
          <w:color w:val="2F2E2E"/>
        </w:rPr>
        <w:t>We work side-by-side with customers to assess where NDC fits, clarify limitations, and make sure activation aligns with their programme goals.</w:t>
      </w:r>
    </w:p>
    <w:p w14:paraId="5B8B6A69" w14:textId="77777777" w:rsidR="00DF6596" w:rsidRPr="00DF6596" w:rsidRDefault="00DF6596" w:rsidP="00D14584">
      <w:pPr>
        <w:pStyle w:val="ListParagraph"/>
        <w:numPr>
          <w:ilvl w:val="0"/>
          <w:numId w:val="14"/>
        </w:numPr>
        <w:jc w:val="both"/>
        <w:rPr>
          <w:rFonts w:ascii="IBM Plex Sans" w:hAnsi="IBM Plex Sans"/>
        </w:rPr>
      </w:pPr>
      <w:r w:rsidRPr="00DF6596">
        <w:rPr>
          <w:rFonts w:ascii="IBM Plex Sans" w:hAnsi="IBM Plex Sans"/>
          <w:b/>
          <w:bCs/>
        </w:rPr>
        <w:t xml:space="preserve">Phased rollouts you can trust: </w:t>
      </w:r>
      <w:r w:rsidRPr="00DF6596">
        <w:rPr>
          <w:rFonts w:ascii="IBM Plex Sans" w:hAnsi="IBM Plex Sans"/>
        </w:rPr>
        <w:t>We pilot and test every new capability before introducing it more widely, so adoption is safe and disruption-free.</w:t>
      </w:r>
    </w:p>
    <w:p w14:paraId="0DB18AE9" w14:textId="1073DEEF" w:rsidR="00E44352" w:rsidRPr="00D7701A" w:rsidRDefault="00E44352" w:rsidP="00D14584">
      <w:pPr>
        <w:pStyle w:val="ListParagraph"/>
        <w:numPr>
          <w:ilvl w:val="0"/>
          <w:numId w:val="14"/>
        </w:numPr>
        <w:jc w:val="both"/>
        <w:rPr>
          <w:rFonts w:ascii="IBM Plex Sans" w:hAnsi="IBM Plex Sans"/>
        </w:rPr>
      </w:pPr>
      <w:r w:rsidRPr="00E44352">
        <w:rPr>
          <w:rFonts w:ascii="IBM Plex Sans" w:hAnsi="IBM Plex Sans"/>
          <w:b/>
          <w:bCs/>
        </w:rPr>
        <w:t>Experience you can rely on:</w:t>
      </w:r>
      <w:r w:rsidRPr="00E44352">
        <w:rPr>
          <w:rFonts w:ascii="IBM Plex Sans" w:hAnsi="IBM Plex Sans"/>
        </w:rPr>
        <w:t xml:space="preserve"> With decades of air distribution expertise and strong industry partnerships, we turn industry complexity into practical solutions for corporates.</w:t>
      </w:r>
    </w:p>
    <w:p w14:paraId="1BCC1C72" w14:textId="3EFFACFF" w:rsidR="00D55A5C" w:rsidRPr="00D7701A" w:rsidRDefault="00C347FD" w:rsidP="00354857">
      <w:pPr>
        <w:pStyle w:val="ListParagraph"/>
        <w:numPr>
          <w:ilvl w:val="0"/>
          <w:numId w:val="14"/>
        </w:numPr>
        <w:jc w:val="both"/>
        <w:rPr>
          <w:rFonts w:ascii="IBM Plex Sans" w:hAnsi="IBM Plex Sans"/>
        </w:rPr>
      </w:pPr>
      <w:r w:rsidRPr="00D7701A">
        <w:rPr>
          <w:rFonts w:ascii="IBM Plex Sans" w:hAnsi="IBM Plex Sans" w:cstheme="majorHAnsi"/>
          <w:b/>
          <w:bCs/>
          <w:color w:val="2F2E2E"/>
        </w:rPr>
        <w:t>Active role in industry working groups:</w:t>
      </w:r>
      <w:r w:rsidRPr="00D7701A">
        <w:rPr>
          <w:rFonts w:ascii="IBM Plex Sans" w:hAnsi="IBM Plex Sans" w:cstheme="majorHAnsi"/>
          <w:color w:val="2F2E2E"/>
        </w:rPr>
        <w:t xml:space="preserve"> Participation in global forums helps influence and shape the future of NDC while prioritising customer needs.</w:t>
      </w:r>
    </w:p>
    <w:p w14:paraId="5746CC3C" w14:textId="77777777" w:rsidR="000A1C03" w:rsidRPr="00D7701A" w:rsidRDefault="000A1C03" w:rsidP="000A1C03">
      <w:pPr>
        <w:rPr>
          <w:rFonts w:ascii="IBM Plex Sans" w:hAnsi="IBM Plex Sans" w:cstheme="majorHAnsi"/>
          <w:b/>
          <w:bCs/>
          <w:color w:val="2F2E2E"/>
        </w:rPr>
      </w:pPr>
      <w:r w:rsidRPr="00D7701A">
        <w:rPr>
          <mc:AlternateContent>
            <mc:Choice Requires="w16se">
              <w:rFonts w:ascii="IBM Plex Sans" w:hAnsi="IBM Plex Sans" w:cs="Calibri"/>
            </mc:Choice>
            <mc:Fallback>
              <w:rFonts w:ascii="Segoe UI Emoji" w:eastAsia="Segoe UI Emoji" w:hAnsi="Segoe UI Emoji" w:cs="Segoe UI Emoji"/>
            </mc:Fallback>
          </mc:AlternateContent>
        </w:rPr>
        <mc:AlternateContent>
          <mc:Choice Requires="w16se">
            <w16se:symEx w16se:font="Segoe UI Emoji" w16se:char="1F449"/>
          </mc:Choice>
          <mc:Fallback>
            <w:t>👉</w:t>
          </mc:Fallback>
        </mc:AlternateContent>
      </w:r>
      <w:r w:rsidRPr="00D7701A">
        <w:rPr>
          <w:rFonts w:ascii="IBM Plex Sans" w:hAnsi="IBM Plex Sans" w:cs="Calibri"/>
        </w:rPr>
        <w:t xml:space="preserve"> </w:t>
      </w:r>
      <w:r w:rsidRPr="00D7701A">
        <w:rPr>
          <w:rFonts w:ascii="IBM Plex Sans" w:hAnsi="IBM Plex Sans" w:cstheme="majorHAnsi"/>
          <w:b/>
          <w:bCs/>
          <w:color w:val="2F2E2E"/>
        </w:rPr>
        <w:t xml:space="preserve">Proof points: </w:t>
      </w:r>
    </w:p>
    <w:p w14:paraId="53E67B8A" w14:textId="42D69DB3" w:rsidR="00A975A9" w:rsidRDefault="00B622B8" w:rsidP="008216F6">
      <w:pPr>
        <w:pStyle w:val="ListParagraph"/>
        <w:numPr>
          <w:ilvl w:val="0"/>
          <w:numId w:val="20"/>
        </w:numPr>
        <w:rPr>
          <w:rFonts w:ascii="IBM Plex Sans" w:hAnsi="IBM Plex Sans" w:cstheme="majorHAnsi"/>
          <w:iCs/>
          <w:color w:val="2F2E2E"/>
        </w:rPr>
      </w:pPr>
      <w:r w:rsidRPr="00D7701A">
        <w:rPr>
          <w:rFonts w:ascii="IBM Plex Sans" w:hAnsi="IBM Plex Sans" w:cstheme="majorHAnsi"/>
          <w:b/>
          <w:bCs/>
          <w:iCs/>
          <w:color w:val="2F2E2E"/>
        </w:rPr>
        <w:t>Industry involvement</w:t>
      </w:r>
      <w:r w:rsidRPr="00D7701A">
        <w:rPr>
          <w:rFonts w:ascii="IBM Plex Sans" w:hAnsi="IBM Plex Sans" w:cstheme="majorHAnsi"/>
          <w:iCs/>
          <w:color w:val="2F2E2E"/>
        </w:rPr>
        <w:t xml:space="preserve">: we are involved in </w:t>
      </w:r>
      <w:proofErr w:type="gramStart"/>
      <w:r w:rsidRPr="00D7701A">
        <w:rPr>
          <w:rFonts w:ascii="IBM Plex Sans" w:hAnsi="IBM Plex Sans" w:cstheme="majorHAnsi"/>
          <w:iCs/>
          <w:color w:val="2F2E2E"/>
        </w:rPr>
        <w:t>a number of</w:t>
      </w:r>
      <w:proofErr w:type="gramEnd"/>
      <w:r w:rsidRPr="00D7701A">
        <w:rPr>
          <w:rFonts w:ascii="IBM Plex Sans" w:hAnsi="IBM Plex Sans" w:cstheme="majorHAnsi"/>
          <w:iCs/>
          <w:color w:val="2F2E2E"/>
        </w:rPr>
        <w:t xml:space="preserve"> industry panels (including Nicola Ping, </w:t>
      </w:r>
      <w:r w:rsidRPr="00D7701A">
        <w:rPr>
          <w:rFonts w:ascii="IBM Plex Sans" w:hAnsi="IBM Plex Sans" w:cstheme="majorHAnsi"/>
          <w:i/>
          <w:iCs/>
          <w:color w:val="2F2E2E"/>
        </w:rPr>
        <w:t>Director Global Air Content &amp; Distribution</w:t>
      </w:r>
      <w:r w:rsidRPr="00D7701A">
        <w:rPr>
          <w:rFonts w:ascii="IBM Plex Sans" w:hAnsi="IBM Plex Sans" w:cstheme="majorHAnsi"/>
          <w:iCs/>
          <w:color w:val="2F2E2E"/>
        </w:rPr>
        <w:t>, chairs the IATA Shop Order Advisory Forum (SOSB AF) &amp; Marcus Eklund, Global FCM Managing Director, is the Chairman of the IATA Global Travel Management Executive Council</w:t>
      </w:r>
    </w:p>
    <w:p w14:paraId="70CC651D" w14:textId="03BCBE73" w:rsidR="00FD3FB3" w:rsidRDefault="00B06DA4" w:rsidP="00FD3FB3">
      <w:pPr>
        <w:pStyle w:val="ListParagraph"/>
        <w:numPr>
          <w:ilvl w:val="0"/>
          <w:numId w:val="20"/>
        </w:numPr>
        <w:spacing w:after="0" w:line="276" w:lineRule="auto"/>
        <w:rPr>
          <w:rFonts w:ascii="IBM Plex Sans" w:hAnsi="IBM Plex Sans" w:cstheme="majorHAnsi"/>
          <w:iCs/>
          <w:color w:val="2F2E2E"/>
        </w:rPr>
      </w:pPr>
      <w:r w:rsidRPr="00B06DA4">
        <w:rPr>
          <w:rFonts w:ascii="IBM Plex Sans" w:hAnsi="IBM Plex Sans" w:cstheme="majorHAnsi"/>
          <w:b/>
          <w:bCs/>
          <w:iCs/>
          <w:color w:val="2F2E2E"/>
        </w:rPr>
        <w:t>Thought leadership</w:t>
      </w:r>
      <w:r>
        <w:rPr>
          <w:rFonts w:ascii="IBM Plex Sans" w:hAnsi="IBM Plex Sans" w:cstheme="majorHAnsi"/>
          <w:iCs/>
          <w:color w:val="2F2E2E"/>
        </w:rPr>
        <w:t xml:space="preserve">: </w:t>
      </w:r>
      <w:r w:rsidR="00FD3FB3" w:rsidRPr="009E459D">
        <w:rPr>
          <w:rFonts w:ascii="IBM Plex Sans" w:hAnsi="IBM Plex Sans" w:cstheme="majorHAnsi"/>
          <w:i/>
          <w:color w:val="2F2E2E"/>
        </w:rPr>
        <w:t>“We are activating NDC content that matches each customer’s travel program objectives to make sure businesses are only fed content that ensures productivity and relevance within their travel ecosystem. NDC won’t be the best fit for everyone, and that’s okay.”</w:t>
      </w:r>
      <w:r w:rsidR="00FD3FB3" w:rsidRPr="004C74B2">
        <w:rPr>
          <w:rFonts w:ascii="IBM Plex Sans" w:hAnsi="IBM Plex Sans" w:cstheme="majorHAnsi"/>
          <w:iCs/>
          <w:color w:val="2F2E2E"/>
        </w:rPr>
        <w:t xml:space="preserve"> – Melissa Elf</w:t>
      </w:r>
    </w:p>
    <w:p w14:paraId="6D33442D" w14:textId="77777777" w:rsidR="008216F6" w:rsidRPr="008216F6" w:rsidRDefault="008216F6" w:rsidP="008216F6">
      <w:pPr>
        <w:rPr>
          <w:rFonts w:ascii="IBM Plex Sans" w:hAnsi="IBM Plex Sans" w:cstheme="majorHAnsi"/>
          <w:iCs/>
          <w:color w:val="2F2E2E"/>
        </w:rPr>
      </w:pPr>
    </w:p>
    <w:p w14:paraId="6A4D596D" w14:textId="52196084" w:rsidR="00D55208" w:rsidRPr="00D7701A" w:rsidRDefault="001613A7" w:rsidP="002C50C6">
      <w:pPr>
        <w:pStyle w:val="ListParagraph"/>
        <w:numPr>
          <w:ilvl w:val="0"/>
          <w:numId w:val="12"/>
        </w:numPr>
        <w:jc w:val="both"/>
        <w:rPr>
          <w:rFonts w:ascii="IBM Plex Sans" w:hAnsi="IBM Plex Sans"/>
        </w:rPr>
      </w:pPr>
      <w:r w:rsidRPr="00D7701A">
        <w:rPr>
          <w:rFonts w:ascii="IBM Plex Sans" w:hAnsi="IBM Plex Sans"/>
          <w:b/>
          <w:bCs/>
          <w:color w:val="00DE00"/>
        </w:rPr>
        <w:t>We believe in innovation through technology</w:t>
      </w:r>
    </w:p>
    <w:p w14:paraId="6A626BF6" w14:textId="3ADA42D5" w:rsidR="00DE43D3" w:rsidRPr="00DE43D3" w:rsidRDefault="00DE43D3" w:rsidP="00DE43D3">
      <w:pPr>
        <w:pStyle w:val="ListParagraph"/>
        <w:numPr>
          <w:ilvl w:val="0"/>
          <w:numId w:val="15"/>
        </w:numPr>
        <w:rPr>
          <w:rFonts w:ascii="IBM Plex Sans" w:hAnsi="IBM Plex Sans" w:cstheme="majorHAnsi"/>
          <w:color w:val="2F2E2E"/>
        </w:rPr>
      </w:pPr>
      <w:r w:rsidRPr="00DE43D3">
        <w:rPr>
          <w:rFonts w:ascii="IBM Plex Sans" w:hAnsi="IBM Plex Sans" w:cstheme="majorHAnsi"/>
          <w:b/>
          <w:bCs/>
          <w:color w:val="2F2E2E"/>
        </w:rPr>
        <w:t>Future-ready solutions:</w:t>
      </w:r>
      <w:r w:rsidRPr="00DE43D3">
        <w:rPr>
          <w:rFonts w:ascii="IBM Plex Sans" w:hAnsi="IBM Plex Sans" w:cstheme="majorHAnsi"/>
          <w:color w:val="2F2E2E"/>
        </w:rPr>
        <w:t xml:space="preserve"> We continuously invest in modern air retailing and technology, ensuring our NDC offering adapts as distribution evolves.</w:t>
      </w:r>
    </w:p>
    <w:p w14:paraId="63E95189" w14:textId="7C4E1BCE" w:rsidR="00DE43D3" w:rsidRPr="00DE43D3" w:rsidRDefault="00DE43D3" w:rsidP="00DE43D3">
      <w:pPr>
        <w:pStyle w:val="ListParagraph"/>
        <w:numPr>
          <w:ilvl w:val="0"/>
          <w:numId w:val="15"/>
        </w:numPr>
        <w:rPr>
          <w:rFonts w:ascii="IBM Plex Sans" w:hAnsi="IBM Plex Sans" w:cstheme="majorHAnsi"/>
          <w:color w:val="2F2E2E"/>
        </w:rPr>
      </w:pPr>
      <w:r w:rsidRPr="00DE43D3">
        <w:rPr>
          <w:rFonts w:ascii="IBM Plex Sans" w:hAnsi="IBM Plex Sans" w:cstheme="majorHAnsi"/>
          <w:b/>
          <w:bCs/>
          <w:color w:val="2F2E2E"/>
        </w:rPr>
        <w:t>Innovation with confidence:</w:t>
      </w:r>
      <w:r w:rsidRPr="00DE43D3">
        <w:rPr>
          <w:rFonts w:ascii="IBM Plex Sans" w:hAnsi="IBM Plex Sans" w:cstheme="majorHAnsi"/>
          <w:color w:val="2F2E2E"/>
        </w:rPr>
        <w:t xml:space="preserve"> Every new capability is introduced carefully and tested against corporate travel servicing standards, so businesses can adopt NDC without disruption.</w:t>
      </w:r>
    </w:p>
    <w:p w14:paraId="66D8CC9D" w14:textId="08E9D67B" w:rsidR="00DE43D3" w:rsidRDefault="00DE43D3" w:rsidP="00DE43D3">
      <w:pPr>
        <w:pStyle w:val="ListParagraph"/>
        <w:numPr>
          <w:ilvl w:val="0"/>
          <w:numId w:val="15"/>
        </w:numPr>
        <w:rPr>
          <w:rFonts w:ascii="IBM Plex Sans" w:hAnsi="IBM Plex Sans" w:cstheme="majorHAnsi"/>
          <w:color w:val="2F2E2E"/>
        </w:rPr>
      </w:pPr>
      <w:r w:rsidRPr="00DE43D3">
        <w:rPr>
          <w:rFonts w:ascii="IBM Plex Sans" w:hAnsi="IBM Plex Sans" w:cstheme="majorHAnsi"/>
          <w:b/>
          <w:bCs/>
          <w:color w:val="2F2E2E"/>
        </w:rPr>
        <w:t>Partnerships that drive progress:</w:t>
      </w:r>
      <w:r w:rsidRPr="00DE43D3">
        <w:rPr>
          <w:rFonts w:ascii="IBM Plex Sans" w:hAnsi="IBM Plex Sans" w:cstheme="majorHAnsi"/>
          <w:color w:val="2F2E2E"/>
        </w:rPr>
        <w:t xml:space="preserve"> By working closely with leading airlines, OBTs, GDSs, and aggregators, we bring customers solutions that are practical today and built for tomorrow.</w:t>
      </w:r>
    </w:p>
    <w:p w14:paraId="795E0A46" w14:textId="77777777" w:rsidR="00107BB3" w:rsidRPr="00107BB3" w:rsidRDefault="00107BB3" w:rsidP="00107BB3">
      <w:pPr>
        <w:rPr>
          <w:rFonts w:ascii="IBM Plex Sans" w:hAnsi="IBM Plex Sans" w:cstheme="majorHAnsi"/>
          <w:b/>
          <w:bCs/>
          <w:color w:val="2F2E2E"/>
        </w:rPr>
      </w:pPr>
      <w:r w:rsidRPr="00D7701A">
        <w:rPr>
          <mc:AlternateContent>
            <mc:Choice Requires="w16se">
              <w:rFonts w:cs="Calibri"/>
            </mc:Choice>
            <mc:Fallback>
              <w:rFonts w:ascii="Segoe UI Emoji" w:eastAsia="Segoe UI Emoji" w:hAnsi="Segoe UI Emoji" w:cs="Segoe UI Emoji"/>
            </mc:Fallback>
          </mc:AlternateContent>
        </w:rPr>
        <mc:AlternateContent>
          <mc:Choice Requires="w16se">
            <w16se:symEx w16se:font="Segoe UI Emoji" w16se:char="1F449"/>
          </mc:Choice>
          <mc:Fallback>
            <w:t>👉</w:t>
          </mc:Fallback>
        </mc:AlternateContent>
      </w:r>
      <w:r w:rsidRPr="00107BB3">
        <w:rPr>
          <w:rFonts w:ascii="IBM Plex Sans" w:hAnsi="IBM Plex Sans" w:cs="Calibri"/>
        </w:rPr>
        <w:t xml:space="preserve"> </w:t>
      </w:r>
      <w:r w:rsidRPr="00107BB3">
        <w:rPr>
          <w:rFonts w:ascii="IBM Plex Sans" w:hAnsi="IBM Plex Sans" w:cstheme="majorHAnsi"/>
          <w:b/>
          <w:bCs/>
          <w:color w:val="2F2E2E"/>
        </w:rPr>
        <w:t xml:space="preserve">Proof points: </w:t>
      </w:r>
    </w:p>
    <w:p w14:paraId="1446C0C5" w14:textId="77777777" w:rsidR="00107BB3" w:rsidRDefault="00107BB3" w:rsidP="00107BB3">
      <w:pPr>
        <w:pStyle w:val="ListParagraph"/>
        <w:rPr>
          <w:rFonts w:ascii="IBM Plex Sans" w:hAnsi="IBM Plex Sans" w:cstheme="majorHAnsi"/>
          <w:color w:val="2F2E2E"/>
        </w:rPr>
      </w:pPr>
    </w:p>
    <w:p w14:paraId="5A5046F7" w14:textId="77777777" w:rsidR="00764DE3" w:rsidRDefault="00764DE3" w:rsidP="00764DE3">
      <w:pPr>
        <w:ind w:left="360"/>
        <w:rPr>
          <w:rFonts w:ascii="IBM Plex Sans" w:hAnsi="IBM Plex Sans" w:cstheme="majorHAnsi"/>
          <w:color w:val="2F2E2E"/>
        </w:rPr>
      </w:pPr>
    </w:p>
    <w:p w14:paraId="19EB3031" w14:textId="536B7BA5" w:rsidR="00107BB3" w:rsidRPr="00906BAB" w:rsidRDefault="00107BB3" w:rsidP="00906BAB">
      <w:pPr>
        <w:pStyle w:val="ListParagraph"/>
        <w:numPr>
          <w:ilvl w:val="0"/>
          <w:numId w:val="34"/>
        </w:numPr>
        <w:spacing w:after="0" w:line="276" w:lineRule="auto"/>
        <w:rPr>
          <w:rFonts w:ascii="IBM Plex Sans" w:hAnsi="IBM Plex Sans" w:cstheme="majorHAnsi"/>
          <w:iCs/>
          <w:color w:val="2F2E2E"/>
        </w:rPr>
      </w:pPr>
      <w:r w:rsidRPr="00107BB3">
        <w:rPr>
          <w:rFonts w:ascii="IBM Plex Sans" w:hAnsi="IBM Plex Sans" w:cstheme="majorHAnsi"/>
          <w:b/>
          <w:bCs/>
          <w:color w:val="2F2E2E"/>
        </w:rPr>
        <w:t>Thought leadership:</w:t>
      </w:r>
      <w:r w:rsidRPr="00107BB3">
        <w:rPr>
          <w:rFonts w:ascii="IBM Plex Sans" w:hAnsi="IBM Plex Sans" w:cstheme="majorHAnsi"/>
          <w:i/>
          <w:iCs/>
          <w:color w:val="2F2E2E"/>
        </w:rPr>
        <w:t xml:space="preserve"> “FCM Travel took an industry-leading position through which we have educated the airline industry on the entire travel ecosystem. This has involved us engaging and presenting to airline sales and technology teams, to ensure their NDC offering was going to be fit-for-purpose for the entire travel industry.”</w:t>
      </w:r>
      <w:r w:rsidRPr="00107BB3">
        <w:rPr>
          <w:rFonts w:ascii="IBM Plex Sans" w:hAnsi="IBM Plex Sans" w:cstheme="majorHAnsi"/>
          <w:iCs/>
          <w:color w:val="2F2E2E"/>
        </w:rPr>
        <w:t xml:space="preserve"> – Melissa Elf, Global COO</w:t>
      </w:r>
    </w:p>
    <w:p w14:paraId="5B678625" w14:textId="77777777" w:rsidR="00654CA8" w:rsidRPr="00D7701A" w:rsidRDefault="00654CA8" w:rsidP="00654CA8">
      <w:pPr>
        <w:pStyle w:val="ListParagraph"/>
        <w:jc w:val="both"/>
        <w:rPr>
          <w:rFonts w:ascii="IBM Plex Sans" w:hAnsi="IBM Plex Sans"/>
        </w:rPr>
      </w:pPr>
    </w:p>
    <w:p w14:paraId="183DC9C2" w14:textId="59059CDF" w:rsidR="00080058" w:rsidRPr="00D7701A" w:rsidRDefault="00654CA8" w:rsidP="001570D1">
      <w:pPr>
        <w:pStyle w:val="ListParagraph"/>
        <w:numPr>
          <w:ilvl w:val="0"/>
          <w:numId w:val="12"/>
        </w:numPr>
        <w:jc w:val="both"/>
        <w:rPr>
          <w:rFonts w:ascii="IBM Plex Sans" w:hAnsi="IBM Plex Sans"/>
          <w:b/>
          <w:bCs/>
          <w:color w:val="00DE00"/>
        </w:rPr>
      </w:pPr>
      <w:r w:rsidRPr="00D7701A">
        <w:rPr>
          <w:rFonts w:ascii="IBM Plex Sans" w:hAnsi="IBM Plex Sans"/>
          <w:b/>
          <w:bCs/>
          <w:color w:val="00DE00"/>
        </w:rPr>
        <w:t>Modern Air Retailing: Driving the future of corporate travel</w:t>
      </w:r>
    </w:p>
    <w:p w14:paraId="092A4A87" w14:textId="67893337" w:rsidR="00A975A9" w:rsidRPr="00D7701A" w:rsidRDefault="00A975A9" w:rsidP="00A975A9">
      <w:pPr>
        <w:pStyle w:val="ListParagraph"/>
        <w:numPr>
          <w:ilvl w:val="0"/>
          <w:numId w:val="18"/>
        </w:numPr>
        <w:jc w:val="both"/>
        <w:rPr>
          <w:rFonts w:ascii="IBM Plex Sans" w:hAnsi="IBM Plex Sans"/>
          <w:b/>
          <w:bCs/>
        </w:rPr>
      </w:pPr>
      <w:r w:rsidRPr="00D7701A">
        <w:rPr>
          <w:rFonts w:ascii="IBM Plex Sans" w:hAnsi="IBM Plex Sans"/>
          <w:b/>
          <w:bCs/>
        </w:rPr>
        <w:t>Committed to innovation</w:t>
      </w:r>
      <w:r w:rsidR="003017E4">
        <w:rPr>
          <w:rFonts w:ascii="IBM Plex Sans" w:hAnsi="IBM Plex Sans"/>
          <w:b/>
          <w:bCs/>
        </w:rPr>
        <w:t xml:space="preserve">: </w:t>
      </w:r>
      <w:r w:rsidRPr="00D7701A">
        <w:rPr>
          <w:rFonts w:ascii="IBM Plex Sans" w:hAnsi="IBM Plex Sans"/>
        </w:rPr>
        <w:t>we embrace modern air retailing, ensuring businesses stay ahead with a future-ready travel programme.</w:t>
      </w:r>
    </w:p>
    <w:p w14:paraId="73AA8D09" w14:textId="7A1E519D" w:rsidR="00EA512C" w:rsidRDefault="00EA512C" w:rsidP="00A975A9">
      <w:pPr>
        <w:pStyle w:val="ListParagraph"/>
        <w:numPr>
          <w:ilvl w:val="0"/>
          <w:numId w:val="18"/>
        </w:numPr>
        <w:jc w:val="both"/>
        <w:rPr>
          <w:rFonts w:ascii="IBM Plex Sans" w:hAnsi="IBM Plex Sans"/>
        </w:rPr>
      </w:pPr>
      <w:r w:rsidRPr="00EA512C">
        <w:rPr>
          <w:rFonts w:ascii="IBM Plex Sans" w:hAnsi="IBM Plex Sans"/>
          <w:b/>
          <w:bCs/>
        </w:rPr>
        <w:t xml:space="preserve">Aligned, not disrupted: </w:t>
      </w:r>
      <w:r w:rsidRPr="00EA512C">
        <w:rPr>
          <w:rFonts w:ascii="IBM Plex Sans" w:hAnsi="IBM Plex Sans"/>
        </w:rPr>
        <w:t>We help businesses adopt airline distribution changes while keeping control of their policies, budgets, and traveller needs.</w:t>
      </w:r>
    </w:p>
    <w:p w14:paraId="2B56985D" w14:textId="66310B35" w:rsidR="00050ADC" w:rsidRPr="00EA512C" w:rsidRDefault="00050ADC" w:rsidP="00A975A9">
      <w:pPr>
        <w:pStyle w:val="ListParagraph"/>
        <w:numPr>
          <w:ilvl w:val="0"/>
          <w:numId w:val="18"/>
        </w:numPr>
        <w:jc w:val="both"/>
        <w:rPr>
          <w:rFonts w:ascii="IBM Plex Sans" w:hAnsi="IBM Plex Sans"/>
        </w:rPr>
      </w:pPr>
      <w:r w:rsidRPr="00050ADC">
        <w:rPr>
          <w:rFonts w:ascii="IBM Plex Sans" w:hAnsi="IBM Plex Sans"/>
          <w:b/>
          <w:bCs/>
        </w:rPr>
        <w:t>Continuous investment:</w:t>
      </w:r>
      <w:r w:rsidRPr="00050ADC">
        <w:rPr>
          <w:rFonts w:ascii="IBM Plex Sans" w:hAnsi="IBM Plex Sans"/>
        </w:rPr>
        <w:t xml:space="preserve"> We invest in modern air retailing and technology to ensure travel programmes are ready for what’s next, not just what’s live today.</w:t>
      </w:r>
    </w:p>
    <w:p w14:paraId="29534607" w14:textId="49F8B079" w:rsidR="007F4844" w:rsidRPr="007F4844" w:rsidRDefault="007F4844" w:rsidP="007F4844">
      <w:pPr>
        <w:jc w:val="both"/>
        <w:rPr>
          <w:rFonts w:ascii="IBM Plex Sans" w:hAnsi="IBM Plex Sans"/>
          <w:b/>
          <w:bCs/>
        </w:rPr>
      </w:pPr>
      <w:r w:rsidRPr="003031F6">
        <w:rPr>
          <mc:AlternateContent>
            <mc:Choice Requires="w16se">
              <w:rFonts w:ascii="IBM Plex Sans" w:hAnsi="IBM Plex Sans" w:cs="Calibri"/>
            </mc:Choice>
            <mc:Fallback>
              <w:rFonts w:ascii="Segoe UI Emoji" w:eastAsia="Segoe UI Emoji" w:hAnsi="Segoe UI Emoji" w:cs="Segoe UI Emoji"/>
            </mc:Fallback>
          </mc:AlternateContent>
          <w:b/>
          <w:bCs/>
        </w:rPr>
        <mc:AlternateContent>
          <mc:Choice Requires="w16se">
            <w16se:symEx w16se:font="Segoe UI Emoji" w16se:char="1F449"/>
          </mc:Choice>
          <mc:Fallback>
            <w:t>👉</w:t>
          </mc:Fallback>
        </mc:AlternateContent>
      </w:r>
      <w:r w:rsidRPr="003031F6">
        <w:rPr>
          <w:rFonts w:ascii="IBM Plex Sans" w:hAnsi="IBM Plex Sans" w:cs="Calibri"/>
          <w:b/>
          <w:bCs/>
        </w:rPr>
        <w:t xml:space="preserve"> </w:t>
      </w:r>
      <w:r w:rsidR="003031F6" w:rsidRPr="003031F6">
        <w:rPr>
          <w:rFonts w:ascii="IBM Plex Sans" w:hAnsi="IBM Plex Sans" w:cs="Calibri"/>
          <w:b/>
          <w:bCs/>
        </w:rPr>
        <w:t>Ioana’s tips:</w:t>
      </w:r>
      <w:r w:rsidR="003031F6">
        <w:rPr>
          <w:rFonts w:ascii="IBM Plex Sans" w:hAnsi="IBM Plex Sans" w:cs="Calibri"/>
        </w:rPr>
        <w:t xml:space="preserve"> if you want to go through the </w:t>
      </w:r>
      <w:r>
        <w:rPr>
          <w:rFonts w:ascii="IBM Plex Sans" w:hAnsi="IBM Plex Sans" w:cs="Calibri"/>
        </w:rPr>
        <w:t>full messaging framework</w:t>
      </w:r>
      <w:r w:rsidR="003031F6">
        <w:rPr>
          <w:rFonts w:ascii="IBM Plex Sans" w:hAnsi="IBM Plex Sans" w:cs="Calibri"/>
        </w:rPr>
        <w:t>, this can</w:t>
      </w:r>
      <w:r>
        <w:rPr>
          <w:rFonts w:ascii="IBM Plex Sans" w:hAnsi="IBM Plex Sans" w:cs="Calibri"/>
        </w:rPr>
        <w:t xml:space="preserve"> be found </w:t>
      </w:r>
      <w:hyperlink r:id="rId15" w:history="1">
        <w:r w:rsidRPr="00E35F5A">
          <w:rPr>
            <w:rStyle w:val="Hyperlink"/>
            <w:rFonts w:ascii="IBM Plex Sans" w:hAnsi="IBM Plex Sans" w:cs="Calibri"/>
          </w:rPr>
          <w:t>here</w:t>
        </w:r>
      </w:hyperlink>
      <w:r w:rsidR="00E35F5A">
        <w:rPr>
          <w:rFonts w:ascii="IBM Plex Sans" w:hAnsi="IBM Plex Sans" w:cs="Calibri"/>
        </w:rPr>
        <w:t xml:space="preserve">. </w:t>
      </w:r>
      <w:r>
        <w:rPr>
          <w:rFonts w:ascii="IBM Plex Sans" w:hAnsi="IBM Plex Sans" w:cs="Calibri"/>
        </w:rPr>
        <w:t xml:space="preserve"> </w:t>
      </w:r>
    </w:p>
    <w:sectPr w:rsidR="007F4844" w:rsidRPr="007F4844">
      <w:headerReference w:type="default" r:id="rId16"/>
      <w:footerReference w:type="default" r:id="rId17"/>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7" w:author="Ioana Gaicea" w:date="2025-01-29T13:04:00Z" w:initials="IG">
    <w:p w14:paraId="7D93E8BD" w14:textId="77777777" w:rsidR="00B01A91" w:rsidRDefault="00B01A91" w:rsidP="00B01A91">
      <w:pPr>
        <w:pStyle w:val="CommentText"/>
      </w:pPr>
      <w:r>
        <w:rPr>
          <w:rStyle w:val="CommentReference"/>
        </w:rPr>
        <w:annotationRef/>
      </w:r>
      <w:r>
        <w:t>As per Nikki’s &amp; Scott’s notes, this is the latest updated version</w:t>
      </w:r>
    </w:p>
  </w:comment>
  <w:comment w:id="8" w:author="Ioana Gaicea" w:date="2025-01-29T13:05:00Z" w:initials="IG">
    <w:p w14:paraId="2E54A8A7" w14:textId="77777777" w:rsidR="00B01A91" w:rsidRDefault="00B01A91" w:rsidP="00B01A91">
      <w:pPr>
        <w:pStyle w:val="CommentText"/>
      </w:pPr>
      <w:r>
        <w:rPr>
          <w:rStyle w:val="CommentReference"/>
        </w:rPr>
        <w:annotationRef/>
      </w:r>
      <w:r>
        <w:t>What’s changed? I’ve replaced 9 out of 10 global NDC carriers with ‘’</w:t>
      </w:r>
      <w:r>
        <w:rPr>
          <w:b/>
          <w:bCs/>
        </w:rPr>
        <w:t xml:space="preserve">the majority of leading global NDC carriers’’ </w:t>
      </w:r>
      <w:r>
        <w:t>to ensure we’re consistent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D93E8BD" w15:done="1"/>
  <w15:commentEx w15:paraId="2E54A8A7" w15:paraIdParent="7D93E8BD"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176D5C57" w16cex:dateUtc="2025-01-29T13:04:00Z"/>
  <w16cex:commentExtensible w16cex:durableId="1B82EE1F" w16cex:dateUtc="2025-01-29T13:0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D93E8BD" w16cid:durableId="176D5C57"/>
  <w16cid:commentId w16cid:paraId="2E54A8A7" w16cid:durableId="1B82EE1F"/>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7AD032" w14:textId="77777777" w:rsidR="008854D7" w:rsidRDefault="008854D7" w:rsidP="00B71FD3">
      <w:pPr>
        <w:spacing w:after="0" w:line="240" w:lineRule="auto"/>
      </w:pPr>
      <w:r>
        <w:separator/>
      </w:r>
    </w:p>
  </w:endnote>
  <w:endnote w:type="continuationSeparator" w:id="0">
    <w:p w14:paraId="41288673" w14:textId="77777777" w:rsidR="008854D7" w:rsidRDefault="008854D7" w:rsidP="00B71F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IBM Plex Sans">
    <w:charset w:val="00"/>
    <w:family w:val="swiss"/>
    <w:pitch w:val="variable"/>
    <w:sig w:usb0="A00002EF" w:usb1="5000207B" w:usb2="00000000" w:usb3="00000000" w:csb0="0000019F" w:csb1="00000000"/>
  </w:font>
  <w:font w:name="Segoe UI Emoji">
    <w:panose1 w:val="020B0502040204020203"/>
    <w:charset w:val="00"/>
    <w:family w:val="swiss"/>
    <w:pitch w:val="variable"/>
    <w:sig w:usb0="00000003" w:usb1="02000000" w:usb2="08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79563094"/>
      <w:docPartObj>
        <w:docPartGallery w:val="Page Numbers (Bottom of Page)"/>
        <w:docPartUnique/>
      </w:docPartObj>
    </w:sdtPr>
    <w:sdtEndPr>
      <w:rPr>
        <w:noProof/>
      </w:rPr>
    </w:sdtEndPr>
    <w:sdtContent>
      <w:p w14:paraId="0D7EADA3" w14:textId="41CA8463" w:rsidR="00161414" w:rsidRDefault="0016141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1AC7D91" w14:textId="27A4D521" w:rsidR="00161414" w:rsidRDefault="00161414">
    <w:pPr>
      <w:pStyle w:val="Footer"/>
      <w:rPr>
        <w:rFonts w:ascii="IBM Plex Sans" w:hAnsi="IBM Plex Sans"/>
        <w:b/>
        <w:bCs/>
        <w:i/>
        <w:iCs/>
        <w:lang w:val="en-US"/>
      </w:rPr>
    </w:pPr>
    <w:r w:rsidRPr="00161414">
      <w:rPr>
        <w:rFonts w:ascii="IBM Plex Sans" w:hAnsi="IBM Plex Sans"/>
        <w:b/>
        <w:bCs/>
        <w:i/>
        <w:iCs/>
        <w:lang w:val="en-US"/>
      </w:rPr>
      <w:t xml:space="preserve">Last updated: </w:t>
    </w:r>
    <w:r w:rsidR="00727825">
      <w:rPr>
        <w:rFonts w:ascii="IBM Plex Sans" w:hAnsi="IBM Plex Sans"/>
        <w:b/>
        <w:bCs/>
        <w:i/>
        <w:iCs/>
        <w:lang w:val="en-US"/>
      </w:rPr>
      <w:t>August</w:t>
    </w:r>
    <w:r w:rsidRPr="00161414">
      <w:rPr>
        <w:rFonts w:ascii="IBM Plex Sans" w:hAnsi="IBM Plex Sans"/>
        <w:b/>
        <w:bCs/>
        <w:i/>
        <w:iCs/>
        <w:lang w:val="en-US"/>
      </w:rPr>
      <w:t xml:space="preserve"> 2025</w:t>
    </w:r>
  </w:p>
  <w:p w14:paraId="051849C1" w14:textId="4B64444F" w:rsidR="00400D9E" w:rsidRPr="00400D9E" w:rsidRDefault="00400D9E">
    <w:pPr>
      <w:pStyle w:val="Footer"/>
      <w:rPr>
        <w:rFonts w:ascii="IBM Plex Sans" w:hAnsi="IBM Plex Sans"/>
        <w:b/>
        <w:bCs/>
        <w:i/>
        <w:iCs/>
        <w:color w:val="92D050"/>
        <w:sz w:val="22"/>
        <w:szCs w:val="22"/>
        <w:lang w:val="en-US"/>
      </w:rPr>
    </w:pPr>
    <w:r w:rsidRPr="00400D9E">
      <w:rPr>
        <w:rFonts w:ascii="IBM Plex Sans" w:hAnsi="IBM Plex Sans"/>
        <w:b/>
        <w:bCs/>
        <w:i/>
        <w:iCs/>
        <w:color w:val="92D050"/>
        <w:sz w:val="22"/>
        <w:szCs w:val="22"/>
        <w:lang w:val="en-US"/>
      </w:rPr>
      <w:t>Prepared by: Ioana Gaicea, Global Supply PMM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9C3E8D" w14:textId="77777777" w:rsidR="008854D7" w:rsidRDefault="008854D7" w:rsidP="00B71FD3">
      <w:pPr>
        <w:spacing w:after="0" w:line="240" w:lineRule="auto"/>
      </w:pPr>
      <w:r>
        <w:separator/>
      </w:r>
    </w:p>
  </w:footnote>
  <w:footnote w:type="continuationSeparator" w:id="0">
    <w:p w14:paraId="6DC0F22C" w14:textId="77777777" w:rsidR="008854D7" w:rsidRDefault="008854D7" w:rsidP="00B71FD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71F204" w14:textId="5BEBE9C6" w:rsidR="00B71FD3" w:rsidRDefault="00161414">
    <w:pPr>
      <w:pStyle w:val="Header"/>
    </w:pPr>
    <w:r w:rsidRPr="0027111E">
      <w:rPr>
        <w:rFonts w:ascii="IBM Plex Sans" w:hAnsi="IBM Plex Sans"/>
        <w:noProof/>
      </w:rPr>
      <mc:AlternateContent>
        <mc:Choice Requires="wps">
          <w:drawing>
            <wp:anchor distT="45720" distB="45720" distL="114300" distR="114300" simplePos="0" relativeHeight="251661312" behindDoc="0" locked="0" layoutInCell="1" allowOverlap="1" wp14:anchorId="3632B63B" wp14:editId="1C926064">
              <wp:simplePos x="0" y="0"/>
              <wp:positionH relativeFrom="column">
                <wp:posOffset>4325234</wp:posOffset>
              </wp:positionH>
              <wp:positionV relativeFrom="paragraph">
                <wp:posOffset>-59994</wp:posOffset>
              </wp:positionV>
              <wp:extent cx="2875280" cy="269875"/>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75280" cy="269875"/>
                      </a:xfrm>
                      <a:prstGeom prst="rect">
                        <a:avLst/>
                      </a:prstGeom>
                      <a:noFill/>
                      <a:ln w="9525">
                        <a:noFill/>
                        <a:miter lim="800000"/>
                        <a:headEnd/>
                        <a:tailEnd/>
                      </a:ln>
                    </wps:spPr>
                    <wps:txbx>
                      <w:txbxContent>
                        <w:p w14:paraId="1CC6E10D" w14:textId="3B0F37F2" w:rsidR="0027111E" w:rsidRPr="00161414" w:rsidRDefault="0027111E">
                          <w:pPr>
                            <w:rPr>
                              <w:b/>
                              <w:bCs/>
                              <w:i/>
                              <w:iCs/>
                              <w:color w:val="FF0000"/>
                              <w:sz w:val="20"/>
                              <w:szCs w:val="20"/>
                            </w:rPr>
                          </w:pPr>
                          <w:r w:rsidRPr="00161414">
                            <w:rPr>
                              <w:rFonts w:ascii="IBM Plex Sans" w:hAnsi="IBM Plex Sans"/>
                              <w:b/>
                              <w:bCs/>
                              <w:i/>
                              <w:iCs/>
                              <w:color w:val="FF0000"/>
                              <w:sz w:val="20"/>
                              <w:szCs w:val="20"/>
                            </w:rPr>
                            <w:t>DO NOT DISTRIBUTE EXTERNALLY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632B63B" id="_x0000_t202" coordsize="21600,21600" o:spt="202" path="m,l,21600r21600,l21600,xe">
              <v:stroke joinstyle="miter"/>
              <v:path gradientshapeok="t" o:connecttype="rect"/>
            </v:shapetype>
            <v:shape id="Text Box 2" o:spid="_x0000_s1026" type="#_x0000_t202" style="position:absolute;margin-left:340.55pt;margin-top:-4.7pt;width:226.4pt;height:21.2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" filled="f" stroked="f">
              <v:textbox>
                <w:txbxContent>
                  <w:p w14:paraId="1CC6E10D" w14:textId="3B0F37F2" w:rsidR="0027111E" w:rsidRPr="00161414" w:rsidRDefault="0027111E">
                    <w:pPr>
                      <w:rPr>
                        <w:b/>
                        <w:bCs/>
                        <w:i/>
                        <w:iCs/>
                        <w:color w:val="FF0000"/>
                        <w:sz w:val="20"/>
                        <w:szCs w:val="20"/>
                      </w:rPr>
                    </w:pPr>
                    <w:r w:rsidRPr="00161414">
                      <w:rPr>
                        <w:rFonts w:ascii="IBM Plex Sans" w:hAnsi="IBM Plex Sans"/>
                        <w:b/>
                        <w:bCs/>
                        <w:i/>
                        <w:iCs/>
                        <w:color w:val="FF0000"/>
                        <w:sz w:val="20"/>
                        <w:szCs w:val="20"/>
                      </w:rPr>
                      <w:t>DO NOT DISTRIBUTE EXTERNALLY</w:t>
                    </w:r>
                  </w:p>
                </w:txbxContent>
              </v:textbox>
              <w10:wrap type="square"/>
            </v:shape>
          </w:pict>
        </mc:Fallback>
      </mc:AlternateContent>
    </w:r>
    <w:r w:rsidR="00DF57FC">
      <w:rPr>
        <w:noProof/>
      </w:rPr>
      <w:drawing>
        <wp:anchor distT="0" distB="0" distL="114300" distR="114300" simplePos="0" relativeHeight="251659264" behindDoc="0" locked="0" layoutInCell="1" allowOverlap="1" wp14:anchorId="1B923556" wp14:editId="6F73BA6C">
          <wp:simplePos x="0" y="0"/>
          <wp:positionH relativeFrom="margin">
            <wp:posOffset>-453721</wp:posOffset>
          </wp:positionH>
          <wp:positionV relativeFrom="paragraph">
            <wp:posOffset>-124184</wp:posOffset>
          </wp:positionV>
          <wp:extent cx="1057275" cy="410210"/>
          <wp:effectExtent l="0" t="0" r="9525" b="8890"/>
          <wp:wrapTopAndBottom/>
          <wp:docPr id="379337624" name="Picture 2" descr="A black and green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9337624" name="Picture 2" descr="A black and green logo&#10;&#10;Description automatically generated"/>
                  <pic:cNvPicPr/>
                </pic:nvPicPr>
                <pic:blipFill rotWithShape="1">
                  <a:blip r:embed="rId1">
                    <a:extLst>
                      <a:ext uri="{28A0092B-C50C-407E-A947-70E740481C1C}">
                        <a14:useLocalDpi xmlns:a14="http://schemas.microsoft.com/office/drawing/2010/main" val="0"/>
                      </a:ext>
                    </a:extLst>
                  </a:blip>
                  <a:srcRect l="11487" t="20138" r="9640" b="20910"/>
                  <a:stretch/>
                </pic:blipFill>
                <pic:spPr bwMode="auto">
                  <a:xfrm>
                    <a:off x="0" y="0"/>
                    <a:ext cx="1057275" cy="41021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7111E">
      <w:rPr>
        <w:rFonts w:ascii="IBM Plex Sans" w:hAnsi="IBM Plex Sans"/>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52212"/>
    <w:multiLevelType w:val="multilevel"/>
    <w:tmpl w:val="7116D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9A34F5"/>
    <w:multiLevelType w:val="hybridMultilevel"/>
    <w:tmpl w:val="A81021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D223AB"/>
    <w:multiLevelType w:val="hybridMultilevel"/>
    <w:tmpl w:val="20E67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FA42C48"/>
    <w:multiLevelType w:val="hybridMultilevel"/>
    <w:tmpl w:val="F98C0C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26A32AF"/>
    <w:multiLevelType w:val="hybridMultilevel"/>
    <w:tmpl w:val="318054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3EF74D7"/>
    <w:multiLevelType w:val="hybridMultilevel"/>
    <w:tmpl w:val="74C04AC2"/>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5076390"/>
    <w:multiLevelType w:val="hybridMultilevel"/>
    <w:tmpl w:val="B75616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61E3F15"/>
    <w:multiLevelType w:val="hybridMultilevel"/>
    <w:tmpl w:val="498E2B94"/>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6347123"/>
    <w:multiLevelType w:val="hybridMultilevel"/>
    <w:tmpl w:val="198A0B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6BB47A1"/>
    <w:multiLevelType w:val="hybridMultilevel"/>
    <w:tmpl w:val="E59410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2281A99"/>
    <w:multiLevelType w:val="hybridMultilevel"/>
    <w:tmpl w:val="40A8E08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5795D76"/>
    <w:multiLevelType w:val="hybridMultilevel"/>
    <w:tmpl w:val="9F10C7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63C002F"/>
    <w:multiLevelType w:val="hybridMultilevel"/>
    <w:tmpl w:val="7A86D7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83F2201"/>
    <w:multiLevelType w:val="hybridMultilevel"/>
    <w:tmpl w:val="931291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C625686"/>
    <w:multiLevelType w:val="hybridMultilevel"/>
    <w:tmpl w:val="271495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EBA3FFE"/>
    <w:multiLevelType w:val="hybridMultilevel"/>
    <w:tmpl w:val="B532E9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0321ED3"/>
    <w:multiLevelType w:val="hybridMultilevel"/>
    <w:tmpl w:val="641602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C4C7320"/>
    <w:multiLevelType w:val="hybridMultilevel"/>
    <w:tmpl w:val="24600170"/>
    <w:lvl w:ilvl="0" w:tplc="9C70218E">
      <w:start w:val="1"/>
      <w:numFmt w:val="decimal"/>
      <w:lvlText w:val="%1."/>
      <w:lvlJc w:val="left"/>
      <w:pPr>
        <w:ind w:left="720" w:hanging="360"/>
      </w:pPr>
      <w:rPr>
        <w:rFonts w:hint="default"/>
        <w:b/>
        <w:bCs/>
        <w:color w:val="00DE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DB50A10"/>
    <w:multiLevelType w:val="multilevel"/>
    <w:tmpl w:val="745C6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E81161A"/>
    <w:multiLevelType w:val="hybridMultilevel"/>
    <w:tmpl w:val="96CA40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FDA4CC4"/>
    <w:multiLevelType w:val="hybridMultilevel"/>
    <w:tmpl w:val="81A074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14E1925"/>
    <w:multiLevelType w:val="multilevel"/>
    <w:tmpl w:val="AB42943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4399027F"/>
    <w:multiLevelType w:val="hybridMultilevel"/>
    <w:tmpl w:val="BE9A9D7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15:restartNumberingAfterBreak="0">
    <w:nsid w:val="450B0637"/>
    <w:multiLevelType w:val="hybridMultilevel"/>
    <w:tmpl w:val="296430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4D35D00"/>
    <w:multiLevelType w:val="multilevel"/>
    <w:tmpl w:val="1DF21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A5828A6"/>
    <w:multiLevelType w:val="hybridMultilevel"/>
    <w:tmpl w:val="25AA2C5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6" w15:restartNumberingAfterBreak="0">
    <w:nsid w:val="5E95472D"/>
    <w:multiLevelType w:val="hybridMultilevel"/>
    <w:tmpl w:val="A9EADF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63252C3"/>
    <w:multiLevelType w:val="multilevel"/>
    <w:tmpl w:val="7116DD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63542C4"/>
    <w:multiLevelType w:val="hybridMultilevel"/>
    <w:tmpl w:val="41B42C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7F56FEC"/>
    <w:multiLevelType w:val="hybridMultilevel"/>
    <w:tmpl w:val="FCBA0F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1701876"/>
    <w:multiLevelType w:val="multilevel"/>
    <w:tmpl w:val="4B36EB8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15:restartNumberingAfterBreak="0">
    <w:nsid w:val="77F00B50"/>
    <w:multiLevelType w:val="hybridMultilevel"/>
    <w:tmpl w:val="73C839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A601345"/>
    <w:multiLevelType w:val="hybridMultilevel"/>
    <w:tmpl w:val="D4EAA526"/>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C814306"/>
    <w:multiLevelType w:val="hybridMultilevel"/>
    <w:tmpl w:val="1DD844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65453584">
    <w:abstractNumId w:val="23"/>
  </w:num>
  <w:num w:numId="2" w16cid:durableId="468011231">
    <w:abstractNumId w:val="24"/>
  </w:num>
  <w:num w:numId="3" w16cid:durableId="1041252196">
    <w:abstractNumId w:val="16"/>
  </w:num>
  <w:num w:numId="4" w16cid:durableId="2035645458">
    <w:abstractNumId w:val="2"/>
  </w:num>
  <w:num w:numId="5" w16cid:durableId="1111172551">
    <w:abstractNumId w:val="1"/>
  </w:num>
  <w:num w:numId="6" w16cid:durableId="51584843">
    <w:abstractNumId w:val="11"/>
  </w:num>
  <w:num w:numId="7" w16cid:durableId="873346771">
    <w:abstractNumId w:val="31"/>
  </w:num>
  <w:num w:numId="8" w16cid:durableId="876433900">
    <w:abstractNumId w:val="3"/>
  </w:num>
  <w:num w:numId="9" w16cid:durableId="293415112">
    <w:abstractNumId w:val="22"/>
  </w:num>
  <w:num w:numId="10" w16cid:durableId="1144740154">
    <w:abstractNumId w:val="20"/>
  </w:num>
  <w:num w:numId="11" w16cid:durableId="1404988029">
    <w:abstractNumId w:val="4"/>
  </w:num>
  <w:num w:numId="12" w16cid:durableId="1332220202">
    <w:abstractNumId w:val="17"/>
  </w:num>
  <w:num w:numId="13" w16cid:durableId="29720508">
    <w:abstractNumId w:val="6"/>
  </w:num>
  <w:num w:numId="14" w16cid:durableId="20085822">
    <w:abstractNumId w:val="15"/>
  </w:num>
  <w:num w:numId="15" w16cid:durableId="1598250619">
    <w:abstractNumId w:val="28"/>
  </w:num>
  <w:num w:numId="16" w16cid:durableId="1490559722">
    <w:abstractNumId w:val="27"/>
  </w:num>
  <w:num w:numId="17" w16cid:durableId="1309281725">
    <w:abstractNumId w:val="19"/>
  </w:num>
  <w:num w:numId="18" w16cid:durableId="1690181298">
    <w:abstractNumId w:val="25"/>
  </w:num>
  <w:num w:numId="19" w16cid:durableId="1438482326">
    <w:abstractNumId w:val="29"/>
  </w:num>
  <w:num w:numId="20" w16cid:durableId="1565292045">
    <w:abstractNumId w:val="5"/>
  </w:num>
  <w:num w:numId="21" w16cid:durableId="98180508">
    <w:abstractNumId w:val="10"/>
  </w:num>
  <w:num w:numId="22" w16cid:durableId="1357004922">
    <w:abstractNumId w:val="0"/>
  </w:num>
  <w:num w:numId="23" w16cid:durableId="21395437">
    <w:abstractNumId w:val="18"/>
  </w:num>
  <w:num w:numId="24" w16cid:durableId="1136873769">
    <w:abstractNumId w:val="26"/>
  </w:num>
  <w:num w:numId="25" w16cid:durableId="1333294542">
    <w:abstractNumId w:val="12"/>
  </w:num>
  <w:num w:numId="26" w16cid:durableId="1586260508">
    <w:abstractNumId w:val="33"/>
  </w:num>
  <w:num w:numId="27" w16cid:durableId="656883599">
    <w:abstractNumId w:val="8"/>
  </w:num>
  <w:num w:numId="28" w16cid:durableId="1500002271">
    <w:abstractNumId w:val="14"/>
  </w:num>
  <w:num w:numId="29" w16cid:durableId="1342585678">
    <w:abstractNumId w:val="30"/>
  </w:num>
  <w:num w:numId="30" w16cid:durableId="1642345709">
    <w:abstractNumId w:val="13"/>
  </w:num>
  <w:num w:numId="31" w16cid:durableId="689793152">
    <w:abstractNumId w:val="21"/>
  </w:num>
  <w:num w:numId="32" w16cid:durableId="835346024">
    <w:abstractNumId w:val="9"/>
  </w:num>
  <w:num w:numId="33" w16cid:durableId="1879009070">
    <w:abstractNumId w:val="7"/>
  </w:num>
  <w:num w:numId="34" w16cid:durableId="606498833">
    <w:abstractNumId w:val="3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Ioana Gaicea">
    <w15:presenceInfo w15:providerId="AD" w15:userId="S::Ioana.Gaicea@flightcentre.co.uk::93d14371-ca7e-4ed0-8147-060c50a1004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340F"/>
    <w:rsid w:val="000074A3"/>
    <w:rsid w:val="0004116C"/>
    <w:rsid w:val="00050ADC"/>
    <w:rsid w:val="0005182D"/>
    <w:rsid w:val="00053241"/>
    <w:rsid w:val="00080058"/>
    <w:rsid w:val="000A1751"/>
    <w:rsid w:val="000A1C03"/>
    <w:rsid w:val="000A1D51"/>
    <w:rsid w:val="000D5D4C"/>
    <w:rsid w:val="00106AD6"/>
    <w:rsid w:val="00107BB3"/>
    <w:rsid w:val="00127ABF"/>
    <w:rsid w:val="001570D1"/>
    <w:rsid w:val="00160017"/>
    <w:rsid w:val="001603CF"/>
    <w:rsid w:val="001613A7"/>
    <w:rsid w:val="00161414"/>
    <w:rsid w:val="0016699F"/>
    <w:rsid w:val="0019068D"/>
    <w:rsid w:val="001D09B6"/>
    <w:rsid w:val="001D6D64"/>
    <w:rsid w:val="001F0C8E"/>
    <w:rsid w:val="001F5ABE"/>
    <w:rsid w:val="00203C6C"/>
    <w:rsid w:val="00213D5C"/>
    <w:rsid w:val="0021535B"/>
    <w:rsid w:val="00227B16"/>
    <w:rsid w:val="002505AD"/>
    <w:rsid w:val="0025249B"/>
    <w:rsid w:val="00257578"/>
    <w:rsid w:val="0027111E"/>
    <w:rsid w:val="00275937"/>
    <w:rsid w:val="002977D3"/>
    <w:rsid w:val="002A161C"/>
    <w:rsid w:val="002C1FB5"/>
    <w:rsid w:val="002D6388"/>
    <w:rsid w:val="002F3175"/>
    <w:rsid w:val="00301277"/>
    <w:rsid w:val="003017E4"/>
    <w:rsid w:val="00301BDE"/>
    <w:rsid w:val="003031F6"/>
    <w:rsid w:val="00324D76"/>
    <w:rsid w:val="0035069F"/>
    <w:rsid w:val="00354857"/>
    <w:rsid w:val="0036307C"/>
    <w:rsid w:val="00367648"/>
    <w:rsid w:val="0037567D"/>
    <w:rsid w:val="003945D3"/>
    <w:rsid w:val="0039565F"/>
    <w:rsid w:val="00397DDB"/>
    <w:rsid w:val="003A6529"/>
    <w:rsid w:val="003D335B"/>
    <w:rsid w:val="00400D9E"/>
    <w:rsid w:val="00403714"/>
    <w:rsid w:val="00412707"/>
    <w:rsid w:val="00421841"/>
    <w:rsid w:val="00424272"/>
    <w:rsid w:val="004274F5"/>
    <w:rsid w:val="0043340F"/>
    <w:rsid w:val="004543FA"/>
    <w:rsid w:val="00467A7C"/>
    <w:rsid w:val="00485F2F"/>
    <w:rsid w:val="00492E91"/>
    <w:rsid w:val="004938FE"/>
    <w:rsid w:val="004B162F"/>
    <w:rsid w:val="004C6659"/>
    <w:rsid w:val="004E542A"/>
    <w:rsid w:val="005006DF"/>
    <w:rsid w:val="0050572E"/>
    <w:rsid w:val="005062CD"/>
    <w:rsid w:val="0052169E"/>
    <w:rsid w:val="00521815"/>
    <w:rsid w:val="00541511"/>
    <w:rsid w:val="0059364D"/>
    <w:rsid w:val="005B1A0D"/>
    <w:rsid w:val="005D3B84"/>
    <w:rsid w:val="005D41F5"/>
    <w:rsid w:val="005E550C"/>
    <w:rsid w:val="006442DF"/>
    <w:rsid w:val="00654A02"/>
    <w:rsid w:val="00654CA8"/>
    <w:rsid w:val="00672994"/>
    <w:rsid w:val="00675A81"/>
    <w:rsid w:val="00696208"/>
    <w:rsid w:val="006D0005"/>
    <w:rsid w:val="00727825"/>
    <w:rsid w:val="00735B7E"/>
    <w:rsid w:val="00740714"/>
    <w:rsid w:val="00742FAC"/>
    <w:rsid w:val="00745D1D"/>
    <w:rsid w:val="00762047"/>
    <w:rsid w:val="00764DE3"/>
    <w:rsid w:val="00776DB3"/>
    <w:rsid w:val="00793953"/>
    <w:rsid w:val="007B2F5B"/>
    <w:rsid w:val="007B54FB"/>
    <w:rsid w:val="007D3AC1"/>
    <w:rsid w:val="007E287D"/>
    <w:rsid w:val="007E7B2E"/>
    <w:rsid w:val="007F4844"/>
    <w:rsid w:val="008039E4"/>
    <w:rsid w:val="00804CA4"/>
    <w:rsid w:val="008216F6"/>
    <w:rsid w:val="008430C2"/>
    <w:rsid w:val="00847FB0"/>
    <w:rsid w:val="00860844"/>
    <w:rsid w:val="00875BDC"/>
    <w:rsid w:val="008770A3"/>
    <w:rsid w:val="00881CA0"/>
    <w:rsid w:val="008854D7"/>
    <w:rsid w:val="008874FD"/>
    <w:rsid w:val="008A5A7D"/>
    <w:rsid w:val="008C18D4"/>
    <w:rsid w:val="008C6E92"/>
    <w:rsid w:val="00904EF6"/>
    <w:rsid w:val="00905A62"/>
    <w:rsid w:val="00906BAB"/>
    <w:rsid w:val="00912AAA"/>
    <w:rsid w:val="00921FFD"/>
    <w:rsid w:val="00941502"/>
    <w:rsid w:val="00955B9F"/>
    <w:rsid w:val="00961D17"/>
    <w:rsid w:val="00996D78"/>
    <w:rsid w:val="009A27BC"/>
    <w:rsid w:val="009B6382"/>
    <w:rsid w:val="009E502D"/>
    <w:rsid w:val="00A10D8A"/>
    <w:rsid w:val="00A22265"/>
    <w:rsid w:val="00A4112C"/>
    <w:rsid w:val="00A44002"/>
    <w:rsid w:val="00A51BA9"/>
    <w:rsid w:val="00A773CA"/>
    <w:rsid w:val="00A800A4"/>
    <w:rsid w:val="00A868BF"/>
    <w:rsid w:val="00A975A9"/>
    <w:rsid w:val="00AC0438"/>
    <w:rsid w:val="00AD444C"/>
    <w:rsid w:val="00B0185E"/>
    <w:rsid w:val="00B01A91"/>
    <w:rsid w:val="00B06DA4"/>
    <w:rsid w:val="00B409DF"/>
    <w:rsid w:val="00B54B43"/>
    <w:rsid w:val="00B553EB"/>
    <w:rsid w:val="00B622B8"/>
    <w:rsid w:val="00B71FD3"/>
    <w:rsid w:val="00B7535D"/>
    <w:rsid w:val="00B8427C"/>
    <w:rsid w:val="00B84E53"/>
    <w:rsid w:val="00BB05FA"/>
    <w:rsid w:val="00BB798B"/>
    <w:rsid w:val="00BE3631"/>
    <w:rsid w:val="00C26204"/>
    <w:rsid w:val="00C30990"/>
    <w:rsid w:val="00C333BB"/>
    <w:rsid w:val="00C33AE3"/>
    <w:rsid w:val="00C347FD"/>
    <w:rsid w:val="00C37DDC"/>
    <w:rsid w:val="00C41A07"/>
    <w:rsid w:val="00C5187B"/>
    <w:rsid w:val="00C672A5"/>
    <w:rsid w:val="00C7131E"/>
    <w:rsid w:val="00C718D9"/>
    <w:rsid w:val="00C91941"/>
    <w:rsid w:val="00CA05FD"/>
    <w:rsid w:val="00CB0DAF"/>
    <w:rsid w:val="00CC3A5A"/>
    <w:rsid w:val="00CE012D"/>
    <w:rsid w:val="00D14584"/>
    <w:rsid w:val="00D17E75"/>
    <w:rsid w:val="00D30E1C"/>
    <w:rsid w:val="00D55208"/>
    <w:rsid w:val="00D55A5C"/>
    <w:rsid w:val="00D63152"/>
    <w:rsid w:val="00D63802"/>
    <w:rsid w:val="00D66EC3"/>
    <w:rsid w:val="00D738BD"/>
    <w:rsid w:val="00D7701A"/>
    <w:rsid w:val="00D87FF7"/>
    <w:rsid w:val="00DB6363"/>
    <w:rsid w:val="00DD71DC"/>
    <w:rsid w:val="00DE43D3"/>
    <w:rsid w:val="00DE5F11"/>
    <w:rsid w:val="00DF57FC"/>
    <w:rsid w:val="00DF6596"/>
    <w:rsid w:val="00E32173"/>
    <w:rsid w:val="00E35F5A"/>
    <w:rsid w:val="00E37485"/>
    <w:rsid w:val="00E44352"/>
    <w:rsid w:val="00E527BF"/>
    <w:rsid w:val="00E562D2"/>
    <w:rsid w:val="00E75086"/>
    <w:rsid w:val="00E772C6"/>
    <w:rsid w:val="00E77591"/>
    <w:rsid w:val="00E8105B"/>
    <w:rsid w:val="00EA512C"/>
    <w:rsid w:val="00F044D7"/>
    <w:rsid w:val="00F30341"/>
    <w:rsid w:val="00F44686"/>
    <w:rsid w:val="00F705B2"/>
    <w:rsid w:val="00F75D43"/>
    <w:rsid w:val="00F77E8E"/>
    <w:rsid w:val="00F83225"/>
    <w:rsid w:val="00F8676A"/>
    <w:rsid w:val="00FA4544"/>
    <w:rsid w:val="00FB06C9"/>
    <w:rsid w:val="00FB1E09"/>
    <w:rsid w:val="00FB4019"/>
    <w:rsid w:val="00FB4F28"/>
    <w:rsid w:val="00FC0CC2"/>
    <w:rsid w:val="00FD0387"/>
    <w:rsid w:val="00FD0B5C"/>
    <w:rsid w:val="00FD3FB3"/>
    <w:rsid w:val="00FE0747"/>
    <w:rsid w:val="00FF0955"/>
    <w:rsid w:val="00FF743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80CC88"/>
  <w15:chartTrackingRefBased/>
  <w15:docId w15:val="{C4566F30-F88D-42B4-901C-D8B0280164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3340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43340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3340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3340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3340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3340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3340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3340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3340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340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43340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3340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3340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3340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3340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3340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3340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3340F"/>
    <w:rPr>
      <w:rFonts w:eastAsiaTheme="majorEastAsia" w:cstheme="majorBidi"/>
      <w:color w:val="272727" w:themeColor="text1" w:themeTint="D8"/>
    </w:rPr>
  </w:style>
  <w:style w:type="paragraph" w:styleId="Title">
    <w:name w:val="Title"/>
    <w:basedOn w:val="Normal"/>
    <w:next w:val="Normal"/>
    <w:link w:val="TitleChar"/>
    <w:uiPriority w:val="10"/>
    <w:qFormat/>
    <w:rsid w:val="0043340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3340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3340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3340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3340F"/>
    <w:pPr>
      <w:spacing w:before="160"/>
      <w:jc w:val="center"/>
    </w:pPr>
    <w:rPr>
      <w:i/>
      <w:iCs/>
      <w:color w:val="404040" w:themeColor="text1" w:themeTint="BF"/>
    </w:rPr>
  </w:style>
  <w:style w:type="character" w:customStyle="1" w:styleId="QuoteChar">
    <w:name w:val="Quote Char"/>
    <w:basedOn w:val="DefaultParagraphFont"/>
    <w:link w:val="Quote"/>
    <w:uiPriority w:val="29"/>
    <w:rsid w:val="0043340F"/>
    <w:rPr>
      <w:i/>
      <w:iCs/>
      <w:color w:val="404040" w:themeColor="text1" w:themeTint="BF"/>
    </w:rPr>
  </w:style>
  <w:style w:type="paragraph" w:styleId="ListParagraph">
    <w:name w:val="List Paragraph"/>
    <w:basedOn w:val="Normal"/>
    <w:uiPriority w:val="34"/>
    <w:qFormat/>
    <w:rsid w:val="0043340F"/>
    <w:pPr>
      <w:ind w:left="720"/>
      <w:contextualSpacing/>
    </w:pPr>
  </w:style>
  <w:style w:type="character" w:styleId="IntenseEmphasis">
    <w:name w:val="Intense Emphasis"/>
    <w:basedOn w:val="DefaultParagraphFont"/>
    <w:uiPriority w:val="21"/>
    <w:qFormat/>
    <w:rsid w:val="0043340F"/>
    <w:rPr>
      <w:i/>
      <w:iCs/>
      <w:color w:val="0F4761" w:themeColor="accent1" w:themeShade="BF"/>
    </w:rPr>
  </w:style>
  <w:style w:type="paragraph" w:styleId="IntenseQuote">
    <w:name w:val="Intense Quote"/>
    <w:basedOn w:val="Normal"/>
    <w:next w:val="Normal"/>
    <w:link w:val="IntenseQuoteChar"/>
    <w:uiPriority w:val="30"/>
    <w:qFormat/>
    <w:rsid w:val="0043340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3340F"/>
    <w:rPr>
      <w:i/>
      <w:iCs/>
      <w:color w:val="0F4761" w:themeColor="accent1" w:themeShade="BF"/>
    </w:rPr>
  </w:style>
  <w:style w:type="character" w:styleId="IntenseReference">
    <w:name w:val="Intense Reference"/>
    <w:basedOn w:val="DefaultParagraphFont"/>
    <w:uiPriority w:val="32"/>
    <w:qFormat/>
    <w:rsid w:val="0043340F"/>
    <w:rPr>
      <w:b/>
      <w:bCs/>
      <w:smallCaps/>
      <w:color w:val="0F4761" w:themeColor="accent1" w:themeShade="BF"/>
      <w:spacing w:val="5"/>
    </w:rPr>
  </w:style>
  <w:style w:type="paragraph" w:styleId="Header">
    <w:name w:val="header"/>
    <w:basedOn w:val="Normal"/>
    <w:link w:val="HeaderChar"/>
    <w:uiPriority w:val="99"/>
    <w:unhideWhenUsed/>
    <w:rsid w:val="00B71FD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71FD3"/>
  </w:style>
  <w:style w:type="paragraph" w:styleId="Footer">
    <w:name w:val="footer"/>
    <w:basedOn w:val="Normal"/>
    <w:link w:val="FooterChar"/>
    <w:uiPriority w:val="99"/>
    <w:unhideWhenUsed/>
    <w:rsid w:val="00B71FD3"/>
    <w:pPr>
      <w:tabs>
        <w:tab w:val="center" w:pos="4513"/>
        <w:tab w:val="right" w:pos="9026"/>
      </w:tabs>
      <w:spacing w:after="0" w:line="240" w:lineRule="auto"/>
    </w:pPr>
  </w:style>
  <w:style w:type="character" w:customStyle="1" w:styleId="FooterChar">
    <w:name w:val="Footer Char"/>
    <w:basedOn w:val="DefaultParagraphFont"/>
    <w:link w:val="Footer"/>
    <w:uiPriority w:val="99"/>
    <w:rsid w:val="00B71FD3"/>
  </w:style>
  <w:style w:type="character" w:styleId="CommentReference">
    <w:name w:val="annotation reference"/>
    <w:basedOn w:val="DefaultParagraphFont"/>
    <w:uiPriority w:val="99"/>
    <w:semiHidden/>
    <w:unhideWhenUsed/>
    <w:rsid w:val="0037567D"/>
    <w:rPr>
      <w:sz w:val="16"/>
      <w:szCs w:val="16"/>
    </w:rPr>
  </w:style>
  <w:style w:type="paragraph" w:styleId="CommentText">
    <w:name w:val="annotation text"/>
    <w:basedOn w:val="Normal"/>
    <w:link w:val="CommentTextChar"/>
    <w:uiPriority w:val="99"/>
    <w:unhideWhenUsed/>
    <w:rsid w:val="0037567D"/>
    <w:pPr>
      <w:spacing w:after="0" w:line="240" w:lineRule="auto"/>
    </w:pPr>
    <w:rPr>
      <w:rFonts w:ascii="Arial" w:eastAsia="Arial" w:hAnsi="Arial" w:cs="Arial"/>
      <w:kern w:val="0"/>
      <w:sz w:val="20"/>
      <w:szCs w:val="20"/>
      <w:lang w:eastAsia="en-GB"/>
      <w14:ligatures w14:val="none"/>
    </w:rPr>
  </w:style>
  <w:style w:type="character" w:customStyle="1" w:styleId="CommentTextChar">
    <w:name w:val="Comment Text Char"/>
    <w:basedOn w:val="DefaultParagraphFont"/>
    <w:link w:val="CommentText"/>
    <w:uiPriority w:val="99"/>
    <w:rsid w:val="0037567D"/>
    <w:rPr>
      <w:rFonts w:ascii="Arial" w:eastAsia="Arial" w:hAnsi="Arial" w:cs="Arial"/>
      <w:kern w:val="0"/>
      <w:sz w:val="20"/>
      <w:szCs w:val="20"/>
      <w:lang w:eastAsia="en-GB"/>
      <w14:ligatures w14:val="none"/>
    </w:rPr>
  </w:style>
  <w:style w:type="character" w:styleId="Hyperlink">
    <w:name w:val="Hyperlink"/>
    <w:basedOn w:val="DefaultParagraphFont"/>
    <w:uiPriority w:val="99"/>
    <w:unhideWhenUsed/>
    <w:rsid w:val="00696208"/>
    <w:rPr>
      <w:color w:val="467886" w:themeColor="hyperlink"/>
      <w:u w:val="single"/>
    </w:rPr>
  </w:style>
  <w:style w:type="character" w:styleId="UnresolvedMention">
    <w:name w:val="Unresolved Mention"/>
    <w:basedOn w:val="DefaultParagraphFont"/>
    <w:uiPriority w:val="99"/>
    <w:semiHidden/>
    <w:unhideWhenUsed/>
    <w:rsid w:val="00696208"/>
    <w:rPr>
      <w:color w:val="605E5C"/>
      <w:shd w:val="clear" w:color="auto" w:fill="E1DFDD"/>
    </w:rPr>
  </w:style>
  <w:style w:type="paragraph" w:styleId="TOCHeading">
    <w:name w:val="TOC Heading"/>
    <w:basedOn w:val="Heading1"/>
    <w:next w:val="Normal"/>
    <w:uiPriority w:val="39"/>
    <w:unhideWhenUsed/>
    <w:qFormat/>
    <w:rsid w:val="00160017"/>
    <w:pPr>
      <w:spacing w:before="240" w:after="0" w:line="259" w:lineRule="auto"/>
      <w:outlineLvl w:val="9"/>
    </w:pPr>
    <w:rPr>
      <w:kern w:val="0"/>
      <w:sz w:val="32"/>
      <w:szCs w:val="32"/>
      <w:lang w:val="en-US"/>
      <w14:ligatures w14:val="none"/>
    </w:rPr>
  </w:style>
  <w:style w:type="paragraph" w:styleId="TOC1">
    <w:name w:val="toc 1"/>
    <w:basedOn w:val="Normal"/>
    <w:next w:val="Normal"/>
    <w:autoRedefine/>
    <w:uiPriority w:val="39"/>
    <w:unhideWhenUsed/>
    <w:rsid w:val="00160017"/>
    <w:pPr>
      <w:spacing w:after="100"/>
    </w:pPr>
  </w:style>
  <w:style w:type="paragraph" w:styleId="CommentSubject">
    <w:name w:val="annotation subject"/>
    <w:basedOn w:val="CommentText"/>
    <w:next w:val="CommentText"/>
    <w:link w:val="CommentSubjectChar"/>
    <w:uiPriority w:val="99"/>
    <w:semiHidden/>
    <w:unhideWhenUsed/>
    <w:rsid w:val="005B1A0D"/>
    <w:pPr>
      <w:spacing w:after="160"/>
    </w:pPr>
    <w:rPr>
      <w:rFonts w:asciiTheme="minorHAnsi" w:eastAsiaTheme="minorHAnsi" w:hAnsiTheme="minorHAnsi" w:cstheme="minorBidi"/>
      <w:b/>
      <w:bCs/>
      <w:kern w:val="2"/>
      <w:lang w:eastAsia="en-US"/>
      <w14:ligatures w14:val="standardContextual"/>
    </w:rPr>
  </w:style>
  <w:style w:type="character" w:customStyle="1" w:styleId="CommentSubjectChar">
    <w:name w:val="Comment Subject Char"/>
    <w:basedOn w:val="CommentTextChar"/>
    <w:link w:val="CommentSubject"/>
    <w:uiPriority w:val="99"/>
    <w:semiHidden/>
    <w:rsid w:val="005B1A0D"/>
    <w:rPr>
      <w:rFonts w:ascii="Arial" w:eastAsia="Arial" w:hAnsi="Arial" w:cs="Arial"/>
      <w:b/>
      <w:bCs/>
      <w:kern w:val="0"/>
      <w:sz w:val="20"/>
      <w:szCs w:val="20"/>
      <w:lang w:eastAsia="en-GB"/>
      <w14:ligatures w14:val="none"/>
    </w:rPr>
  </w:style>
  <w:style w:type="character" w:styleId="Strong">
    <w:name w:val="Strong"/>
    <w:basedOn w:val="DefaultParagraphFont"/>
    <w:uiPriority w:val="22"/>
    <w:qFormat/>
    <w:rsid w:val="00E77591"/>
    <w:rPr>
      <w:b/>
      <w:bCs/>
    </w:rPr>
  </w:style>
  <w:style w:type="paragraph" w:styleId="TOC2">
    <w:name w:val="toc 2"/>
    <w:basedOn w:val="Normal"/>
    <w:next w:val="Normal"/>
    <w:autoRedefine/>
    <w:uiPriority w:val="39"/>
    <w:unhideWhenUsed/>
    <w:rsid w:val="00BB05FA"/>
    <w:pPr>
      <w:spacing w:after="100"/>
      <w:ind w:left="2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797930">
      <w:bodyDiv w:val="1"/>
      <w:marLeft w:val="0"/>
      <w:marRight w:val="0"/>
      <w:marTop w:val="0"/>
      <w:marBottom w:val="0"/>
      <w:divBdr>
        <w:top w:val="none" w:sz="0" w:space="0" w:color="auto"/>
        <w:left w:val="none" w:sz="0" w:space="0" w:color="auto"/>
        <w:bottom w:val="none" w:sz="0" w:space="0" w:color="auto"/>
        <w:right w:val="none" w:sz="0" w:space="0" w:color="auto"/>
      </w:divBdr>
    </w:div>
    <w:div w:id="93672179">
      <w:bodyDiv w:val="1"/>
      <w:marLeft w:val="0"/>
      <w:marRight w:val="0"/>
      <w:marTop w:val="0"/>
      <w:marBottom w:val="0"/>
      <w:divBdr>
        <w:top w:val="none" w:sz="0" w:space="0" w:color="auto"/>
        <w:left w:val="none" w:sz="0" w:space="0" w:color="auto"/>
        <w:bottom w:val="none" w:sz="0" w:space="0" w:color="auto"/>
        <w:right w:val="none" w:sz="0" w:space="0" w:color="auto"/>
      </w:divBdr>
    </w:div>
    <w:div w:id="126317025">
      <w:bodyDiv w:val="1"/>
      <w:marLeft w:val="0"/>
      <w:marRight w:val="0"/>
      <w:marTop w:val="0"/>
      <w:marBottom w:val="0"/>
      <w:divBdr>
        <w:top w:val="none" w:sz="0" w:space="0" w:color="auto"/>
        <w:left w:val="none" w:sz="0" w:space="0" w:color="auto"/>
        <w:bottom w:val="none" w:sz="0" w:space="0" w:color="auto"/>
        <w:right w:val="none" w:sz="0" w:space="0" w:color="auto"/>
      </w:divBdr>
    </w:div>
    <w:div w:id="140930814">
      <w:bodyDiv w:val="1"/>
      <w:marLeft w:val="0"/>
      <w:marRight w:val="0"/>
      <w:marTop w:val="0"/>
      <w:marBottom w:val="0"/>
      <w:divBdr>
        <w:top w:val="none" w:sz="0" w:space="0" w:color="auto"/>
        <w:left w:val="none" w:sz="0" w:space="0" w:color="auto"/>
        <w:bottom w:val="none" w:sz="0" w:space="0" w:color="auto"/>
        <w:right w:val="none" w:sz="0" w:space="0" w:color="auto"/>
      </w:divBdr>
    </w:div>
    <w:div w:id="179399340">
      <w:bodyDiv w:val="1"/>
      <w:marLeft w:val="0"/>
      <w:marRight w:val="0"/>
      <w:marTop w:val="0"/>
      <w:marBottom w:val="0"/>
      <w:divBdr>
        <w:top w:val="none" w:sz="0" w:space="0" w:color="auto"/>
        <w:left w:val="none" w:sz="0" w:space="0" w:color="auto"/>
        <w:bottom w:val="none" w:sz="0" w:space="0" w:color="auto"/>
        <w:right w:val="none" w:sz="0" w:space="0" w:color="auto"/>
      </w:divBdr>
    </w:div>
    <w:div w:id="182744967">
      <w:bodyDiv w:val="1"/>
      <w:marLeft w:val="0"/>
      <w:marRight w:val="0"/>
      <w:marTop w:val="0"/>
      <w:marBottom w:val="0"/>
      <w:divBdr>
        <w:top w:val="none" w:sz="0" w:space="0" w:color="auto"/>
        <w:left w:val="none" w:sz="0" w:space="0" w:color="auto"/>
        <w:bottom w:val="none" w:sz="0" w:space="0" w:color="auto"/>
        <w:right w:val="none" w:sz="0" w:space="0" w:color="auto"/>
      </w:divBdr>
    </w:div>
    <w:div w:id="233131511">
      <w:bodyDiv w:val="1"/>
      <w:marLeft w:val="0"/>
      <w:marRight w:val="0"/>
      <w:marTop w:val="0"/>
      <w:marBottom w:val="0"/>
      <w:divBdr>
        <w:top w:val="none" w:sz="0" w:space="0" w:color="auto"/>
        <w:left w:val="none" w:sz="0" w:space="0" w:color="auto"/>
        <w:bottom w:val="none" w:sz="0" w:space="0" w:color="auto"/>
        <w:right w:val="none" w:sz="0" w:space="0" w:color="auto"/>
      </w:divBdr>
    </w:div>
    <w:div w:id="253318652">
      <w:bodyDiv w:val="1"/>
      <w:marLeft w:val="0"/>
      <w:marRight w:val="0"/>
      <w:marTop w:val="0"/>
      <w:marBottom w:val="0"/>
      <w:divBdr>
        <w:top w:val="none" w:sz="0" w:space="0" w:color="auto"/>
        <w:left w:val="none" w:sz="0" w:space="0" w:color="auto"/>
        <w:bottom w:val="none" w:sz="0" w:space="0" w:color="auto"/>
        <w:right w:val="none" w:sz="0" w:space="0" w:color="auto"/>
      </w:divBdr>
    </w:div>
    <w:div w:id="287517259">
      <w:bodyDiv w:val="1"/>
      <w:marLeft w:val="0"/>
      <w:marRight w:val="0"/>
      <w:marTop w:val="0"/>
      <w:marBottom w:val="0"/>
      <w:divBdr>
        <w:top w:val="none" w:sz="0" w:space="0" w:color="auto"/>
        <w:left w:val="none" w:sz="0" w:space="0" w:color="auto"/>
        <w:bottom w:val="none" w:sz="0" w:space="0" w:color="auto"/>
        <w:right w:val="none" w:sz="0" w:space="0" w:color="auto"/>
      </w:divBdr>
    </w:div>
    <w:div w:id="338627077">
      <w:bodyDiv w:val="1"/>
      <w:marLeft w:val="0"/>
      <w:marRight w:val="0"/>
      <w:marTop w:val="0"/>
      <w:marBottom w:val="0"/>
      <w:divBdr>
        <w:top w:val="none" w:sz="0" w:space="0" w:color="auto"/>
        <w:left w:val="none" w:sz="0" w:space="0" w:color="auto"/>
        <w:bottom w:val="none" w:sz="0" w:space="0" w:color="auto"/>
        <w:right w:val="none" w:sz="0" w:space="0" w:color="auto"/>
      </w:divBdr>
    </w:div>
    <w:div w:id="464785607">
      <w:bodyDiv w:val="1"/>
      <w:marLeft w:val="0"/>
      <w:marRight w:val="0"/>
      <w:marTop w:val="0"/>
      <w:marBottom w:val="0"/>
      <w:divBdr>
        <w:top w:val="none" w:sz="0" w:space="0" w:color="auto"/>
        <w:left w:val="none" w:sz="0" w:space="0" w:color="auto"/>
        <w:bottom w:val="none" w:sz="0" w:space="0" w:color="auto"/>
        <w:right w:val="none" w:sz="0" w:space="0" w:color="auto"/>
      </w:divBdr>
    </w:div>
    <w:div w:id="506137047">
      <w:bodyDiv w:val="1"/>
      <w:marLeft w:val="0"/>
      <w:marRight w:val="0"/>
      <w:marTop w:val="0"/>
      <w:marBottom w:val="0"/>
      <w:divBdr>
        <w:top w:val="none" w:sz="0" w:space="0" w:color="auto"/>
        <w:left w:val="none" w:sz="0" w:space="0" w:color="auto"/>
        <w:bottom w:val="none" w:sz="0" w:space="0" w:color="auto"/>
        <w:right w:val="none" w:sz="0" w:space="0" w:color="auto"/>
      </w:divBdr>
    </w:div>
    <w:div w:id="638460557">
      <w:bodyDiv w:val="1"/>
      <w:marLeft w:val="0"/>
      <w:marRight w:val="0"/>
      <w:marTop w:val="0"/>
      <w:marBottom w:val="0"/>
      <w:divBdr>
        <w:top w:val="none" w:sz="0" w:space="0" w:color="auto"/>
        <w:left w:val="none" w:sz="0" w:space="0" w:color="auto"/>
        <w:bottom w:val="none" w:sz="0" w:space="0" w:color="auto"/>
        <w:right w:val="none" w:sz="0" w:space="0" w:color="auto"/>
      </w:divBdr>
    </w:div>
    <w:div w:id="641732537">
      <w:bodyDiv w:val="1"/>
      <w:marLeft w:val="0"/>
      <w:marRight w:val="0"/>
      <w:marTop w:val="0"/>
      <w:marBottom w:val="0"/>
      <w:divBdr>
        <w:top w:val="none" w:sz="0" w:space="0" w:color="auto"/>
        <w:left w:val="none" w:sz="0" w:space="0" w:color="auto"/>
        <w:bottom w:val="none" w:sz="0" w:space="0" w:color="auto"/>
        <w:right w:val="none" w:sz="0" w:space="0" w:color="auto"/>
      </w:divBdr>
    </w:div>
    <w:div w:id="748692231">
      <w:bodyDiv w:val="1"/>
      <w:marLeft w:val="0"/>
      <w:marRight w:val="0"/>
      <w:marTop w:val="0"/>
      <w:marBottom w:val="0"/>
      <w:divBdr>
        <w:top w:val="none" w:sz="0" w:space="0" w:color="auto"/>
        <w:left w:val="none" w:sz="0" w:space="0" w:color="auto"/>
        <w:bottom w:val="none" w:sz="0" w:space="0" w:color="auto"/>
        <w:right w:val="none" w:sz="0" w:space="0" w:color="auto"/>
      </w:divBdr>
    </w:div>
    <w:div w:id="975523523">
      <w:bodyDiv w:val="1"/>
      <w:marLeft w:val="0"/>
      <w:marRight w:val="0"/>
      <w:marTop w:val="0"/>
      <w:marBottom w:val="0"/>
      <w:divBdr>
        <w:top w:val="none" w:sz="0" w:space="0" w:color="auto"/>
        <w:left w:val="none" w:sz="0" w:space="0" w:color="auto"/>
        <w:bottom w:val="none" w:sz="0" w:space="0" w:color="auto"/>
        <w:right w:val="none" w:sz="0" w:space="0" w:color="auto"/>
      </w:divBdr>
    </w:div>
    <w:div w:id="1135367629">
      <w:bodyDiv w:val="1"/>
      <w:marLeft w:val="0"/>
      <w:marRight w:val="0"/>
      <w:marTop w:val="0"/>
      <w:marBottom w:val="0"/>
      <w:divBdr>
        <w:top w:val="none" w:sz="0" w:space="0" w:color="auto"/>
        <w:left w:val="none" w:sz="0" w:space="0" w:color="auto"/>
        <w:bottom w:val="none" w:sz="0" w:space="0" w:color="auto"/>
        <w:right w:val="none" w:sz="0" w:space="0" w:color="auto"/>
      </w:divBdr>
    </w:div>
    <w:div w:id="1191186245">
      <w:bodyDiv w:val="1"/>
      <w:marLeft w:val="0"/>
      <w:marRight w:val="0"/>
      <w:marTop w:val="0"/>
      <w:marBottom w:val="0"/>
      <w:divBdr>
        <w:top w:val="none" w:sz="0" w:space="0" w:color="auto"/>
        <w:left w:val="none" w:sz="0" w:space="0" w:color="auto"/>
        <w:bottom w:val="none" w:sz="0" w:space="0" w:color="auto"/>
        <w:right w:val="none" w:sz="0" w:space="0" w:color="auto"/>
      </w:divBdr>
    </w:div>
    <w:div w:id="1705129547">
      <w:bodyDiv w:val="1"/>
      <w:marLeft w:val="0"/>
      <w:marRight w:val="0"/>
      <w:marTop w:val="0"/>
      <w:marBottom w:val="0"/>
      <w:divBdr>
        <w:top w:val="none" w:sz="0" w:space="0" w:color="auto"/>
        <w:left w:val="none" w:sz="0" w:space="0" w:color="auto"/>
        <w:bottom w:val="none" w:sz="0" w:space="0" w:color="auto"/>
        <w:right w:val="none" w:sz="0" w:space="0" w:color="auto"/>
      </w:divBdr>
    </w:div>
    <w:div w:id="1712069401">
      <w:bodyDiv w:val="1"/>
      <w:marLeft w:val="0"/>
      <w:marRight w:val="0"/>
      <w:marTop w:val="0"/>
      <w:marBottom w:val="0"/>
      <w:divBdr>
        <w:top w:val="none" w:sz="0" w:space="0" w:color="auto"/>
        <w:left w:val="none" w:sz="0" w:space="0" w:color="auto"/>
        <w:bottom w:val="none" w:sz="0" w:space="0" w:color="auto"/>
        <w:right w:val="none" w:sz="0" w:space="0" w:color="auto"/>
      </w:divBdr>
    </w:div>
    <w:div w:id="1724602828">
      <w:bodyDiv w:val="1"/>
      <w:marLeft w:val="0"/>
      <w:marRight w:val="0"/>
      <w:marTop w:val="0"/>
      <w:marBottom w:val="0"/>
      <w:divBdr>
        <w:top w:val="none" w:sz="0" w:space="0" w:color="auto"/>
        <w:left w:val="none" w:sz="0" w:space="0" w:color="auto"/>
        <w:bottom w:val="none" w:sz="0" w:space="0" w:color="auto"/>
        <w:right w:val="none" w:sz="0" w:space="0" w:color="auto"/>
      </w:divBdr>
    </w:div>
    <w:div w:id="1911772523">
      <w:bodyDiv w:val="1"/>
      <w:marLeft w:val="0"/>
      <w:marRight w:val="0"/>
      <w:marTop w:val="0"/>
      <w:marBottom w:val="0"/>
      <w:divBdr>
        <w:top w:val="none" w:sz="0" w:space="0" w:color="auto"/>
        <w:left w:val="none" w:sz="0" w:space="0" w:color="auto"/>
        <w:bottom w:val="none" w:sz="0" w:space="0" w:color="auto"/>
        <w:right w:val="none" w:sz="0" w:space="0" w:color="auto"/>
      </w:divBdr>
    </w:div>
    <w:div w:id="1912306204">
      <w:bodyDiv w:val="1"/>
      <w:marLeft w:val="0"/>
      <w:marRight w:val="0"/>
      <w:marTop w:val="0"/>
      <w:marBottom w:val="0"/>
      <w:divBdr>
        <w:top w:val="none" w:sz="0" w:space="0" w:color="auto"/>
        <w:left w:val="none" w:sz="0" w:space="0" w:color="auto"/>
        <w:bottom w:val="none" w:sz="0" w:space="0" w:color="auto"/>
        <w:right w:val="none" w:sz="0" w:space="0" w:color="auto"/>
      </w:divBdr>
    </w:div>
    <w:div w:id="1942369221">
      <w:bodyDiv w:val="1"/>
      <w:marLeft w:val="0"/>
      <w:marRight w:val="0"/>
      <w:marTop w:val="0"/>
      <w:marBottom w:val="0"/>
      <w:divBdr>
        <w:top w:val="none" w:sz="0" w:space="0" w:color="auto"/>
        <w:left w:val="none" w:sz="0" w:space="0" w:color="auto"/>
        <w:bottom w:val="none" w:sz="0" w:space="0" w:color="auto"/>
        <w:right w:val="none" w:sz="0" w:space="0" w:color="auto"/>
      </w:divBdr>
    </w:div>
    <w:div w:id="1974678480">
      <w:bodyDiv w:val="1"/>
      <w:marLeft w:val="0"/>
      <w:marRight w:val="0"/>
      <w:marTop w:val="0"/>
      <w:marBottom w:val="0"/>
      <w:divBdr>
        <w:top w:val="none" w:sz="0" w:space="0" w:color="auto"/>
        <w:left w:val="none" w:sz="0" w:space="0" w:color="auto"/>
        <w:bottom w:val="none" w:sz="0" w:space="0" w:color="auto"/>
        <w:right w:val="none" w:sz="0" w:space="0" w:color="auto"/>
      </w:divBdr>
    </w:div>
    <w:div w:id="2022925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oana.gaicea@flightcentre.co.uk" TargetMode="External"/><Relationship Id="rId13" Type="http://schemas.microsoft.com/office/2016/09/relationships/commentsIds" Target="commentsIds.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commentsExtended" Target="commentsExtended.xm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omments" Target="comments.xml"/><Relationship Id="rId5" Type="http://schemas.openxmlformats.org/officeDocument/2006/relationships/webSettings" Target="webSettings.xml"/><Relationship Id="rId15" Type="http://schemas.openxmlformats.org/officeDocument/2006/relationships/hyperlink" Target="https://fctgeu-my.sharepoint.com/:w:/r/personal/ioana_gaicea_flightcentre_co_uk/Documents/Desktop/NDC%20positioning%20%26%20messaging%20docs/NDC%20MESSAGING/NDC%20FCM%20messaging%20.docx?d=wf18ede526dab4825976377b78d1283cb&amp;csf=1&amp;web=1&amp;e=a54tuk" TargetMode="External"/><Relationship Id="rId10" Type="http://schemas.openxmlformats.org/officeDocument/2006/relationships/hyperlink" Target="https://fctgeu-my.sharepoint.com/:w:/r/personal/ioana_gaicea_flightcentre_co_uk/Documents/Desktop/NDC%20positioning%20%26%20messaging%20docs/NDC%20POSITIONING/NDC%20FCTG%20positioning.docx?d=wd93749f46ee04e2c9e24126d2e84205a&amp;csf=1&amp;web=1&amp;e=bfdHLS" TargetMode="External"/><Relationship Id="rId19" Type="http://schemas.microsoft.com/office/2011/relationships/people" Target="people.xml"/><Relationship Id="rId4" Type="http://schemas.openxmlformats.org/officeDocument/2006/relationships/settings" Target="settings.xml"/><Relationship Id="rId9" Type="http://schemas.openxmlformats.org/officeDocument/2006/relationships/hyperlink" Target="https://fctgeu-my.sharepoint.com/:w:/r/personal/ioana_gaicea_flightcentre_co_uk/Documents/Desktop/NDC%20positioning%20%26%20messaging%20docs/NDC%20POSITIONING/NDC%20FCTG%20positioning.docx?d=wd93749f46ee04e2c9e24126d2e84205a&amp;csf=1&amp;web=1&amp;e=JifesZ" TargetMode="External"/><Relationship Id="rId14" Type="http://schemas.microsoft.com/office/2018/08/relationships/commentsExtensible" Target="commentsExtensi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FF2B51-D83D-4732-B9D7-DEB9A13A53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2455</Words>
  <Characters>14097</Characters>
  <Application>Microsoft Office Word</Application>
  <DocSecurity>0</DocSecurity>
  <Lines>335</Lines>
  <Paragraphs>183</Paragraphs>
  <ScaleCrop>false</ScaleCrop>
  <Company/>
  <LinksUpToDate>false</LinksUpToDate>
  <CharactersWithSpaces>16369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Ioana Gaicea</dc:creator>
  <cp:keywords/>
  <dc:description/>
  <cp:lastModifiedBy>Ioana Gaicea (GB)</cp:lastModifiedBy>
  <cp:revision>188</cp:revision>
  <dcterms:created xsi:type="dcterms:W3CDTF">2025-02-12T16:05:00Z</dcterms:created>
  <dcterms:modified xsi:type="dcterms:W3CDTF">2025-11-03T14:06:00Z</dcterms:modified>
</cp:coreProperties>
</file>