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4A6E43E2" w:rsidR="000F108B" w:rsidRDefault="002F5617" w:rsidP="00235853">
      <w:r>
        <w:rPr>
          <w:noProof/>
        </w:rPr>
        <w:drawing>
          <wp:anchor distT="0" distB="0" distL="114300" distR="114300" simplePos="0" relativeHeight="251643897" behindDoc="0" locked="0" layoutInCell="1" allowOverlap="1" wp14:anchorId="3C674D0B" wp14:editId="4668AAC2">
            <wp:simplePos x="0" y="0"/>
            <wp:positionH relativeFrom="column">
              <wp:posOffset>-1438910</wp:posOffset>
            </wp:positionH>
            <wp:positionV relativeFrom="paragraph">
              <wp:posOffset>-3657600</wp:posOffset>
            </wp:positionV>
            <wp:extent cx="8324850" cy="14940280"/>
            <wp:effectExtent l="0" t="0" r="0" b="0"/>
            <wp:wrapNone/>
            <wp:docPr id="445652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52622" name=""/>
                    <pic:cNvPicPr/>
                  </pic:nvPicPr>
                  <pic:blipFill>
                    <a:blip r:embed="rId8"/>
                    <a:stretch>
                      <a:fillRect/>
                    </a:stretch>
                  </pic:blipFill>
                  <pic:spPr>
                    <a:xfrm>
                      <a:off x="0" y="0"/>
                      <a:ext cx="8324850" cy="1494028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44922" behindDoc="0" locked="0" layoutInCell="1" allowOverlap="1" wp14:anchorId="62F50521" wp14:editId="647FFCA1">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771CB820" w:rsidR="001F059D" w:rsidRPr="001C6A9D" w:rsidRDefault="000F108B" w:rsidP="001C6A9D">
                              <w:pPr>
                                <w:pStyle w:val="Title"/>
                              </w:pPr>
                              <w:r w:rsidRPr="001C6A9D">
                                <w:t>T</w:t>
                              </w:r>
                              <w:r w:rsidR="00527479">
                                <w:t xml:space="preserve">aylor v Killer Queen </w:t>
                              </w:r>
                              <w:r w:rsidR="005E2DD8">
                                <w:t xml:space="preserve">LLC [2026] </w:t>
                              </w:r>
                              <w:r w:rsidR="009A490D">
                                <w:t>HCA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20E18DF7" w:rsidR="00262BED" w:rsidRPr="00262BED" w:rsidRDefault="004B49E4" w:rsidP="00235853">
                              <w:pPr>
                                <w:pStyle w:val="Subtitle"/>
                              </w:pPr>
                              <w:r>
                                <w:t>A case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8pt;margin-top:-1in;width:605.7pt;height:845.75pt;z-index:251644922;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pBCVQQAAAoSAAAOAAAAZHJzL2Uyb0RvYy54bWzsWG1v2zYQ/j5g/4HQ98SiXi0jSpG5SzAg&#13;&#10;aIMmQz/TMmULkEiNZGJlv353pCS/1EvTrg2Cdl9kUTwej4+fe+6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771CB820" w:rsidR="001F059D" w:rsidRPr="001C6A9D" w:rsidRDefault="000F108B" w:rsidP="001C6A9D">
                        <w:pPr>
                          <w:pStyle w:val="Title"/>
                        </w:pPr>
                        <w:r w:rsidRPr="001C6A9D">
                          <w:t>T</w:t>
                        </w:r>
                        <w:r w:rsidR="00527479">
                          <w:t xml:space="preserve">aylor v Killer Queen </w:t>
                        </w:r>
                        <w:r w:rsidR="005E2DD8">
                          <w:t xml:space="preserve">LLC [2026] </w:t>
                        </w:r>
                        <w:r w:rsidR="009A490D">
                          <w:t>HCA 5</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20E18DF7" w:rsidR="00262BED" w:rsidRPr="00262BED" w:rsidRDefault="004B49E4" w:rsidP="00235853">
                        <w:pPr>
                          <w:pStyle w:val="Subtitle"/>
                        </w:pPr>
                        <w:r>
                          <w:t>A case summary</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081010BB">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10B1AF68" w:rsidR="000F108B" w:rsidRDefault="000F108B" w:rsidP="004B49E4">
                            <w:pPr>
                              <w:pStyle w:val="Subtitle"/>
                            </w:pPr>
                            <w:r w:rsidRPr="00262BED">
                              <w:t xml:space="preserve">By </w:t>
                            </w:r>
                            <w:r w:rsidR="005B09E0">
                              <w:t>Jemina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10B1AF68" w:rsidR="000F108B" w:rsidRDefault="000F108B" w:rsidP="004B49E4">
                      <w:pPr>
                        <w:pStyle w:val="Subtitle"/>
                      </w:pPr>
                      <w:r w:rsidRPr="00262BED">
                        <w:t xml:space="preserve">By </w:t>
                      </w:r>
                      <w:proofErr w:type="spellStart"/>
                      <w:r w:rsidR="005B09E0">
                        <w:t>Jemina</w:t>
                      </w:r>
                      <w:proofErr w:type="spellEnd"/>
                      <w:r w:rsidR="005B09E0">
                        <w:t xml:space="preserve"> Green</w:t>
                      </w:r>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05A24D46" w14:textId="2E63EC55"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r w:rsidRPr="002975AE">
        <w:rPr>
          <w:rFonts w:eastAsiaTheme="minorEastAsia"/>
          <w:color w:val="000000" w:themeColor="text1"/>
          <w:kern w:val="2"/>
          <w:lang w:eastAsia="ja-JP"/>
          <w14:ligatures w14:val="standardContextual"/>
        </w:rPr>
        <w:lastRenderedPageBreak/>
        <w:t>Taylor v Killer Queen LLC [2026] HCA 5 (</w:t>
      </w:r>
      <w:r w:rsidRPr="002975AE">
        <w:rPr>
          <w:rFonts w:eastAsiaTheme="minorEastAsia"/>
          <w:b/>
          <w:bCs/>
          <w:color w:val="000000" w:themeColor="text1"/>
          <w:kern w:val="2"/>
          <w:lang w:eastAsia="ja-JP"/>
          <w14:ligatures w14:val="standardContextual"/>
        </w:rPr>
        <w:t>the Case</w:t>
      </w:r>
      <w:r w:rsidRPr="002975AE">
        <w:rPr>
          <w:rFonts w:eastAsiaTheme="minorEastAsia"/>
          <w:color w:val="000000" w:themeColor="text1"/>
          <w:kern w:val="2"/>
          <w:lang w:eastAsia="ja-JP"/>
          <w14:ligatures w14:val="standardContextual"/>
        </w:rPr>
        <w:t xml:space="preserve">) is the final judgment given in the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dispute between Australian designer, Katie Taylor, and US pop star, Katy Perry. The High Court allowed the appeal and affirmed that reputation under s 60 of the </w:t>
      </w:r>
      <w:proofErr w:type="gramStart"/>
      <w:r w:rsidRPr="002975AE">
        <w:rPr>
          <w:rFonts w:eastAsiaTheme="minorEastAsia"/>
          <w:i/>
          <w:iCs/>
          <w:color w:val="000000" w:themeColor="text1"/>
          <w:kern w:val="2"/>
          <w:lang w:eastAsia="ja-JP"/>
          <w14:ligatures w14:val="standardContextual"/>
        </w:rPr>
        <w:t>Trade Marks</w:t>
      </w:r>
      <w:proofErr w:type="gramEnd"/>
      <w:r w:rsidRPr="002975AE">
        <w:rPr>
          <w:rFonts w:eastAsiaTheme="minorEastAsia"/>
          <w:i/>
          <w:iCs/>
          <w:color w:val="000000" w:themeColor="text1"/>
          <w:kern w:val="2"/>
          <w:lang w:eastAsia="ja-JP"/>
          <w14:ligatures w14:val="standardContextual"/>
        </w:rPr>
        <w:t xml:space="preserve"> Act</w:t>
      </w:r>
      <w:r w:rsidRPr="002975AE">
        <w:rPr>
          <w:rFonts w:eastAsiaTheme="minorEastAsia"/>
          <w:color w:val="000000" w:themeColor="text1"/>
          <w:kern w:val="2"/>
          <w:lang w:eastAsia="ja-JP"/>
          <w14:ligatures w14:val="standardContextual"/>
        </w:rPr>
        <w:t xml:space="preserve"> </w:t>
      </w:r>
      <w:r w:rsidRPr="002975AE">
        <w:rPr>
          <w:rFonts w:eastAsiaTheme="minorEastAsia"/>
          <w:i/>
          <w:iCs/>
          <w:color w:val="000000" w:themeColor="text1"/>
          <w:kern w:val="2"/>
          <w:lang w:eastAsia="ja-JP"/>
          <w14:ligatures w14:val="standardContextual"/>
        </w:rPr>
        <w:t>1995</w:t>
      </w:r>
      <w:r w:rsidRPr="002975AE">
        <w:rPr>
          <w:rFonts w:eastAsiaTheme="minorEastAsia"/>
          <w:color w:val="000000" w:themeColor="text1"/>
          <w:kern w:val="2"/>
          <w:lang w:eastAsia="ja-JP"/>
          <w14:ligatures w14:val="standardContextual"/>
        </w:rPr>
        <w:t xml:space="preserve"> (Cth)</w:t>
      </w:r>
      <w:r w:rsidRPr="002975AE">
        <w:rPr>
          <w:rFonts w:eastAsiaTheme="minorEastAsia"/>
          <w:color w:val="000000" w:themeColor="text1"/>
          <w:kern w:val="2"/>
          <w:vertAlign w:val="superscript"/>
          <w:lang w:eastAsia="ja-JP"/>
          <w14:ligatures w14:val="standardContextual"/>
        </w:rPr>
        <w:footnoteReference w:id="1"/>
      </w:r>
      <w:r w:rsidRPr="002975AE">
        <w:rPr>
          <w:rFonts w:eastAsiaTheme="minorEastAsia"/>
          <w:color w:val="000000" w:themeColor="text1"/>
          <w:kern w:val="2"/>
          <w:lang w:eastAsia="ja-JP"/>
          <w14:ligatures w14:val="standardContextual"/>
        </w:rPr>
        <w:t xml:space="preserve"> (</w:t>
      </w:r>
      <w:r w:rsidRPr="002975AE">
        <w:rPr>
          <w:rFonts w:eastAsiaTheme="minorEastAsia"/>
          <w:b/>
          <w:bCs/>
          <w:color w:val="000000" w:themeColor="text1"/>
          <w:kern w:val="2"/>
          <w:lang w:eastAsia="ja-JP"/>
          <w14:ligatures w14:val="standardContextual"/>
        </w:rPr>
        <w:t>the TM Act</w:t>
      </w:r>
      <w:r w:rsidRPr="002975AE">
        <w:rPr>
          <w:rFonts w:eastAsiaTheme="minorEastAsia"/>
          <w:color w:val="000000" w:themeColor="text1"/>
          <w:kern w:val="2"/>
          <w:lang w:eastAsia="ja-JP"/>
          <w14:ligatures w14:val="standardContextual"/>
        </w:rPr>
        <w:t xml:space="preserve">) must relate to </w:t>
      </w:r>
      <w:proofErr w:type="gramStart"/>
      <w:r w:rsidRPr="002975AE">
        <w:rPr>
          <w:rFonts w:eastAsiaTheme="minorEastAsia"/>
          <w:color w:val="000000" w:themeColor="text1"/>
          <w:kern w:val="2"/>
          <w:lang w:eastAsia="ja-JP"/>
          <w14:ligatures w14:val="standardContextual"/>
        </w:rPr>
        <w:t>particular goods</w:t>
      </w:r>
      <w:proofErr w:type="gramEnd"/>
      <w:r w:rsidRPr="002975AE">
        <w:rPr>
          <w:rFonts w:eastAsiaTheme="minorEastAsia"/>
          <w:color w:val="000000" w:themeColor="text1"/>
          <w:kern w:val="2"/>
          <w:lang w:eastAsia="ja-JP"/>
          <w14:ligatures w14:val="standardContextual"/>
        </w:rPr>
        <w:t xml:space="preserve"> or services, and that personal reputation does not automatically constitute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reputation across all categories. </w:t>
      </w:r>
    </w:p>
    <w:p w14:paraId="3E7B2CAE" w14:textId="77777777" w:rsidR="00EA0D8F" w:rsidRPr="00EA0D8F" w:rsidRDefault="00EA0D8F" w:rsidP="00EA0D8F">
      <w:pPr>
        <w:spacing w:after="0" w:line="240" w:lineRule="auto"/>
        <w:rPr>
          <w:rFonts w:eastAsiaTheme="minorEastAsia"/>
          <w:color w:val="000000" w:themeColor="text1"/>
          <w:kern w:val="2"/>
          <w:sz w:val="21"/>
          <w:szCs w:val="21"/>
          <w:lang w:eastAsia="ja-JP"/>
          <w14:ligatures w14:val="standardContextual"/>
        </w:rPr>
      </w:pPr>
    </w:p>
    <w:p w14:paraId="0EBE09FD" w14:textId="2B09AA1B" w:rsidR="00EA0D8F" w:rsidRPr="00FD2438" w:rsidRDefault="00FD2438" w:rsidP="00FD2438">
      <w:pPr>
        <w:jc w:val="center"/>
        <w:outlineLvl w:val="0"/>
        <w:rPr>
          <w:b/>
          <w:bCs/>
          <w:color w:val="000000" w:themeColor="text1"/>
          <w:sz w:val="28"/>
          <w:szCs w:val="28"/>
        </w:rPr>
      </w:pPr>
      <w:r w:rsidRPr="00FD2438">
        <w:rPr>
          <w:b/>
          <w:bCs/>
          <w:color w:val="000000" w:themeColor="text1"/>
          <w:sz w:val="28"/>
          <w:szCs w:val="28"/>
        </w:rPr>
        <w:t xml:space="preserve">I </w:t>
      </w:r>
      <w:r>
        <w:rPr>
          <w:b/>
          <w:bCs/>
          <w:color w:val="000000" w:themeColor="text1"/>
          <w:sz w:val="28"/>
          <w:szCs w:val="28"/>
        </w:rPr>
        <w:t>FACTS</w:t>
      </w:r>
    </w:p>
    <w:p w14:paraId="2B91E4A3" w14:textId="77777777" w:rsidR="00EA0D8F" w:rsidRPr="002975AE" w:rsidRDefault="00EA0D8F" w:rsidP="00EA0D8F">
      <w:pPr>
        <w:spacing w:after="0" w:line="240" w:lineRule="auto"/>
        <w:jc w:val="both"/>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eastAsia="ja-JP"/>
          <w14:ligatures w14:val="standardContextual"/>
        </w:rPr>
        <w:t xml:space="preserve">In 2007, Katie Taylor (nee Perry) (henceforth referred to as </w:t>
      </w:r>
      <w:r w:rsidRPr="002975AE">
        <w:rPr>
          <w:rFonts w:eastAsiaTheme="minorEastAsia"/>
          <w:b/>
          <w:bCs/>
          <w:color w:val="000000" w:themeColor="text1"/>
          <w:kern w:val="2"/>
          <w:lang w:eastAsia="ja-JP"/>
          <w14:ligatures w14:val="standardContextual"/>
        </w:rPr>
        <w:t>Ms Taylor</w:t>
      </w:r>
      <w:r w:rsidRPr="002975AE">
        <w:rPr>
          <w:rFonts w:eastAsiaTheme="minorEastAsia"/>
          <w:color w:val="000000" w:themeColor="text1"/>
          <w:kern w:val="2"/>
          <w:lang w:eastAsia="ja-JP"/>
          <w14:ligatures w14:val="standardContextual"/>
        </w:rPr>
        <w:t xml:space="preserve">), established her clothing label under the name “Katie Perry”. Ms Taylor registered this as the domain name in </w:t>
      </w:r>
      <w:proofErr w:type="gramStart"/>
      <w:r w:rsidRPr="002975AE">
        <w:rPr>
          <w:rFonts w:eastAsiaTheme="minorEastAsia"/>
          <w:color w:val="000000" w:themeColor="text1"/>
          <w:kern w:val="2"/>
          <w:lang w:eastAsia="ja-JP"/>
          <w14:ligatures w14:val="standardContextual"/>
        </w:rPr>
        <w:t>May 2007, and</w:t>
      </w:r>
      <w:proofErr w:type="gramEnd"/>
      <w:r w:rsidRPr="002975AE">
        <w:rPr>
          <w:rFonts w:eastAsiaTheme="minorEastAsia"/>
          <w:color w:val="000000" w:themeColor="text1"/>
          <w:kern w:val="2"/>
          <w:lang w:eastAsia="ja-JP"/>
          <w14:ligatures w14:val="standardContextual"/>
        </w:rPr>
        <w:t xml:space="preserve"> sold clothing under the domain name from this period. </w:t>
      </w:r>
      <w:r w:rsidRPr="002975AE">
        <w:rPr>
          <w:rFonts w:eastAsiaTheme="minorEastAsia"/>
          <w:color w:val="000000" w:themeColor="text1"/>
          <w:kern w:val="2"/>
          <w:lang w:val="en-US" w:eastAsia="ja-JP"/>
          <w14:ligatures w14:val="standardContextual"/>
        </w:rPr>
        <w:t>On 29 September 2008, Ms Taylor applied to register the word mark “Katie Perry” in Class 25 (clothing), which became the Designer Mark.</w:t>
      </w:r>
    </w:p>
    <w:p w14:paraId="16FCFDC2" w14:textId="77777777" w:rsidR="00EA0D8F" w:rsidRPr="002975AE" w:rsidRDefault="00EA0D8F" w:rsidP="00EA0D8F">
      <w:pPr>
        <w:spacing w:after="0" w:line="240" w:lineRule="auto"/>
        <w:jc w:val="both"/>
        <w:rPr>
          <w:rFonts w:eastAsiaTheme="minorEastAsia"/>
          <w:color w:val="000000" w:themeColor="text1"/>
          <w:kern w:val="2"/>
          <w:lang w:val="en-US" w:eastAsia="ja-JP"/>
          <w14:ligatures w14:val="standardContextual"/>
        </w:rPr>
      </w:pPr>
    </w:p>
    <w:p w14:paraId="029FCC54" w14:textId="77777777" w:rsidR="00EA0D8F" w:rsidRPr="002975AE" w:rsidRDefault="00EA0D8F" w:rsidP="00EA0D8F">
      <w:pPr>
        <w:spacing w:after="0" w:line="240" w:lineRule="auto"/>
        <w:jc w:val="both"/>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t xml:space="preserve">Simultaneously, from 2002 onwards, Katheryn Hudson had performed under the stage name Katy Perry (henceforth referred to as </w:t>
      </w:r>
      <w:r w:rsidRPr="002975AE">
        <w:rPr>
          <w:rFonts w:eastAsiaTheme="minorEastAsia"/>
          <w:b/>
          <w:bCs/>
          <w:color w:val="000000" w:themeColor="text1"/>
          <w:kern w:val="2"/>
          <w:lang w:val="en-US" w:eastAsia="ja-JP"/>
          <w14:ligatures w14:val="standardContextual"/>
        </w:rPr>
        <w:t>Ms Hudson</w:t>
      </w:r>
      <w:r w:rsidRPr="002975AE">
        <w:rPr>
          <w:rFonts w:eastAsiaTheme="minorEastAsia"/>
          <w:color w:val="000000" w:themeColor="text1"/>
          <w:kern w:val="2"/>
          <w:lang w:val="en-US" w:eastAsia="ja-JP"/>
          <w14:ligatures w14:val="standardContextual"/>
        </w:rPr>
        <w:t xml:space="preserve">). Ms Hudson had garnered substantial recognition in Australia by September 2008 through musical song releases. </w:t>
      </w:r>
    </w:p>
    <w:p w14:paraId="476E659E" w14:textId="77777777" w:rsidR="00EA0D8F" w:rsidRPr="002975AE" w:rsidRDefault="00EA0D8F" w:rsidP="00EA0D8F">
      <w:pPr>
        <w:spacing w:after="0" w:line="240" w:lineRule="auto"/>
        <w:jc w:val="both"/>
        <w:rPr>
          <w:rFonts w:eastAsiaTheme="minorEastAsia"/>
          <w:color w:val="000000" w:themeColor="text1"/>
          <w:kern w:val="2"/>
          <w:lang w:val="en-US" w:eastAsia="ja-JP"/>
          <w14:ligatures w14:val="standardContextual"/>
        </w:rPr>
      </w:pPr>
    </w:p>
    <w:p w14:paraId="713D3397" w14:textId="77777777" w:rsidR="00EA0D8F" w:rsidRPr="002975AE" w:rsidRDefault="00EA0D8F" w:rsidP="00EA0D8F">
      <w:pPr>
        <w:spacing w:after="0" w:line="240" w:lineRule="auto"/>
        <w:jc w:val="both"/>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t xml:space="preserve">In mid-2009, Ms Hudson’s representatives were made aware of Ms Taylor’s </w:t>
      </w:r>
      <w:proofErr w:type="gramStart"/>
      <w:r w:rsidRPr="002975AE">
        <w:rPr>
          <w:rFonts w:eastAsiaTheme="minorEastAsia"/>
          <w:color w:val="000000" w:themeColor="text1"/>
          <w:kern w:val="2"/>
          <w:lang w:val="en-US" w:eastAsia="ja-JP"/>
          <w14:ligatures w14:val="standardContextual"/>
        </w:rPr>
        <w:t>trade mark</w:t>
      </w:r>
      <w:proofErr w:type="gramEnd"/>
      <w:r w:rsidRPr="002975AE">
        <w:rPr>
          <w:rFonts w:eastAsiaTheme="minorEastAsia"/>
          <w:color w:val="000000" w:themeColor="text1"/>
          <w:kern w:val="2"/>
          <w:lang w:val="en-US" w:eastAsia="ja-JP"/>
          <w14:ligatures w14:val="standardContextual"/>
        </w:rPr>
        <w:t xml:space="preserve">, and were </w:t>
      </w:r>
      <w:r w:rsidRPr="002975AE">
        <w:rPr>
          <w:rFonts w:eastAsiaTheme="minorEastAsia"/>
          <w:color w:val="000000" w:themeColor="text1"/>
          <w:kern w:val="2"/>
          <w:lang w:eastAsia="ja-JP"/>
          <w14:ligatures w14:val="standardContextual"/>
        </w:rPr>
        <w:t xml:space="preserve">concerned that the purpose of the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was to obtain an advantage based on Ms Hudson’s reputation. </w:t>
      </w:r>
      <w:r w:rsidRPr="002975AE">
        <w:rPr>
          <w:rFonts w:eastAsiaTheme="minorEastAsia"/>
          <w:color w:val="000000" w:themeColor="text1"/>
          <w:kern w:val="2"/>
          <w:lang w:val="en-US" w:eastAsia="ja-JP"/>
          <w14:ligatures w14:val="standardContextual"/>
        </w:rPr>
        <w:t xml:space="preserve">Subsequently, Ms Hudson’s representatives </w:t>
      </w:r>
      <w:r w:rsidRPr="002975AE">
        <w:rPr>
          <w:rFonts w:eastAsiaTheme="minorEastAsia"/>
          <w:color w:val="000000" w:themeColor="text1"/>
          <w:kern w:val="2"/>
          <w:lang w:eastAsia="ja-JP"/>
          <w14:ligatures w14:val="standardContextual"/>
        </w:rPr>
        <w:t xml:space="preserve">served correspondence upon Ms Taylor stating that she was to rescind her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application, cease using the name “Katie Perry” on clothing, and to abstain from using any similar name hereafter. Ms Hudson’s representatives offered settlement terms to coexist, which were refused by Ms Taylor.</w:t>
      </w:r>
    </w:p>
    <w:p w14:paraId="53F12CDA" w14:textId="77777777"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p>
    <w:p w14:paraId="665290EB" w14:textId="77777777"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r w:rsidRPr="002975AE">
        <w:rPr>
          <w:rFonts w:eastAsiaTheme="minorEastAsia"/>
          <w:color w:val="000000" w:themeColor="text1"/>
          <w:kern w:val="2"/>
          <w:lang w:eastAsia="ja-JP"/>
          <w14:ligatures w14:val="standardContextual"/>
        </w:rPr>
        <w:t xml:space="preserve">On 26 June 2009, Ms Hudson sought an Australian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for “Katy Perry” in Classes 9 and 41 (music-related goods and services). Ms Hudson also sought a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under Class 25 (clothing), but this was subject to an objection based on Ms Taylor’s earlier registration. As such, Ms Hudson deleted Class 25 from her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application.</w:t>
      </w:r>
    </w:p>
    <w:p w14:paraId="088E6C87" w14:textId="77777777"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p>
    <w:p w14:paraId="5AE632C2" w14:textId="77777777"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r w:rsidRPr="002975AE">
        <w:rPr>
          <w:rFonts w:eastAsiaTheme="minorEastAsia"/>
          <w:color w:val="000000" w:themeColor="text1"/>
          <w:kern w:val="2"/>
          <w:lang w:eastAsia="ja-JP"/>
          <w14:ligatures w14:val="standardContextual"/>
        </w:rPr>
        <w:t xml:space="preserve">However, she proceeded to sell Katy Perry-branded merchandise in Australia, including clothing, headgear and footwear. Ms Hudson and her representatives were aware of the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 xml:space="preserve"> infringement </w:t>
      </w:r>
      <w:proofErr w:type="gramStart"/>
      <w:r w:rsidRPr="002975AE">
        <w:rPr>
          <w:rFonts w:eastAsiaTheme="minorEastAsia"/>
          <w:color w:val="000000" w:themeColor="text1"/>
          <w:kern w:val="2"/>
          <w:lang w:eastAsia="ja-JP"/>
          <w14:ligatures w14:val="standardContextual"/>
        </w:rPr>
        <w:t>risk, but</w:t>
      </w:r>
      <w:proofErr w:type="gramEnd"/>
      <w:r w:rsidRPr="002975AE">
        <w:rPr>
          <w:rFonts w:eastAsiaTheme="minorEastAsia"/>
          <w:color w:val="000000" w:themeColor="text1"/>
          <w:kern w:val="2"/>
          <w:lang w:eastAsia="ja-JP"/>
          <w14:ligatures w14:val="standardContextual"/>
        </w:rPr>
        <w:t xml:space="preserve"> considered there was no risk of anyone in Australia being confused because of her earlier overseas adoption and stronger reputation in the mark. </w:t>
      </w:r>
    </w:p>
    <w:p w14:paraId="4C3633C3" w14:textId="77777777" w:rsidR="00EA0D8F" w:rsidRPr="002975AE" w:rsidRDefault="00EA0D8F" w:rsidP="00EA0D8F">
      <w:pPr>
        <w:spacing w:after="0" w:line="240" w:lineRule="auto"/>
        <w:jc w:val="both"/>
        <w:rPr>
          <w:rFonts w:eastAsiaTheme="minorEastAsia"/>
          <w:color w:val="000000" w:themeColor="text1"/>
          <w:kern w:val="2"/>
          <w:lang w:eastAsia="ja-JP"/>
          <w14:ligatures w14:val="standardContextual"/>
        </w:rPr>
      </w:pPr>
    </w:p>
    <w:p w14:paraId="204D6E81" w14:textId="5223A129" w:rsidR="00EA0D8F" w:rsidRPr="002975AE" w:rsidRDefault="00EA0D8F" w:rsidP="002975AE">
      <w:pPr>
        <w:spacing w:after="0" w:line="240" w:lineRule="auto"/>
        <w:jc w:val="both"/>
        <w:rPr>
          <w:rFonts w:eastAsiaTheme="minorEastAsia"/>
          <w:color w:val="000000" w:themeColor="text1"/>
          <w:kern w:val="2"/>
          <w:lang w:eastAsia="ja-JP"/>
          <w14:ligatures w14:val="standardContextual"/>
        </w:rPr>
      </w:pPr>
      <w:r w:rsidRPr="002975AE">
        <w:rPr>
          <w:rFonts w:eastAsiaTheme="minorEastAsia"/>
          <w:color w:val="000000" w:themeColor="text1"/>
          <w:kern w:val="2"/>
          <w:lang w:eastAsia="ja-JP"/>
          <w14:ligatures w14:val="standardContextual"/>
        </w:rPr>
        <w:t xml:space="preserve">In September 2019, Ms Taylor’s representatives served a letter of demand to Ms Hudson’s representatives. Following Ms Taylor’s subsequent lawsuit for infringement on 20 December 2019, Ms Hudson filed a </w:t>
      </w:r>
      <w:proofErr w:type="gramStart"/>
      <w:r w:rsidRPr="002975AE">
        <w:rPr>
          <w:rFonts w:eastAsiaTheme="minorEastAsia"/>
          <w:color w:val="000000" w:themeColor="text1"/>
          <w:kern w:val="2"/>
          <w:lang w:eastAsia="ja-JP"/>
          <w14:ligatures w14:val="standardContextual"/>
        </w:rPr>
        <w:t>cross-claim</w:t>
      </w:r>
      <w:proofErr w:type="gramEnd"/>
      <w:r w:rsidRPr="002975AE">
        <w:rPr>
          <w:rFonts w:eastAsiaTheme="minorEastAsia"/>
          <w:color w:val="000000" w:themeColor="text1"/>
          <w:kern w:val="2"/>
          <w:lang w:eastAsia="ja-JP"/>
          <w14:ligatures w14:val="standardContextual"/>
        </w:rPr>
        <w:t xml:space="preserve"> seeking to rectify the register and cancel the “Katie Perry” </w:t>
      </w:r>
      <w:proofErr w:type="gramStart"/>
      <w:r w:rsidRPr="002975AE">
        <w:rPr>
          <w:rFonts w:eastAsiaTheme="minorEastAsia"/>
          <w:color w:val="000000" w:themeColor="text1"/>
          <w:kern w:val="2"/>
          <w:lang w:eastAsia="ja-JP"/>
          <w14:ligatures w14:val="standardContextual"/>
        </w:rPr>
        <w:t>trade mark</w:t>
      </w:r>
      <w:proofErr w:type="gramEnd"/>
      <w:r w:rsidRPr="002975AE">
        <w:rPr>
          <w:rFonts w:eastAsiaTheme="minorEastAsia"/>
          <w:color w:val="000000" w:themeColor="text1"/>
          <w:kern w:val="2"/>
          <w:lang w:eastAsia="ja-JP"/>
          <w14:ligatures w14:val="standardContextual"/>
        </w:rPr>
        <w:t>.</w:t>
      </w:r>
    </w:p>
    <w:p w14:paraId="559512DE" w14:textId="77777777" w:rsidR="00EA0D8F" w:rsidRPr="002975AE" w:rsidRDefault="00EA0D8F" w:rsidP="00EA0D8F">
      <w:pPr>
        <w:spacing w:after="0" w:line="240" w:lineRule="auto"/>
        <w:rPr>
          <w:rFonts w:eastAsiaTheme="minorEastAsia"/>
          <w:color w:val="000000" w:themeColor="text1"/>
          <w:kern w:val="2"/>
          <w:lang w:eastAsia="ja-JP"/>
          <w14:ligatures w14:val="standardContextual"/>
        </w:rPr>
      </w:pPr>
    </w:p>
    <w:p w14:paraId="04DCD03A" w14:textId="520BE631" w:rsidR="00EA0D8F" w:rsidRPr="00460624" w:rsidRDefault="00460624" w:rsidP="00460624">
      <w:pPr>
        <w:jc w:val="center"/>
        <w:outlineLvl w:val="0"/>
        <w:rPr>
          <w:b/>
          <w:bCs/>
          <w:color w:val="000000" w:themeColor="text1"/>
          <w:sz w:val="28"/>
          <w:szCs w:val="28"/>
        </w:rPr>
      </w:pPr>
      <w:r w:rsidRPr="00460624">
        <w:rPr>
          <w:b/>
          <w:bCs/>
          <w:color w:val="000000" w:themeColor="text1"/>
          <w:sz w:val="28"/>
          <w:szCs w:val="28"/>
        </w:rPr>
        <w:t>I</w:t>
      </w:r>
      <w:r>
        <w:rPr>
          <w:b/>
          <w:bCs/>
          <w:color w:val="000000" w:themeColor="text1"/>
          <w:sz w:val="28"/>
          <w:szCs w:val="28"/>
        </w:rPr>
        <w:t>I ISSUES BEFORE THE COURT</w:t>
      </w:r>
    </w:p>
    <w:p w14:paraId="262D02DC" w14:textId="77777777" w:rsidR="00EA0D8F" w:rsidRPr="002975AE" w:rsidRDefault="00EA0D8F" w:rsidP="00EA0D8F">
      <w:pPr>
        <w:spacing w:after="0" w:line="240" w:lineRule="auto"/>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t xml:space="preserve">The High Court provided three central issues for </w:t>
      </w:r>
      <w:proofErr w:type="gramStart"/>
      <w:r w:rsidRPr="002975AE">
        <w:rPr>
          <w:rFonts w:eastAsiaTheme="minorEastAsia"/>
          <w:color w:val="000000" w:themeColor="text1"/>
          <w:kern w:val="2"/>
          <w:lang w:val="en-US" w:eastAsia="ja-JP"/>
          <w14:ligatures w14:val="standardContextual"/>
        </w:rPr>
        <w:t>determination;</w:t>
      </w:r>
      <w:proofErr w:type="gramEnd"/>
    </w:p>
    <w:p w14:paraId="27D377D5" w14:textId="77777777" w:rsidR="00EA0D8F" w:rsidRPr="002975AE" w:rsidRDefault="00EA0D8F" w:rsidP="00EA0D8F">
      <w:pPr>
        <w:numPr>
          <w:ilvl w:val="0"/>
          <w:numId w:val="2"/>
        </w:numPr>
        <w:spacing w:after="0" w:line="240" w:lineRule="auto"/>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t xml:space="preserve">Whether, under s 88(2)(a) read with s 60, the use of Ms Taylor’s Mark at the priority date (29 September 2008) would be likely to deceive or cause confusion because of the reputation of Ms Hudson’s Mark, </w:t>
      </w:r>
    </w:p>
    <w:p w14:paraId="76A8EBE9" w14:textId="77777777" w:rsidR="00EA0D8F" w:rsidRPr="002975AE" w:rsidRDefault="00EA0D8F" w:rsidP="00EA0D8F">
      <w:pPr>
        <w:numPr>
          <w:ilvl w:val="0"/>
          <w:numId w:val="2"/>
        </w:numPr>
        <w:spacing w:after="0" w:line="240" w:lineRule="auto"/>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lastRenderedPageBreak/>
        <w:t xml:space="preserve">Whether, under s 88(2)(c), the use of Ms Taylor’s Mark was likely to deceive or cause confusion because of the circumstances applying as </w:t>
      </w:r>
      <w:proofErr w:type="gramStart"/>
      <w:r w:rsidRPr="002975AE">
        <w:rPr>
          <w:rFonts w:eastAsiaTheme="minorEastAsia"/>
          <w:color w:val="000000" w:themeColor="text1"/>
          <w:kern w:val="2"/>
          <w:lang w:val="en-US" w:eastAsia="ja-JP"/>
          <w14:ligatures w14:val="standardContextual"/>
        </w:rPr>
        <w:t>at</w:t>
      </w:r>
      <w:proofErr w:type="gramEnd"/>
      <w:r w:rsidRPr="002975AE">
        <w:rPr>
          <w:rFonts w:eastAsiaTheme="minorEastAsia"/>
          <w:color w:val="000000" w:themeColor="text1"/>
          <w:kern w:val="2"/>
          <w:lang w:val="en-US" w:eastAsia="ja-JP"/>
          <w14:ligatures w14:val="standardContextual"/>
        </w:rPr>
        <w:t xml:space="preserve"> 20 December 2019 (the date the rectification application was filed), and</w:t>
      </w:r>
    </w:p>
    <w:p w14:paraId="496F3910" w14:textId="77777777" w:rsidR="00EA0D8F" w:rsidRPr="002975AE" w:rsidRDefault="00EA0D8F" w:rsidP="00EA0D8F">
      <w:pPr>
        <w:numPr>
          <w:ilvl w:val="0"/>
          <w:numId w:val="2"/>
        </w:numPr>
        <w:spacing w:after="0" w:line="240" w:lineRule="auto"/>
        <w:rPr>
          <w:rFonts w:eastAsiaTheme="minorEastAsia"/>
          <w:color w:val="000000" w:themeColor="text1"/>
          <w:kern w:val="2"/>
          <w:lang w:val="en-US" w:eastAsia="ja-JP"/>
          <w14:ligatures w14:val="standardContextual"/>
        </w:rPr>
      </w:pPr>
      <w:r w:rsidRPr="002975AE">
        <w:rPr>
          <w:rFonts w:eastAsiaTheme="minorEastAsia"/>
          <w:color w:val="000000" w:themeColor="text1"/>
          <w:kern w:val="2"/>
          <w:lang w:val="en-US" w:eastAsia="ja-JP"/>
          <w14:ligatures w14:val="standardContextual"/>
        </w:rPr>
        <w:t xml:space="preserve">Whether, if either ground was established, the discretion in s 89 was enlivened. </w:t>
      </w:r>
    </w:p>
    <w:p w14:paraId="4AECF88C" w14:textId="77777777" w:rsidR="00EA0D8F" w:rsidRPr="002975AE" w:rsidRDefault="00EA0D8F" w:rsidP="00EA0D8F">
      <w:pPr>
        <w:spacing w:after="0" w:line="240" w:lineRule="auto"/>
        <w:rPr>
          <w:rFonts w:eastAsiaTheme="minorEastAsia"/>
          <w:color w:val="000000" w:themeColor="text1"/>
          <w:kern w:val="2"/>
          <w:lang w:eastAsia="ja-JP"/>
          <w14:ligatures w14:val="standardContextual"/>
        </w:rPr>
      </w:pPr>
    </w:p>
    <w:p w14:paraId="59B2ED89" w14:textId="5D5E865C" w:rsidR="00460624" w:rsidRPr="00460624" w:rsidRDefault="00460624" w:rsidP="00460624">
      <w:pPr>
        <w:jc w:val="center"/>
        <w:outlineLvl w:val="0"/>
        <w:rPr>
          <w:b/>
          <w:bCs/>
          <w:color w:val="000000" w:themeColor="text1"/>
          <w:sz w:val="28"/>
          <w:szCs w:val="28"/>
        </w:rPr>
      </w:pPr>
      <w:r>
        <w:rPr>
          <w:b/>
          <w:bCs/>
          <w:color w:val="000000" w:themeColor="text1"/>
          <w:sz w:val="28"/>
          <w:szCs w:val="28"/>
        </w:rPr>
        <w:t>III HIGH COURT’S JUDGEMENT</w:t>
      </w:r>
    </w:p>
    <w:p w14:paraId="4C66714F"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Gordon A-CJ and Beech-Jones J would have dismissed the appeal, agreeing with the Full Court that both grounds for rectification were established and that the discretion under s 89 was not enlivened. On the s 60, their Honours accepted that Ms Hudson’s Mark had acquired a reputation in Australia before the priority date in relation to music and entertainment, based on the significant chart success of Ms Hudson’s singles and album, extensive media coverage, and the inference that the album had achieved “gold” status by 15 October 2008.</w:t>
      </w:r>
      <w:r w:rsidRPr="00071415">
        <w:rPr>
          <w:rFonts w:eastAsiaTheme="minorEastAsia"/>
          <w:color w:val="000000" w:themeColor="text1"/>
          <w:kern w:val="2"/>
          <w:vertAlign w:val="superscript"/>
          <w:lang w:eastAsia="ja-JP"/>
          <w14:ligatures w14:val="standardContextual"/>
        </w:rPr>
        <w:t xml:space="preserve"> </w:t>
      </w:r>
      <w:r w:rsidRPr="00071415">
        <w:rPr>
          <w:rFonts w:eastAsiaTheme="minorEastAsia"/>
          <w:color w:val="000000" w:themeColor="text1"/>
          <w:kern w:val="2"/>
          <w:vertAlign w:val="superscript"/>
          <w:lang w:eastAsia="ja-JP"/>
          <w14:ligatures w14:val="standardContextual"/>
        </w:rPr>
        <w:footnoteReference w:id="2"/>
      </w:r>
      <w:r w:rsidRPr="00071415">
        <w:rPr>
          <w:rFonts w:eastAsiaTheme="minorEastAsia"/>
          <w:color w:val="000000" w:themeColor="text1"/>
          <w:kern w:val="2"/>
          <w:lang w:eastAsia="ja-JP"/>
          <w14:ligatures w14:val="standardContextual"/>
        </w:rPr>
        <w:t xml:space="preserve"> They held that the use of Ms Taylor’s Mark would be likely to deceive or cause confusion because of the similarity of the marks and the “commonly accepted practice of pop stars selling merchandise including clothing”.</w:t>
      </w:r>
      <w:r w:rsidRPr="00071415">
        <w:rPr>
          <w:rFonts w:eastAsiaTheme="minorEastAsia"/>
          <w:color w:val="000000" w:themeColor="text1"/>
          <w:kern w:val="2"/>
          <w:vertAlign w:val="superscript"/>
          <w:lang w:eastAsia="ja-JP"/>
          <w14:ligatures w14:val="standardContextual"/>
        </w:rPr>
        <w:footnoteReference w:id="3"/>
      </w:r>
      <w:r w:rsidRPr="00071415">
        <w:rPr>
          <w:rFonts w:eastAsiaTheme="minorEastAsia"/>
          <w:color w:val="000000" w:themeColor="text1"/>
          <w:kern w:val="2"/>
          <w:lang w:eastAsia="ja-JP"/>
          <w14:ligatures w14:val="standardContextual"/>
        </w:rPr>
        <w:t xml:space="preserve"> Their Honours emphasised that evidence of actual confusion is not required; the question is whether there is a “real, tangible danger” of deception or confusion.</w:t>
      </w:r>
      <w:r w:rsidRPr="00071415">
        <w:rPr>
          <w:rFonts w:eastAsiaTheme="minorEastAsia"/>
          <w:color w:val="000000" w:themeColor="text1"/>
          <w:kern w:val="2"/>
          <w:vertAlign w:val="superscript"/>
          <w:lang w:eastAsia="ja-JP"/>
          <w14:ligatures w14:val="standardContextual"/>
        </w:rPr>
        <w:footnoteReference w:id="4"/>
      </w:r>
    </w:p>
    <w:p w14:paraId="1115C569"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
    <w:p w14:paraId="0B4308DE"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On s 88(2)(c), Gordon A-CJ and Beech-Jones J held that the inquiry is necessarily directed to the notional normal and fair use of the mark, not its actual use.</w:t>
      </w:r>
      <w:r w:rsidRPr="00071415">
        <w:rPr>
          <w:rFonts w:eastAsiaTheme="minorEastAsia"/>
          <w:color w:val="000000" w:themeColor="text1"/>
          <w:kern w:val="2"/>
          <w:vertAlign w:val="superscript"/>
          <w:lang w:eastAsia="ja-JP"/>
          <w14:ligatures w14:val="standardContextual"/>
        </w:rPr>
        <w:footnoteReference w:id="5"/>
      </w:r>
      <w:r w:rsidRPr="00071415">
        <w:rPr>
          <w:rFonts w:eastAsiaTheme="minorEastAsia"/>
          <w:color w:val="000000" w:themeColor="text1"/>
          <w:kern w:val="2"/>
          <w:lang w:eastAsia="ja-JP"/>
          <w14:ligatures w14:val="standardContextual"/>
        </w:rPr>
        <w:t xml:space="preserve"> The statutory monopoly conferred by registration extends to all goods within the specification, and the registered owner's failure to exploit the monopoly fully cannot limit the scope of the inquiry.</w:t>
      </w:r>
      <w:r w:rsidRPr="00071415">
        <w:rPr>
          <w:rFonts w:eastAsiaTheme="minorEastAsia"/>
          <w:color w:val="000000" w:themeColor="text1"/>
          <w:kern w:val="2"/>
          <w:vertAlign w:val="superscript"/>
          <w:lang w:eastAsia="ja-JP"/>
          <w14:ligatures w14:val="standardContextual"/>
        </w:rPr>
        <w:footnoteReference w:id="6"/>
      </w:r>
      <w:r w:rsidRPr="00071415">
        <w:rPr>
          <w:rFonts w:eastAsiaTheme="minorEastAsia"/>
          <w:color w:val="000000" w:themeColor="text1"/>
          <w:kern w:val="2"/>
          <w:lang w:eastAsia="ja-JP"/>
          <w14:ligatures w14:val="standardContextual"/>
        </w:rPr>
        <w:t xml:space="preserve"> By 20 December 2019, Ms Hudson had achieved international stardom and her mark had a significant reputation, including in relation to clothing merchandise, such that the likelihood of deception or confusion was even greater than at the priority date.</w:t>
      </w:r>
      <w:r w:rsidRPr="00071415">
        <w:rPr>
          <w:rFonts w:eastAsiaTheme="minorEastAsia"/>
          <w:color w:val="000000" w:themeColor="text1"/>
          <w:kern w:val="2"/>
          <w:vertAlign w:val="superscript"/>
          <w:lang w:eastAsia="ja-JP"/>
          <w14:ligatures w14:val="standardContextual"/>
        </w:rPr>
        <w:footnoteReference w:id="7"/>
      </w:r>
      <w:r w:rsidRPr="00071415">
        <w:rPr>
          <w:rFonts w:eastAsiaTheme="minorEastAsia"/>
          <w:color w:val="000000" w:themeColor="text1"/>
          <w:kern w:val="2"/>
          <w:lang w:eastAsia="ja-JP"/>
          <w14:ligatures w14:val="standardContextual"/>
        </w:rPr>
        <w:t xml:space="preserve"> The absence of evidence of actual confusion did not detract from this conclusion, given Ms Taylor’s very modest business presence.</w:t>
      </w:r>
      <w:r w:rsidRPr="00071415">
        <w:rPr>
          <w:rFonts w:eastAsiaTheme="minorEastAsia"/>
          <w:color w:val="000000" w:themeColor="text1"/>
          <w:kern w:val="2"/>
          <w:vertAlign w:val="superscript"/>
          <w:lang w:eastAsia="ja-JP"/>
          <w14:ligatures w14:val="standardContextual"/>
        </w:rPr>
        <w:footnoteReference w:id="8"/>
      </w:r>
      <w:r w:rsidRPr="00071415">
        <w:rPr>
          <w:rFonts w:eastAsiaTheme="minorEastAsia"/>
          <w:color w:val="000000" w:themeColor="text1"/>
          <w:kern w:val="2"/>
          <w:lang w:eastAsia="ja-JP"/>
          <w14:ligatures w14:val="standardContextual"/>
        </w:rPr>
        <w:t xml:space="preserve"> On the s 89 discretion, their Honours held that the word “act” does not require blameworthy conduct; something more than the mere act of registration is required, but the inquiry is whether the registered owner's conduct caused or substantially contributed to the ground arising.</w:t>
      </w:r>
      <w:r w:rsidRPr="00071415">
        <w:rPr>
          <w:rFonts w:eastAsiaTheme="minorEastAsia"/>
          <w:color w:val="000000" w:themeColor="text1"/>
          <w:kern w:val="2"/>
          <w:vertAlign w:val="superscript"/>
          <w:lang w:eastAsia="ja-JP"/>
          <w14:ligatures w14:val="standardContextual"/>
        </w:rPr>
        <w:footnoteReference w:id="9"/>
      </w:r>
      <w:r w:rsidRPr="00071415">
        <w:rPr>
          <w:rFonts w:eastAsiaTheme="minorEastAsia"/>
          <w:color w:val="000000" w:themeColor="text1"/>
          <w:kern w:val="2"/>
          <w:lang w:eastAsia="ja-JP"/>
          <w14:ligatures w14:val="standardContextual"/>
        </w:rPr>
        <w:t xml:space="preserve"> As at the priority date, Ms Taylor’s act of applying for registration with knowledge of Ms Hudson, her reputation, and the common practice of pop stars selling merchandise substantially contributed to the ground under s 88(2)(a).</w:t>
      </w:r>
      <w:r w:rsidRPr="00071415">
        <w:rPr>
          <w:rFonts w:eastAsiaTheme="minorEastAsia"/>
          <w:color w:val="000000" w:themeColor="text1"/>
          <w:kern w:val="2"/>
          <w:vertAlign w:val="superscript"/>
          <w:lang w:eastAsia="ja-JP"/>
          <w14:ligatures w14:val="standardContextual"/>
        </w:rPr>
        <w:footnoteReference w:id="10"/>
      </w:r>
      <w:r w:rsidRPr="00071415">
        <w:rPr>
          <w:rFonts w:eastAsiaTheme="minorEastAsia"/>
          <w:color w:val="000000" w:themeColor="text1"/>
          <w:kern w:val="2"/>
          <w:lang w:eastAsia="ja-JP"/>
          <w14:ligatures w14:val="standardContextual"/>
        </w:rPr>
        <w:t xml:space="preserve"> As at 20 December 2019, additional acts or faults included Ms Taylor’s encouragement of the association between herself and Ms Hudson through social media posts referencing the pop star, and her failure to enforce her statutory monopoly for over ten years.</w:t>
      </w:r>
      <w:r w:rsidRPr="00071415">
        <w:rPr>
          <w:rFonts w:eastAsiaTheme="minorEastAsia"/>
          <w:color w:val="000000" w:themeColor="text1"/>
          <w:kern w:val="2"/>
          <w:vertAlign w:val="superscript"/>
          <w:lang w:eastAsia="ja-JP"/>
          <w14:ligatures w14:val="standardContextual"/>
        </w:rPr>
        <w:footnoteReference w:id="11"/>
      </w:r>
      <w:r w:rsidRPr="00071415">
        <w:rPr>
          <w:rFonts w:eastAsiaTheme="minorEastAsia"/>
          <w:color w:val="000000" w:themeColor="text1"/>
          <w:kern w:val="2"/>
          <w:lang w:eastAsia="ja-JP"/>
          <w14:ligatures w14:val="standardContextual"/>
        </w:rPr>
        <w:t xml:space="preserve"> The discretion was therefore not enlivened.</w:t>
      </w:r>
    </w:p>
    <w:p w14:paraId="25B7D736"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
    <w:p w14:paraId="18C7ECB0"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Steward J agreed generally with </w:t>
      </w: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 that the grounds for rectification were not </w:t>
      </w:r>
      <w:proofErr w:type="gramStart"/>
      <w:r w:rsidRPr="00071415">
        <w:rPr>
          <w:rFonts w:eastAsiaTheme="minorEastAsia"/>
          <w:color w:val="000000" w:themeColor="text1"/>
          <w:kern w:val="2"/>
          <w:lang w:eastAsia="ja-JP"/>
          <w14:ligatures w14:val="standardContextual"/>
        </w:rPr>
        <w:t>established, but</w:t>
      </w:r>
      <w:proofErr w:type="gramEnd"/>
      <w:r w:rsidRPr="00071415">
        <w:rPr>
          <w:rFonts w:eastAsiaTheme="minorEastAsia"/>
          <w:color w:val="000000" w:themeColor="text1"/>
          <w:kern w:val="2"/>
          <w:lang w:eastAsia="ja-JP"/>
          <w14:ligatures w14:val="standardContextual"/>
        </w:rPr>
        <w:t xml:space="preserve"> provided an additional and independent reason for rejecting the s 88(2)(c) ground. Even assuming a likelihood of deception or confusion existed by 2019, it would have been the product of Ms Hudson’s </w:t>
      </w:r>
      <w:r w:rsidRPr="00071415">
        <w:rPr>
          <w:rFonts w:eastAsiaTheme="minorEastAsia"/>
          <w:color w:val="000000" w:themeColor="text1"/>
          <w:kern w:val="2"/>
          <w:lang w:eastAsia="ja-JP"/>
          <w14:ligatures w14:val="standardContextual"/>
        </w:rPr>
        <w:lastRenderedPageBreak/>
        <w:t>own persistent infringement of Ms Taylor’s registered mark.</w:t>
      </w:r>
      <w:r w:rsidRPr="00071415">
        <w:rPr>
          <w:rFonts w:eastAsiaTheme="minorEastAsia"/>
          <w:color w:val="000000" w:themeColor="text1"/>
          <w:kern w:val="2"/>
          <w:vertAlign w:val="superscript"/>
          <w:lang w:eastAsia="ja-JP"/>
          <w14:ligatures w14:val="standardContextual"/>
        </w:rPr>
        <w:footnoteReference w:id="12"/>
      </w:r>
      <w:r w:rsidRPr="00071415">
        <w:rPr>
          <w:rFonts w:eastAsiaTheme="minorEastAsia"/>
          <w:color w:val="000000" w:themeColor="text1"/>
          <w:kern w:val="2"/>
          <w:lang w:eastAsia="ja-JP"/>
          <w14:ligatures w14:val="standardContextual"/>
        </w:rPr>
        <w:t xml:space="preserve"> Steward J characterised Ms Hudson’s conduct as that of an “assiduous infringer”.</w:t>
      </w:r>
      <w:r w:rsidRPr="00071415">
        <w:rPr>
          <w:rFonts w:eastAsiaTheme="minorEastAsia"/>
          <w:color w:val="000000" w:themeColor="text1"/>
          <w:kern w:val="2"/>
          <w:vertAlign w:val="superscript"/>
          <w:lang w:eastAsia="ja-JP"/>
          <w14:ligatures w14:val="standardContextual"/>
        </w:rPr>
        <w:footnoteReference w:id="13"/>
      </w:r>
      <w:r w:rsidRPr="00071415">
        <w:rPr>
          <w:rFonts w:eastAsiaTheme="minorEastAsia"/>
          <w:color w:val="000000" w:themeColor="text1"/>
          <w:kern w:val="2"/>
          <w:lang w:eastAsia="ja-JP"/>
          <w14:ligatures w14:val="standardContextual"/>
        </w:rPr>
        <w:t xml:space="preserve"> The respondents had sold "Katy Perry" branded clothing in Australia from 2009 onwards, with full knowledge of Ms Taylor’s registered mark and in circumstances where Ms Hudson had voluntarily excluded class 25 goods from her own trade mark registration.</w:t>
      </w:r>
      <w:r w:rsidRPr="00071415">
        <w:rPr>
          <w:rFonts w:eastAsiaTheme="minorEastAsia"/>
          <w:color w:val="000000" w:themeColor="text1"/>
          <w:kern w:val="2"/>
          <w:vertAlign w:val="superscript"/>
          <w:lang w:eastAsia="ja-JP"/>
          <w14:ligatures w14:val="standardContextual"/>
        </w:rPr>
        <w:footnoteReference w:id="14"/>
      </w:r>
      <w:r w:rsidRPr="00071415">
        <w:rPr>
          <w:rFonts w:eastAsiaTheme="minorEastAsia"/>
          <w:color w:val="000000" w:themeColor="text1"/>
          <w:kern w:val="2"/>
          <w:lang w:eastAsia="ja-JP"/>
          <w14:ligatures w14:val="standardContextual"/>
        </w:rPr>
        <w:t xml:space="preserve"> Steward J held that it would be an “extraordinary result” for s 88(2)(c) to permit an applicant for rectification to rely on a likelihood of confusion that was itself the product of their own wrongful conduct.</w:t>
      </w:r>
      <w:r w:rsidRPr="00071415">
        <w:rPr>
          <w:rFonts w:eastAsiaTheme="minorEastAsia"/>
          <w:color w:val="000000" w:themeColor="text1"/>
          <w:kern w:val="2"/>
          <w:vertAlign w:val="superscript"/>
          <w:lang w:eastAsia="ja-JP"/>
          <w14:ligatures w14:val="standardContextual"/>
        </w:rPr>
        <w:footnoteReference w:id="15"/>
      </w:r>
      <w:r w:rsidRPr="00071415">
        <w:rPr>
          <w:rFonts w:eastAsiaTheme="minorEastAsia"/>
          <w:color w:val="000000" w:themeColor="text1"/>
          <w:kern w:val="2"/>
          <w:lang w:eastAsia="ja-JP"/>
          <w14:ligatures w14:val="standardContextual"/>
        </w:rPr>
        <w:t xml:space="preserve"> The phrase “likely to deceive or cause confusion” in s 88(2)(c) must be construed in a restricted way so as not to include deception or confusion caused by the infringing conduct of the applicant for rectification.</w:t>
      </w:r>
      <w:r w:rsidRPr="00071415">
        <w:rPr>
          <w:rFonts w:eastAsiaTheme="minorEastAsia"/>
          <w:color w:val="000000" w:themeColor="text1"/>
          <w:kern w:val="2"/>
          <w:vertAlign w:val="superscript"/>
          <w:lang w:eastAsia="ja-JP"/>
          <w14:ligatures w14:val="standardContextual"/>
        </w:rPr>
        <w:footnoteReference w:id="16"/>
      </w:r>
      <w:r w:rsidRPr="00071415">
        <w:rPr>
          <w:rFonts w:eastAsiaTheme="minorEastAsia"/>
          <w:color w:val="000000" w:themeColor="text1"/>
          <w:kern w:val="2"/>
          <w:lang w:eastAsia="ja-JP"/>
          <w14:ligatures w14:val="standardContextual"/>
        </w:rPr>
        <w:t xml:space="preserve"> Section 89 does not address this situation, as it is directed to the conduct of the registered proprietor rather than that of an assiduous infringer.</w:t>
      </w:r>
      <w:r w:rsidRPr="00071415">
        <w:rPr>
          <w:rFonts w:eastAsiaTheme="minorEastAsia"/>
          <w:color w:val="000000" w:themeColor="text1"/>
          <w:kern w:val="2"/>
          <w:vertAlign w:val="superscript"/>
          <w:lang w:eastAsia="ja-JP"/>
          <w14:ligatures w14:val="standardContextual"/>
        </w:rPr>
        <w:footnoteReference w:id="17"/>
      </w:r>
    </w:p>
    <w:p w14:paraId="48CFED02"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
    <w:p w14:paraId="6BC45418"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Gleeson J agreed that the appeal should be allowed and that orders should be made in the terms proposed by </w:t>
      </w: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w:t>
      </w:r>
      <w:r w:rsidRPr="00071415">
        <w:rPr>
          <w:rFonts w:eastAsiaTheme="minorEastAsia"/>
          <w:color w:val="000000" w:themeColor="text1"/>
          <w:kern w:val="2"/>
          <w:vertAlign w:val="superscript"/>
          <w:lang w:eastAsia="ja-JP"/>
          <w14:ligatures w14:val="standardContextual"/>
        </w:rPr>
        <w:footnoteReference w:id="18"/>
      </w:r>
      <w:r w:rsidRPr="00071415">
        <w:rPr>
          <w:rFonts w:eastAsiaTheme="minorEastAsia"/>
          <w:color w:val="000000" w:themeColor="text1"/>
          <w:kern w:val="2"/>
          <w:lang w:eastAsia="ja-JP"/>
          <w14:ligatures w14:val="standardContextual"/>
        </w:rPr>
        <w:t xml:space="preserve"> The Full Court had wrongly conflated the reputation of the “Katy Perry” mark as a trade mark with the personal reputation of Katy Perry as an individual, and had incorrectly treated the mark as having a “reputation in clothes” despite the absence of any use in respect of clothing before the priority date.</w:t>
      </w:r>
      <w:r w:rsidRPr="00071415">
        <w:rPr>
          <w:rFonts w:eastAsiaTheme="minorEastAsia"/>
          <w:color w:val="000000" w:themeColor="text1"/>
          <w:kern w:val="2"/>
          <w:vertAlign w:val="superscript"/>
          <w:lang w:eastAsia="ja-JP"/>
          <w14:ligatures w14:val="standardContextual"/>
        </w:rPr>
        <w:footnoteReference w:id="19"/>
      </w:r>
      <w:r w:rsidRPr="00071415">
        <w:rPr>
          <w:rFonts w:eastAsiaTheme="minorEastAsia"/>
          <w:color w:val="000000" w:themeColor="text1"/>
          <w:kern w:val="2"/>
          <w:lang w:eastAsia="ja-JP"/>
          <w14:ligatures w14:val="standardContextual"/>
        </w:rPr>
        <w:t xml:space="preserve"> Gleeson J held that the reputation of Ms Hudson’s Mark before the priority date was in respect of pop music concerts and pop music, not clothing.</w:t>
      </w:r>
      <w:r w:rsidRPr="00071415">
        <w:rPr>
          <w:rFonts w:eastAsiaTheme="minorEastAsia"/>
          <w:color w:val="000000" w:themeColor="text1"/>
          <w:kern w:val="2"/>
          <w:vertAlign w:val="superscript"/>
          <w:lang w:eastAsia="ja-JP"/>
          <w14:ligatures w14:val="standardContextual"/>
        </w:rPr>
        <w:footnoteReference w:id="20"/>
      </w:r>
      <w:r w:rsidRPr="00071415">
        <w:rPr>
          <w:rFonts w:eastAsiaTheme="minorEastAsia"/>
          <w:color w:val="000000" w:themeColor="text1"/>
          <w:kern w:val="2"/>
          <w:lang w:eastAsia="ja-JP"/>
          <w14:ligatures w14:val="standardContextual"/>
        </w:rPr>
        <w:t xml:space="preserve"> Applying the notional normal and fair use test, an ordinary customer who was aware of Ms Hudson’s Mark would expect clothes connected to that mark to convey an association with Katy Perry as a pop star and would dismiss the possibility of a shared trade source where clothes were not sold in a context identifying such an association.</w:t>
      </w:r>
      <w:r w:rsidRPr="00071415">
        <w:rPr>
          <w:rFonts w:eastAsiaTheme="minorEastAsia"/>
          <w:color w:val="000000" w:themeColor="text1"/>
          <w:kern w:val="2"/>
          <w:vertAlign w:val="superscript"/>
          <w:lang w:eastAsia="ja-JP"/>
          <w14:ligatures w14:val="standardContextual"/>
        </w:rPr>
        <w:footnoteReference w:id="21"/>
      </w:r>
      <w:r w:rsidRPr="00071415">
        <w:rPr>
          <w:rFonts w:eastAsiaTheme="minorEastAsia"/>
          <w:color w:val="000000" w:themeColor="text1"/>
          <w:kern w:val="2"/>
          <w:lang w:eastAsia="ja-JP"/>
          <w14:ligatures w14:val="standardContextual"/>
        </w:rPr>
        <w:t xml:space="preserve"> The likelihood of confusion was therefore remote. On s 88(2)(c), Gleeson J agreed that the test applies to notional use, but found that the increased recognition of Katy Perry and Ms Hudson’s Mark by 2019 did not establish the likelihood of confusion for the same reasons as under s 60.</w:t>
      </w:r>
      <w:r w:rsidRPr="00071415">
        <w:rPr>
          <w:rFonts w:eastAsiaTheme="minorEastAsia"/>
          <w:color w:val="000000" w:themeColor="text1"/>
          <w:kern w:val="2"/>
          <w:vertAlign w:val="superscript"/>
          <w:lang w:eastAsia="ja-JP"/>
          <w14:ligatures w14:val="standardContextual"/>
        </w:rPr>
        <w:footnoteReference w:id="22"/>
      </w:r>
      <w:r w:rsidRPr="00071415">
        <w:rPr>
          <w:rFonts w:eastAsiaTheme="minorEastAsia"/>
          <w:color w:val="000000" w:themeColor="text1"/>
          <w:kern w:val="2"/>
          <w:lang w:eastAsia="ja-JP"/>
          <w14:ligatures w14:val="standardContextual"/>
        </w:rPr>
        <w:t xml:space="preserve"> The courts below had made no finding that the volume of sales of clothing under Ms Hudson’s Mark demonstrated that it had acquired a reputation in connection with clothes. Since neither ground for rectification was established, the s 89 discretion did not arise. </w:t>
      </w:r>
    </w:p>
    <w:p w14:paraId="65DB0BE9"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
    <w:p w14:paraId="1F64D8C4"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 held that a trade mark can acquire a reputation in Australia only in respect of particular goods or services,</w:t>
      </w:r>
      <w:r w:rsidRPr="00071415">
        <w:rPr>
          <w:rFonts w:eastAsiaTheme="minorEastAsia"/>
          <w:color w:val="000000" w:themeColor="text1"/>
          <w:kern w:val="2"/>
          <w:vertAlign w:val="superscript"/>
          <w:lang w:eastAsia="ja-JP"/>
          <w14:ligatures w14:val="standardContextual"/>
        </w:rPr>
        <w:footnoteReference w:id="23"/>
      </w:r>
      <w:r w:rsidRPr="00071415">
        <w:rPr>
          <w:rFonts w:eastAsiaTheme="minorEastAsia"/>
          <w:color w:val="000000" w:themeColor="text1"/>
          <w:kern w:val="2"/>
          <w:lang w:eastAsia="ja-JP"/>
          <w14:ligatures w14:val="standardContextual"/>
        </w:rPr>
        <w:t xml:space="preserve"> and that such a reputation does not automatically extend to other goods or services,</w:t>
      </w:r>
      <w:r w:rsidRPr="00071415">
        <w:rPr>
          <w:rFonts w:eastAsiaTheme="minorEastAsia"/>
          <w:color w:val="000000" w:themeColor="text1"/>
          <w:kern w:val="2"/>
          <w:vertAlign w:val="superscript"/>
          <w:lang w:eastAsia="ja-JP"/>
          <w14:ligatures w14:val="standardContextual"/>
        </w:rPr>
        <w:footnoteReference w:id="24"/>
      </w:r>
      <w:r w:rsidRPr="00071415">
        <w:rPr>
          <w:rFonts w:eastAsiaTheme="minorEastAsia"/>
          <w:color w:val="000000" w:themeColor="text1"/>
          <w:kern w:val="2"/>
          <w:lang w:eastAsia="ja-JP"/>
          <w14:ligatures w14:val="standardContextual"/>
        </w:rPr>
        <w:t xml:space="preserve"> though use of a mark may still be likely to deceive or cause confusion because of a reputation in different goods or services as a question of fact.</w:t>
      </w:r>
      <w:r w:rsidRPr="00071415">
        <w:rPr>
          <w:rFonts w:eastAsiaTheme="minorEastAsia"/>
          <w:color w:val="000000" w:themeColor="text1"/>
          <w:kern w:val="2"/>
          <w:vertAlign w:val="superscript"/>
          <w:lang w:eastAsia="ja-JP"/>
          <w14:ligatures w14:val="standardContextual"/>
        </w:rPr>
        <w:footnoteReference w:id="25"/>
      </w:r>
      <w:r w:rsidRPr="00071415">
        <w:rPr>
          <w:rFonts w:eastAsiaTheme="minorEastAsia"/>
          <w:color w:val="000000" w:themeColor="text1"/>
          <w:kern w:val="2"/>
          <w:lang w:eastAsia="ja-JP"/>
          <w14:ligatures w14:val="standardContextual"/>
        </w:rPr>
        <w:t xml:space="preserve"> She further held that the s 88(2)(c) inquiry extends to notional normal and fair use rather than actual use,</w:t>
      </w:r>
      <w:r w:rsidRPr="00071415">
        <w:rPr>
          <w:rFonts w:eastAsiaTheme="minorEastAsia"/>
          <w:color w:val="000000" w:themeColor="text1"/>
          <w:kern w:val="2"/>
          <w:vertAlign w:val="superscript"/>
          <w:lang w:eastAsia="ja-JP"/>
          <w14:ligatures w14:val="standardContextual"/>
        </w:rPr>
        <w:footnoteReference w:id="26"/>
      </w:r>
      <w:r w:rsidRPr="00071415">
        <w:rPr>
          <w:rFonts w:eastAsiaTheme="minorEastAsia"/>
          <w:color w:val="000000" w:themeColor="text1"/>
          <w:kern w:val="2"/>
          <w:lang w:eastAsia="ja-JP"/>
          <w14:ligatures w14:val="standardContextual"/>
        </w:rPr>
        <w:t xml:space="preserve"> that s 89 is the sole source of power not to rectify the Register, and that the mere act of applying for registration cannot constitute an “act or fault” under s 89(1), though the circumstances of the application may.</w:t>
      </w:r>
      <w:r w:rsidRPr="00071415">
        <w:rPr>
          <w:rFonts w:eastAsiaTheme="minorEastAsia"/>
          <w:color w:val="000000" w:themeColor="text1"/>
          <w:kern w:val="2"/>
          <w:vertAlign w:val="superscript"/>
          <w:lang w:eastAsia="ja-JP"/>
          <w14:ligatures w14:val="standardContextual"/>
        </w:rPr>
        <w:footnoteReference w:id="27"/>
      </w:r>
    </w:p>
    <w:p w14:paraId="7ADC98FD"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p>
    <w:p w14:paraId="43BAE6AF" w14:textId="1DAF14F7" w:rsidR="00EA0D8F" w:rsidRPr="00071415" w:rsidRDefault="00EA0D8F" w:rsidP="002975AE">
      <w:pPr>
        <w:spacing w:after="0" w:line="240" w:lineRule="auto"/>
        <w:jc w:val="both"/>
        <w:rPr>
          <w:rFonts w:eastAsiaTheme="minorEastAsia"/>
          <w:color w:val="000000" w:themeColor="text1"/>
          <w:kern w:val="2"/>
          <w:lang w:eastAsia="ja-JP"/>
          <w14:ligatures w14:val="standardContextual"/>
        </w:rPr>
      </w:pP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 found that before the priority date Ms Hudson’s Mark had acquired a reputation in Australia in respect of entertainment and recorded music, but not clothing, and that no “Katy Perry” branded clothing had been sold in Australia before that date.</w:t>
      </w:r>
      <w:r w:rsidRPr="00071415">
        <w:rPr>
          <w:rFonts w:eastAsiaTheme="minorEastAsia"/>
          <w:color w:val="000000" w:themeColor="text1"/>
          <w:kern w:val="2"/>
          <w:vertAlign w:val="superscript"/>
          <w:lang w:eastAsia="ja-JP"/>
          <w14:ligatures w14:val="standardContextual"/>
        </w:rPr>
        <w:footnoteReference w:id="28"/>
      </w:r>
      <w:r w:rsidRPr="00071415">
        <w:rPr>
          <w:rFonts w:eastAsiaTheme="minorEastAsia"/>
          <w:color w:val="000000" w:themeColor="text1"/>
          <w:kern w:val="2"/>
          <w:lang w:eastAsia="ja-JP"/>
          <w14:ligatures w14:val="standardContextual"/>
        </w:rPr>
        <w:t xml:space="preserve"> The primary judge’s conclusion that the respondents had not discharged their onus of proving a real, tangible danger of confusion was not unreasonable or untenable.</w:t>
      </w:r>
      <w:r w:rsidRPr="00071415">
        <w:rPr>
          <w:rFonts w:eastAsiaTheme="minorEastAsia"/>
          <w:color w:val="000000" w:themeColor="text1"/>
          <w:kern w:val="2"/>
          <w:vertAlign w:val="superscript"/>
          <w:lang w:eastAsia="ja-JP"/>
          <w14:ligatures w14:val="standardContextual"/>
        </w:rPr>
        <w:footnoteReference w:id="29"/>
      </w:r>
      <w:r w:rsidRPr="00071415">
        <w:rPr>
          <w:rFonts w:eastAsiaTheme="minorEastAsia"/>
          <w:color w:val="000000" w:themeColor="text1"/>
          <w:kern w:val="2"/>
          <w:lang w:eastAsia="ja-JP"/>
          <w14:ligatures w14:val="standardContextual"/>
        </w:rPr>
        <w:t xml:space="preserve"> An ordinary person aware of Ms Hudson’s Mark would expect merchandise to explicitly highlight its connection to the artist; the bare use of “Katie Perry” on clothing without any such signifier would not cause confusion.</w:t>
      </w:r>
      <w:r w:rsidRPr="00071415">
        <w:rPr>
          <w:rFonts w:eastAsiaTheme="minorEastAsia"/>
          <w:color w:val="000000" w:themeColor="text1"/>
          <w:kern w:val="2"/>
          <w:vertAlign w:val="superscript"/>
          <w:lang w:eastAsia="ja-JP"/>
          <w14:ligatures w14:val="standardContextual"/>
        </w:rPr>
        <w:footnoteReference w:id="30"/>
      </w:r>
      <w:r w:rsidRPr="00071415">
        <w:rPr>
          <w:rFonts w:eastAsiaTheme="minorEastAsia"/>
          <w:color w:val="000000" w:themeColor="text1"/>
          <w:kern w:val="2"/>
          <w:lang w:eastAsia="ja-JP"/>
          <w14:ligatures w14:val="standardContextual"/>
        </w:rPr>
        <w:t xml:space="preserve"> The Full Court had attributed errors to the primary judge that were not apparent from their reasons, and had impermissibly substituted its own opinion for that of the trial judge.</w:t>
      </w:r>
      <w:r w:rsidRPr="00071415">
        <w:rPr>
          <w:rFonts w:eastAsiaTheme="minorEastAsia"/>
          <w:color w:val="000000" w:themeColor="text1"/>
          <w:kern w:val="2"/>
          <w:vertAlign w:val="superscript"/>
          <w:lang w:eastAsia="ja-JP"/>
          <w14:ligatures w14:val="standardContextual"/>
        </w:rPr>
        <w:footnoteReference w:id="31"/>
      </w:r>
      <w:r w:rsidRPr="00071415">
        <w:rPr>
          <w:rFonts w:eastAsiaTheme="minorEastAsia"/>
          <w:color w:val="000000" w:themeColor="text1"/>
          <w:kern w:val="2"/>
          <w:lang w:eastAsia="ja-JP"/>
          <w14:ligatures w14:val="standardContextual"/>
        </w:rPr>
        <w:t xml:space="preserve"> On s 88(2)(c), the complete absence of evidence of actual confusion over ten years was sufficient to support an inference that confusion was not likely, and the trade channels used by Ms Taylor meant the marks would overwhelmingly be seen rather than heard, reducing the significance of their aural similarity.</w:t>
      </w:r>
      <w:r w:rsidRPr="00071415">
        <w:rPr>
          <w:rFonts w:eastAsiaTheme="minorEastAsia"/>
          <w:color w:val="000000" w:themeColor="text1"/>
          <w:kern w:val="2"/>
          <w:vertAlign w:val="superscript"/>
          <w:lang w:eastAsia="ja-JP"/>
          <w14:ligatures w14:val="standardContextual"/>
        </w:rPr>
        <w:footnoteReference w:id="32"/>
      </w:r>
      <w:r w:rsidRPr="00071415">
        <w:rPr>
          <w:rFonts w:eastAsiaTheme="minorEastAsia"/>
          <w:color w:val="000000" w:themeColor="text1"/>
          <w:kern w:val="2"/>
          <w:lang w:eastAsia="ja-JP"/>
          <w14:ligatures w14:val="standardContextual"/>
        </w:rPr>
        <w:t xml:space="preserve"> Since no ground for rectification was established, no question arose under s 89.</w:t>
      </w:r>
      <w:r w:rsidRPr="00071415">
        <w:rPr>
          <w:rFonts w:eastAsiaTheme="minorEastAsia"/>
          <w:color w:val="000000" w:themeColor="text1"/>
          <w:kern w:val="2"/>
          <w:vertAlign w:val="superscript"/>
          <w:lang w:eastAsia="ja-JP"/>
          <w14:ligatures w14:val="standardContextual"/>
        </w:rPr>
        <w:footnoteReference w:id="33"/>
      </w:r>
    </w:p>
    <w:p w14:paraId="743097AB" w14:textId="77777777" w:rsidR="00EA0D8F" w:rsidRPr="00EA0D8F" w:rsidRDefault="00EA0D8F" w:rsidP="00EA0D8F">
      <w:pPr>
        <w:spacing w:after="0" w:line="240" w:lineRule="auto"/>
        <w:rPr>
          <w:rFonts w:eastAsiaTheme="minorEastAsia"/>
          <w:color w:val="000000" w:themeColor="text1"/>
          <w:kern w:val="2"/>
          <w:sz w:val="21"/>
          <w:szCs w:val="21"/>
          <w:lang w:eastAsia="ja-JP"/>
          <w14:ligatures w14:val="standardContextual"/>
        </w:rPr>
      </w:pPr>
    </w:p>
    <w:p w14:paraId="7782C550" w14:textId="3AD4856C" w:rsidR="00EA0D8F" w:rsidRPr="00460624" w:rsidRDefault="00460624" w:rsidP="00460624">
      <w:pPr>
        <w:jc w:val="center"/>
        <w:outlineLvl w:val="0"/>
        <w:rPr>
          <w:b/>
          <w:bCs/>
          <w:color w:val="000000" w:themeColor="text1"/>
          <w:sz w:val="28"/>
          <w:szCs w:val="28"/>
        </w:rPr>
      </w:pPr>
      <w:r w:rsidRPr="00460624">
        <w:rPr>
          <w:b/>
          <w:bCs/>
          <w:color w:val="000000" w:themeColor="text1"/>
          <w:sz w:val="28"/>
          <w:szCs w:val="28"/>
        </w:rPr>
        <w:t>I</w:t>
      </w:r>
      <w:r>
        <w:rPr>
          <w:b/>
          <w:bCs/>
          <w:color w:val="000000" w:themeColor="text1"/>
          <w:sz w:val="28"/>
          <w:szCs w:val="28"/>
        </w:rPr>
        <w:t>V FINAL ORDERS</w:t>
      </w:r>
    </w:p>
    <w:p w14:paraId="6ED8784F" w14:textId="77777777" w:rsidR="00EA0D8F" w:rsidRPr="00071415" w:rsidRDefault="00EA0D8F" w:rsidP="00EA0D8F">
      <w:pPr>
        <w:spacing w:after="0" w:line="240" w:lineRule="auto"/>
        <w:jc w:val="both"/>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The High Court ordered that the appeal was to be allowed with costs.</w:t>
      </w:r>
      <w:r w:rsidRPr="00071415">
        <w:rPr>
          <w:rFonts w:eastAsiaTheme="minorEastAsia"/>
          <w:color w:val="000000" w:themeColor="text1"/>
          <w:kern w:val="2"/>
          <w:vertAlign w:val="superscript"/>
          <w:lang w:eastAsia="ja-JP"/>
          <w14:ligatures w14:val="standardContextual"/>
        </w:rPr>
        <w:footnoteReference w:id="34"/>
      </w:r>
      <w:r w:rsidRPr="00071415">
        <w:rPr>
          <w:rFonts w:eastAsiaTheme="minorEastAsia"/>
          <w:color w:val="000000" w:themeColor="text1"/>
          <w:kern w:val="2"/>
          <w:lang w:eastAsia="ja-JP"/>
          <w14:ligatures w14:val="standardContextual"/>
        </w:rPr>
        <w:t xml:space="preserve"> Further, that orders 1, 3, 4, 5, 6, 7 and 8 of the Full Court were to be set aside,</w:t>
      </w:r>
      <w:r w:rsidRPr="00071415">
        <w:rPr>
          <w:rFonts w:eastAsiaTheme="minorEastAsia"/>
          <w:color w:val="000000" w:themeColor="text1"/>
          <w:kern w:val="2"/>
          <w:vertAlign w:val="superscript"/>
          <w:lang w:eastAsia="ja-JP"/>
          <w14:ligatures w14:val="standardContextual"/>
        </w:rPr>
        <w:footnoteReference w:id="35"/>
      </w:r>
      <w:r w:rsidRPr="00071415">
        <w:rPr>
          <w:rFonts w:eastAsiaTheme="minorEastAsia"/>
          <w:color w:val="000000" w:themeColor="text1"/>
          <w:kern w:val="2"/>
          <w:lang w:eastAsia="ja-JP"/>
          <w14:ligatures w14:val="standardContextual"/>
        </w:rPr>
        <w:t xml:space="preserve"> and that the matter was to be remitted to the Full Court in relation to grounds 5, 6 and 7 and any other outstanding issues, including costs.</w:t>
      </w:r>
      <w:r w:rsidRPr="00071415">
        <w:rPr>
          <w:rFonts w:eastAsiaTheme="minorEastAsia"/>
          <w:color w:val="000000" w:themeColor="text1"/>
          <w:kern w:val="2"/>
          <w:vertAlign w:val="superscript"/>
          <w:lang w:eastAsia="ja-JP"/>
          <w14:ligatures w14:val="standardContextual"/>
        </w:rPr>
        <w:footnoteReference w:id="36"/>
      </w:r>
    </w:p>
    <w:p w14:paraId="018C5E46" w14:textId="77777777" w:rsidR="00EA0D8F" w:rsidRPr="00EA0D8F" w:rsidRDefault="00EA0D8F" w:rsidP="00EA0D8F">
      <w:pPr>
        <w:spacing w:after="0" w:line="240" w:lineRule="auto"/>
        <w:rPr>
          <w:rFonts w:eastAsiaTheme="minorEastAsia"/>
          <w:color w:val="000000" w:themeColor="text1"/>
          <w:kern w:val="2"/>
          <w:sz w:val="21"/>
          <w:szCs w:val="21"/>
          <w:lang w:eastAsia="ja-JP"/>
          <w14:ligatures w14:val="standardContextual"/>
        </w:rPr>
      </w:pPr>
    </w:p>
    <w:p w14:paraId="146E012F" w14:textId="48906264" w:rsidR="00460624" w:rsidRPr="00460624" w:rsidRDefault="00460624" w:rsidP="00460624">
      <w:pPr>
        <w:jc w:val="center"/>
        <w:outlineLvl w:val="0"/>
        <w:rPr>
          <w:b/>
          <w:bCs/>
          <w:color w:val="000000" w:themeColor="text1"/>
          <w:sz w:val="28"/>
          <w:szCs w:val="28"/>
        </w:rPr>
      </w:pPr>
      <w:r>
        <w:rPr>
          <w:b/>
          <w:bCs/>
          <w:color w:val="000000" w:themeColor="text1"/>
          <w:sz w:val="28"/>
          <w:szCs w:val="28"/>
        </w:rPr>
        <w:t>V SIGNIFICAN</w:t>
      </w:r>
      <w:r w:rsidR="002975AE">
        <w:rPr>
          <w:b/>
          <w:bCs/>
          <w:color w:val="000000" w:themeColor="text1"/>
          <w:sz w:val="28"/>
          <w:szCs w:val="28"/>
        </w:rPr>
        <w:t>CE AND IMPLICATIONS</w:t>
      </w:r>
    </w:p>
    <w:p w14:paraId="5B443763" w14:textId="77777777" w:rsidR="00EA0D8F" w:rsidRPr="00EA0D8F" w:rsidRDefault="00EA0D8F" w:rsidP="00EA0D8F">
      <w:pPr>
        <w:spacing w:after="0" w:line="240" w:lineRule="auto"/>
        <w:rPr>
          <w:rFonts w:eastAsiaTheme="minorEastAsia"/>
          <w:color w:val="000000" w:themeColor="text1"/>
          <w:kern w:val="2"/>
          <w:sz w:val="21"/>
          <w:szCs w:val="21"/>
          <w:lang w:eastAsia="ja-JP"/>
          <w14:ligatures w14:val="standardContextual"/>
        </w:rPr>
      </w:pPr>
    </w:p>
    <w:p w14:paraId="630DC67C" w14:textId="77777777" w:rsidR="00EA0D8F" w:rsidRPr="00071415" w:rsidRDefault="00EA0D8F" w:rsidP="00EA0D8F">
      <w:p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The Case is a significant decision for Australian </w:t>
      </w:r>
      <w:proofErr w:type="gramStart"/>
      <w:r w:rsidRPr="00071415">
        <w:rPr>
          <w:rFonts w:eastAsiaTheme="minorEastAsia"/>
          <w:color w:val="000000" w:themeColor="text1"/>
          <w:kern w:val="2"/>
          <w:lang w:eastAsia="ja-JP"/>
          <w14:ligatures w14:val="standardContextual"/>
        </w:rPr>
        <w:t>trade mark</w:t>
      </w:r>
      <w:proofErr w:type="gramEnd"/>
      <w:r w:rsidRPr="00071415">
        <w:rPr>
          <w:rFonts w:eastAsiaTheme="minorEastAsia"/>
          <w:color w:val="000000" w:themeColor="text1"/>
          <w:kern w:val="2"/>
          <w:lang w:eastAsia="ja-JP"/>
          <w14:ligatures w14:val="standardContextual"/>
        </w:rPr>
        <w:t xml:space="preserve"> law for several </w:t>
      </w:r>
      <w:proofErr w:type="gramStart"/>
      <w:r w:rsidRPr="00071415">
        <w:rPr>
          <w:rFonts w:eastAsiaTheme="minorEastAsia"/>
          <w:color w:val="000000" w:themeColor="text1"/>
          <w:kern w:val="2"/>
          <w:lang w:eastAsia="ja-JP"/>
          <w14:ligatures w14:val="standardContextual"/>
        </w:rPr>
        <w:t>reasons;</w:t>
      </w:r>
      <w:proofErr w:type="gramEnd"/>
    </w:p>
    <w:p w14:paraId="22847BC2" w14:textId="77777777" w:rsidR="00EA0D8F" w:rsidRPr="00071415" w:rsidRDefault="00EA0D8F" w:rsidP="00EA0D8F">
      <w:pPr>
        <w:numPr>
          <w:ilvl w:val="0"/>
          <w:numId w:val="3"/>
        </w:num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The majority confirmed that a trade mark can acquire a reputation in Australia only in respect of particular goods or services, and that a reputation in one class of goods or services does not automatically extend to other classes.</w:t>
      </w:r>
      <w:r w:rsidRPr="00071415">
        <w:rPr>
          <w:rFonts w:eastAsiaTheme="minorEastAsia"/>
          <w:color w:val="000000" w:themeColor="text1"/>
          <w:kern w:val="2"/>
          <w:vertAlign w:val="superscript"/>
          <w:lang w:eastAsia="ja-JP"/>
          <w14:ligatures w14:val="standardContextual"/>
        </w:rPr>
        <w:footnoteReference w:id="37"/>
      </w:r>
      <w:r w:rsidRPr="00071415">
        <w:rPr>
          <w:rFonts w:eastAsiaTheme="minorEastAsia"/>
          <w:color w:val="000000" w:themeColor="text1"/>
          <w:kern w:val="2"/>
          <w:lang w:eastAsia="ja-JP"/>
          <w14:ligatures w14:val="standardContextual"/>
        </w:rPr>
        <w:t xml:space="preserve"> This is an important constraint on the scope of s 60 of the TM Act and prevents the reputation of a famous mark in one field from automatically blocking registration in unrelated fields.</w:t>
      </w:r>
    </w:p>
    <w:p w14:paraId="4F8C8CDB" w14:textId="77777777" w:rsidR="00EA0D8F" w:rsidRPr="00071415" w:rsidRDefault="00EA0D8F" w:rsidP="00EA0D8F">
      <w:pPr>
        <w:numPr>
          <w:ilvl w:val="0"/>
          <w:numId w:val="3"/>
        </w:num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Further, the Court unanimously confirmed that the likelihood of deception or confusion under both provisions is assessed by reference to the notional normal and fair use of the registered mark across the full range of goods in the specification, not merely the registered owner's actual use.</w:t>
      </w:r>
      <w:r w:rsidRPr="00071415">
        <w:rPr>
          <w:rFonts w:eastAsiaTheme="minorEastAsia"/>
          <w:color w:val="000000" w:themeColor="text1"/>
          <w:kern w:val="2"/>
          <w:vertAlign w:val="superscript"/>
          <w:lang w:eastAsia="ja-JP"/>
          <w14:ligatures w14:val="standardContextual"/>
        </w:rPr>
        <w:footnoteReference w:id="38"/>
      </w:r>
      <w:r w:rsidRPr="00071415">
        <w:rPr>
          <w:rFonts w:eastAsiaTheme="minorEastAsia"/>
          <w:color w:val="000000" w:themeColor="text1"/>
          <w:kern w:val="2"/>
          <w:lang w:eastAsia="ja-JP"/>
          <w14:ligatures w14:val="standardContextual"/>
        </w:rPr>
        <w:t xml:space="preserve"> This prevents registered owners from resisting rectification by pointing to a narrow actual use of a broadly specified mark.</w:t>
      </w:r>
    </w:p>
    <w:p w14:paraId="5E047D0E" w14:textId="77777777" w:rsidR="00EA0D8F" w:rsidRPr="00071415" w:rsidRDefault="00EA0D8F" w:rsidP="00EA0D8F">
      <w:pPr>
        <w:numPr>
          <w:ilvl w:val="0"/>
          <w:numId w:val="3"/>
        </w:num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The majority’s approach gives significant weight to a prolonged absence of evidence of actual confusion where both marks have been in use in the market. </w:t>
      </w: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 held that ten years </w:t>
      </w:r>
      <w:r w:rsidRPr="00071415">
        <w:rPr>
          <w:rFonts w:eastAsiaTheme="minorEastAsia"/>
          <w:color w:val="000000" w:themeColor="text1"/>
          <w:kern w:val="2"/>
          <w:lang w:eastAsia="ja-JP"/>
          <w14:ligatures w14:val="standardContextual"/>
        </w:rPr>
        <w:lastRenderedPageBreak/>
        <w:t>of co-existence without any evidence of confusion, was sufficient to support an inference that confusion was not likely.</w:t>
      </w:r>
      <w:r w:rsidRPr="00071415">
        <w:rPr>
          <w:rFonts w:eastAsiaTheme="minorEastAsia"/>
          <w:color w:val="000000" w:themeColor="text1"/>
          <w:kern w:val="2"/>
          <w:vertAlign w:val="superscript"/>
          <w:lang w:eastAsia="ja-JP"/>
          <w14:ligatures w14:val="standardContextual"/>
        </w:rPr>
        <w:footnoteReference w:id="39"/>
      </w:r>
    </w:p>
    <w:p w14:paraId="6D3E7792" w14:textId="77777777" w:rsidR="00EA0D8F" w:rsidRPr="00071415" w:rsidRDefault="00EA0D8F" w:rsidP="00EA0D8F">
      <w:pPr>
        <w:numPr>
          <w:ilvl w:val="0"/>
          <w:numId w:val="3"/>
        </w:num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Steward J’s reasons raise the important question of whether s 88(2)(c) should be construed to exclude circumstances caused by the wrongful conduct of the applicant for rectification. While </w:t>
      </w:r>
      <w:proofErr w:type="spellStart"/>
      <w:r w:rsidRPr="00071415">
        <w:rPr>
          <w:rFonts w:eastAsiaTheme="minorEastAsia"/>
          <w:color w:val="000000" w:themeColor="text1"/>
          <w:kern w:val="2"/>
          <w:lang w:eastAsia="ja-JP"/>
          <w14:ligatures w14:val="standardContextual"/>
        </w:rPr>
        <w:t>Jagot</w:t>
      </w:r>
      <w:proofErr w:type="spellEnd"/>
      <w:r w:rsidRPr="00071415">
        <w:rPr>
          <w:rFonts w:eastAsiaTheme="minorEastAsia"/>
          <w:color w:val="000000" w:themeColor="text1"/>
          <w:kern w:val="2"/>
          <w:lang w:eastAsia="ja-JP"/>
          <w14:ligatures w14:val="standardContextual"/>
        </w:rPr>
        <w:t xml:space="preserve"> J declined to resolve this question, Steward J held that Parliament could not have intended to reward an applicant who itself had created the confusion through persistent infringement.</w:t>
      </w:r>
      <w:r w:rsidRPr="00071415">
        <w:rPr>
          <w:rFonts w:eastAsiaTheme="minorEastAsia"/>
          <w:color w:val="000000" w:themeColor="text1"/>
          <w:kern w:val="2"/>
          <w:vertAlign w:val="superscript"/>
          <w:lang w:eastAsia="ja-JP"/>
          <w14:ligatures w14:val="standardContextual"/>
        </w:rPr>
        <w:footnoteReference w:id="40"/>
      </w:r>
      <w:r w:rsidRPr="00071415">
        <w:rPr>
          <w:rFonts w:eastAsiaTheme="minorEastAsia"/>
          <w:color w:val="000000" w:themeColor="text1"/>
          <w:kern w:val="2"/>
          <w:lang w:eastAsia="ja-JP"/>
          <w14:ligatures w14:val="standardContextual"/>
        </w:rPr>
        <w:t xml:space="preserve"> This reasoning may prove influential in future cases where an applicant for rectification itself has used a mark in breach of the registered owner's rights.</w:t>
      </w:r>
    </w:p>
    <w:p w14:paraId="107E150D" w14:textId="77777777" w:rsidR="00EA0D8F" w:rsidRPr="00071415" w:rsidRDefault="00EA0D8F" w:rsidP="00EA0D8F">
      <w:pPr>
        <w:numPr>
          <w:ilvl w:val="0"/>
          <w:numId w:val="3"/>
        </w:numPr>
        <w:spacing w:after="0" w:line="240" w:lineRule="auto"/>
        <w:rPr>
          <w:rFonts w:eastAsiaTheme="minorEastAsia"/>
          <w:color w:val="000000" w:themeColor="text1"/>
          <w:kern w:val="2"/>
          <w:lang w:eastAsia="ja-JP"/>
          <w14:ligatures w14:val="standardContextual"/>
        </w:rPr>
      </w:pPr>
      <w:r w:rsidRPr="00071415">
        <w:rPr>
          <w:rFonts w:eastAsiaTheme="minorEastAsia"/>
          <w:color w:val="000000" w:themeColor="text1"/>
          <w:kern w:val="2"/>
          <w:lang w:eastAsia="ja-JP"/>
          <w14:ligatures w14:val="standardContextual"/>
        </w:rPr>
        <w:t xml:space="preserve">The Court confirmed that the mere act of applying for registration of a </w:t>
      </w:r>
      <w:proofErr w:type="gramStart"/>
      <w:r w:rsidRPr="00071415">
        <w:rPr>
          <w:rFonts w:eastAsiaTheme="minorEastAsia"/>
          <w:color w:val="000000" w:themeColor="text1"/>
          <w:kern w:val="2"/>
          <w:lang w:eastAsia="ja-JP"/>
          <w14:ligatures w14:val="standardContextual"/>
        </w:rPr>
        <w:t>trade mark</w:t>
      </w:r>
      <w:proofErr w:type="gramEnd"/>
      <w:r w:rsidRPr="00071415">
        <w:rPr>
          <w:rFonts w:eastAsiaTheme="minorEastAsia"/>
          <w:color w:val="000000" w:themeColor="text1"/>
          <w:kern w:val="2"/>
          <w:lang w:eastAsia="ja-JP"/>
          <w14:ligatures w14:val="standardContextual"/>
        </w:rPr>
        <w:t xml:space="preserve"> cannot, without more, constitute an “act or fault” for the purposes of s 89(1).</w:t>
      </w:r>
      <w:r w:rsidRPr="00071415">
        <w:rPr>
          <w:rFonts w:eastAsiaTheme="minorEastAsia"/>
          <w:color w:val="000000" w:themeColor="text1"/>
          <w:kern w:val="2"/>
          <w:vertAlign w:val="superscript"/>
          <w:lang w:eastAsia="ja-JP"/>
          <w14:ligatures w14:val="standardContextual"/>
        </w:rPr>
        <w:footnoteReference w:id="41"/>
      </w:r>
      <w:r w:rsidRPr="00071415">
        <w:rPr>
          <w:rFonts w:eastAsiaTheme="minorEastAsia"/>
          <w:color w:val="000000" w:themeColor="text1"/>
          <w:kern w:val="2"/>
          <w:lang w:eastAsia="ja-JP"/>
          <w14:ligatures w14:val="standardContextual"/>
        </w:rPr>
        <w:t xml:space="preserve"> However, the circumstances in which the application was made, including the applicant's state of mind and knowledge, may constitute such an act.</w:t>
      </w:r>
      <w:r w:rsidRPr="00071415">
        <w:rPr>
          <w:rFonts w:eastAsiaTheme="minorEastAsia"/>
          <w:color w:val="000000" w:themeColor="text1"/>
          <w:kern w:val="2"/>
          <w:vertAlign w:val="superscript"/>
          <w:lang w:eastAsia="ja-JP"/>
          <w14:ligatures w14:val="standardContextual"/>
        </w:rPr>
        <w:footnoteReference w:id="42"/>
      </w:r>
    </w:p>
    <w:p w14:paraId="4FFA54AF" w14:textId="77777777" w:rsidR="00EA0D8F" w:rsidRPr="00071415" w:rsidRDefault="00EA0D8F" w:rsidP="00EA0D8F">
      <w:pPr>
        <w:spacing w:after="0" w:line="240" w:lineRule="auto"/>
        <w:rPr>
          <w:rFonts w:asciiTheme="minorHAnsi" w:eastAsiaTheme="minorEastAsia" w:hAnsiTheme="minorHAnsi" w:cstheme="minorBidi"/>
          <w:color w:val="000000" w:themeColor="text1"/>
          <w:kern w:val="2"/>
          <w:lang w:eastAsia="ja-JP"/>
          <w14:ligatures w14:val="standardContextual"/>
        </w:rPr>
      </w:pPr>
    </w:p>
    <w:p w14:paraId="518FA9EB" w14:textId="77777777" w:rsidR="00EA0D8F" w:rsidRPr="00071415" w:rsidRDefault="00EA0D8F" w:rsidP="00EA0D8F">
      <w:pPr>
        <w:spacing w:after="160" w:line="240" w:lineRule="auto"/>
        <w:ind w:left="720"/>
        <w:contextualSpacing/>
        <w:rPr>
          <w:rFonts w:eastAsiaTheme="minorEastAsia"/>
          <w:color w:val="000000" w:themeColor="text1"/>
          <w:kern w:val="2"/>
          <w:lang w:eastAsia="ja-JP"/>
          <w14:ligatures w14:val="standardContextual"/>
        </w:rPr>
      </w:pPr>
    </w:p>
    <w:p w14:paraId="0F768F3D" w14:textId="77777777" w:rsidR="00EA0D8F" w:rsidRPr="00071415" w:rsidRDefault="00EA0D8F" w:rsidP="00EA0D8F">
      <w:pPr>
        <w:spacing w:after="0" w:line="240" w:lineRule="auto"/>
        <w:rPr>
          <w:rFonts w:eastAsiaTheme="minorEastAsia"/>
          <w:color w:val="000000" w:themeColor="text1"/>
          <w:kern w:val="2"/>
          <w:lang w:eastAsia="ja-JP"/>
          <w14:ligatures w14:val="standardContextual"/>
        </w:rPr>
      </w:pPr>
    </w:p>
    <w:p w14:paraId="54B204E1" w14:textId="439C9867" w:rsidR="000F108B" w:rsidRPr="00071415" w:rsidRDefault="000F108B" w:rsidP="00235853">
      <w:r w:rsidRPr="00071415">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BE59E55" id="_x0000_t202" coordsize="21600,21600" o:spt="202" path="m,l,21600r21600,l21600,xe">
                <v:stroke joinstyle="miter"/>
                <v:path gradientshapeok="t" o:connecttype="rect"/>
              </v:shapetype>
              <v:shape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9"/>
      <w:footerReference w:type="defaul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AF6FC" w14:textId="77777777" w:rsidR="00132A9E" w:rsidRDefault="00132A9E" w:rsidP="00235853">
      <w:r>
        <w:separator/>
      </w:r>
    </w:p>
  </w:endnote>
  <w:endnote w:type="continuationSeparator" w:id="0">
    <w:p w14:paraId="64017B7A" w14:textId="77777777" w:rsidR="00132A9E" w:rsidRDefault="00132A9E"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5E1C" w14:textId="77777777" w:rsidR="00132A9E" w:rsidRDefault="00132A9E" w:rsidP="00235853">
      <w:r>
        <w:separator/>
      </w:r>
    </w:p>
  </w:footnote>
  <w:footnote w:type="continuationSeparator" w:id="0">
    <w:p w14:paraId="33F2A8D0" w14:textId="77777777" w:rsidR="00132A9E" w:rsidRDefault="00132A9E" w:rsidP="00235853">
      <w:r>
        <w:continuationSeparator/>
      </w:r>
    </w:p>
  </w:footnote>
  <w:footnote w:id="1">
    <w:p w14:paraId="5261DC18"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w:t>
      </w:r>
      <w:proofErr w:type="gramStart"/>
      <w:r w:rsidRPr="00EB7470">
        <w:rPr>
          <w:rFonts w:ascii="Times New Roman" w:hAnsi="Times New Roman" w:cs="Times New Roman"/>
          <w:i/>
          <w:iCs/>
          <w:color w:val="000000" w:themeColor="text1"/>
        </w:rPr>
        <w:t>Trade Marks</w:t>
      </w:r>
      <w:proofErr w:type="gramEnd"/>
      <w:r w:rsidRPr="00EB7470">
        <w:rPr>
          <w:rFonts w:ascii="Times New Roman" w:hAnsi="Times New Roman" w:cs="Times New Roman"/>
          <w:i/>
          <w:iCs/>
          <w:color w:val="000000" w:themeColor="text1"/>
        </w:rPr>
        <w:t xml:space="preserve"> Act</w:t>
      </w:r>
      <w:r w:rsidRPr="00EB7470">
        <w:rPr>
          <w:rFonts w:ascii="Times New Roman" w:hAnsi="Times New Roman" w:cs="Times New Roman"/>
          <w:color w:val="000000" w:themeColor="text1"/>
        </w:rPr>
        <w:t xml:space="preserve"> </w:t>
      </w:r>
      <w:r w:rsidRPr="00EB7470">
        <w:rPr>
          <w:rFonts w:ascii="Times New Roman" w:hAnsi="Times New Roman" w:cs="Times New Roman"/>
          <w:i/>
          <w:iCs/>
          <w:color w:val="000000" w:themeColor="text1"/>
        </w:rPr>
        <w:t>1995</w:t>
      </w:r>
      <w:r w:rsidRPr="00EB7470">
        <w:rPr>
          <w:rFonts w:ascii="Times New Roman" w:hAnsi="Times New Roman" w:cs="Times New Roman"/>
          <w:color w:val="000000" w:themeColor="text1"/>
        </w:rPr>
        <w:t xml:space="preserve"> (Cth) s 60.</w:t>
      </w:r>
    </w:p>
  </w:footnote>
  <w:footnote w:id="2">
    <w:p w14:paraId="0F4562C2" w14:textId="77777777" w:rsidR="00EA0D8F" w:rsidRPr="00EB7470" w:rsidRDefault="00EA0D8F" w:rsidP="001B4CA1">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w:t>
      </w:r>
      <w:r w:rsidRPr="00EB7470">
        <w:rPr>
          <w:rFonts w:ascii="Times New Roman" w:hAnsi="Times New Roman" w:cs="Times New Roman"/>
          <w:i/>
          <w:iCs/>
          <w:color w:val="000000" w:themeColor="text1"/>
        </w:rPr>
        <w:t>Taylor v Killer Queen LLC</w:t>
      </w:r>
      <w:r w:rsidRPr="00EB7470">
        <w:rPr>
          <w:rFonts w:ascii="Times New Roman" w:hAnsi="Times New Roman" w:cs="Times New Roman"/>
          <w:color w:val="000000" w:themeColor="text1"/>
        </w:rPr>
        <w:t xml:space="preserve"> [2026] HCA </w:t>
      </w:r>
      <w:proofErr w:type="gramStart"/>
      <w:r w:rsidRPr="00EB7470">
        <w:rPr>
          <w:rFonts w:ascii="Times New Roman" w:hAnsi="Times New Roman" w:cs="Times New Roman"/>
          <w:color w:val="000000" w:themeColor="text1"/>
        </w:rPr>
        <w:t>5 ,</w:t>
      </w:r>
      <w:proofErr w:type="gramEnd"/>
      <w:r w:rsidRPr="00EB7470">
        <w:rPr>
          <w:rFonts w:ascii="Times New Roman" w:hAnsi="Times New Roman" w:cs="Times New Roman"/>
          <w:color w:val="000000" w:themeColor="text1"/>
        </w:rPr>
        <w:t xml:space="preserve"> 60-62. </w:t>
      </w:r>
    </w:p>
  </w:footnote>
  <w:footnote w:id="3">
    <w:p w14:paraId="73EA5E60"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7, 63–64, 72.</w:t>
      </w:r>
    </w:p>
  </w:footnote>
  <w:footnote w:id="4">
    <w:p w14:paraId="01338808"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54, 67.</w:t>
      </w:r>
    </w:p>
  </w:footnote>
  <w:footnote w:id="5">
    <w:p w14:paraId="30F657D3"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82–86. </w:t>
      </w:r>
    </w:p>
  </w:footnote>
  <w:footnote w:id="6">
    <w:p w14:paraId="759406FA"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83.</w:t>
      </w:r>
    </w:p>
  </w:footnote>
  <w:footnote w:id="7">
    <w:p w14:paraId="4ADC9B8B"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89–94.</w:t>
      </w:r>
    </w:p>
  </w:footnote>
  <w:footnote w:id="8">
    <w:p w14:paraId="0C48092D"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91–92.</w:t>
      </w:r>
    </w:p>
  </w:footnote>
  <w:footnote w:id="9">
    <w:p w14:paraId="4294C97B"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97–100.</w:t>
      </w:r>
    </w:p>
  </w:footnote>
  <w:footnote w:id="10">
    <w:p w14:paraId="61024E1F"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103–104.</w:t>
      </w:r>
    </w:p>
  </w:footnote>
  <w:footnote w:id="11">
    <w:p w14:paraId="307BDE51"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108–111.</w:t>
      </w:r>
    </w:p>
  </w:footnote>
  <w:footnote w:id="12">
    <w:p w14:paraId="1B0CA836"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117, 163.</w:t>
      </w:r>
    </w:p>
  </w:footnote>
  <w:footnote w:id="13">
    <w:p w14:paraId="4F9DF0D7"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127.</w:t>
      </w:r>
    </w:p>
  </w:footnote>
  <w:footnote w:id="14">
    <w:p w14:paraId="792D3E0C"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128.</w:t>
      </w:r>
    </w:p>
  </w:footnote>
  <w:footnote w:id="15">
    <w:p w14:paraId="57B2394F"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156–157.</w:t>
      </w:r>
    </w:p>
  </w:footnote>
  <w:footnote w:id="16">
    <w:p w14:paraId="6B4D7B91"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157.</w:t>
      </w:r>
    </w:p>
  </w:footnote>
  <w:footnote w:id="17">
    <w:p w14:paraId="168A4AC9"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159.</w:t>
      </w:r>
    </w:p>
  </w:footnote>
  <w:footnote w:id="18">
    <w:p w14:paraId="5263C414"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211.</w:t>
      </w:r>
    </w:p>
  </w:footnote>
  <w:footnote w:id="19">
    <w:p w14:paraId="586622E8"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189.</w:t>
      </w:r>
    </w:p>
  </w:footnote>
  <w:footnote w:id="20">
    <w:p w14:paraId="615610D8"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197.</w:t>
      </w:r>
    </w:p>
  </w:footnote>
  <w:footnote w:id="21">
    <w:p w14:paraId="3DD12442"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200.</w:t>
      </w:r>
    </w:p>
  </w:footnote>
  <w:footnote w:id="22">
    <w:p w14:paraId="1B68C023"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209.</w:t>
      </w:r>
    </w:p>
  </w:footnote>
  <w:footnote w:id="23">
    <w:p w14:paraId="1C9FAF1F"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215.</w:t>
      </w:r>
    </w:p>
  </w:footnote>
  <w:footnote w:id="24">
    <w:p w14:paraId="350DF8C7"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216.</w:t>
      </w:r>
    </w:p>
  </w:footnote>
  <w:footnote w:id="25">
    <w:p w14:paraId="740DACD4"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217.</w:t>
      </w:r>
    </w:p>
  </w:footnote>
  <w:footnote w:id="26">
    <w:p w14:paraId="4BAC263E"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218.</w:t>
      </w:r>
    </w:p>
  </w:footnote>
  <w:footnote w:id="27">
    <w:p w14:paraId="264401A6"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220.</w:t>
      </w:r>
    </w:p>
  </w:footnote>
  <w:footnote w:id="28">
    <w:p w14:paraId="1A001114"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255, 263, 282.</w:t>
      </w:r>
    </w:p>
  </w:footnote>
  <w:footnote w:id="29">
    <w:p w14:paraId="0F9BE298"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283.</w:t>
      </w:r>
    </w:p>
  </w:footnote>
  <w:footnote w:id="30">
    <w:p w14:paraId="6A5088C7"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277, 284–285.</w:t>
      </w:r>
    </w:p>
  </w:footnote>
  <w:footnote w:id="31">
    <w:p w14:paraId="2E9C36E6"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281.</w:t>
      </w:r>
    </w:p>
  </w:footnote>
  <w:footnote w:id="32">
    <w:p w14:paraId="39F2F204"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293–295.</w:t>
      </w:r>
    </w:p>
  </w:footnote>
  <w:footnote w:id="33">
    <w:p w14:paraId="383B62D6"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296.</w:t>
      </w:r>
    </w:p>
  </w:footnote>
  <w:footnote w:id="34">
    <w:p w14:paraId="594B8E59"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301.</w:t>
      </w:r>
    </w:p>
  </w:footnote>
  <w:footnote w:id="35">
    <w:p w14:paraId="42A0C7AB"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w:t>
      </w:r>
    </w:p>
  </w:footnote>
  <w:footnote w:id="36">
    <w:p w14:paraId="2D18D512" w14:textId="49390150"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w:t>
      </w:r>
      <w:r w:rsidR="00EB7470" w:rsidRPr="00EB7470">
        <w:rPr>
          <w:rFonts w:ascii="Times New Roman" w:hAnsi="Times New Roman" w:cs="Times New Roman"/>
          <w:color w:val="000000" w:themeColor="text1"/>
        </w:rPr>
        <w:t xml:space="preserve"> </w:t>
      </w:r>
    </w:p>
  </w:footnote>
  <w:footnote w:id="37">
    <w:p w14:paraId="2CB2E73C"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215–216, 238.</w:t>
      </w:r>
    </w:p>
  </w:footnote>
  <w:footnote w:id="38">
    <w:p w14:paraId="665DBE83"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55, 85, 218, 243.</w:t>
      </w:r>
    </w:p>
  </w:footnote>
  <w:footnote w:id="39">
    <w:p w14:paraId="3562A000"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294.</w:t>
      </w:r>
    </w:p>
  </w:footnote>
  <w:footnote w:id="40">
    <w:p w14:paraId="23A0F5DF"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156–157.</w:t>
      </w:r>
    </w:p>
  </w:footnote>
  <w:footnote w:id="41">
    <w:p w14:paraId="710525A1"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220, 247–248.</w:t>
      </w:r>
    </w:p>
  </w:footnote>
  <w:footnote w:id="42">
    <w:p w14:paraId="6D81857A" w14:textId="77777777" w:rsidR="00EA0D8F" w:rsidRPr="00EB7470" w:rsidRDefault="00EA0D8F">
      <w:pPr>
        <w:pStyle w:val="FootnoteText"/>
        <w:rPr>
          <w:rFonts w:ascii="Times New Roman" w:hAnsi="Times New Roman" w:cs="Times New Roman"/>
          <w:color w:val="000000" w:themeColor="text1"/>
        </w:rPr>
      </w:pPr>
      <w:r w:rsidRPr="00EB7470">
        <w:rPr>
          <w:rStyle w:val="FootnoteReference"/>
          <w:rFonts w:ascii="Times New Roman" w:hAnsi="Times New Roman" w:cs="Times New Roman"/>
          <w:color w:val="000000" w:themeColor="text1"/>
        </w:rPr>
        <w:footnoteRef/>
      </w:r>
      <w:r w:rsidRPr="00EB7470">
        <w:rPr>
          <w:rFonts w:ascii="Times New Roman" w:hAnsi="Times New Roman" w:cs="Times New Roman"/>
          <w:color w:val="000000" w:themeColor="text1"/>
        </w:rPr>
        <w:t xml:space="preserve"> Ibid, 99, 248.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338B"/>
    <w:multiLevelType w:val="hybridMultilevel"/>
    <w:tmpl w:val="FE440F94"/>
    <w:lvl w:ilvl="0" w:tplc="06B8FE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2967EFD"/>
    <w:multiLevelType w:val="hybridMultilevel"/>
    <w:tmpl w:val="C206FFA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9DF7EC2"/>
    <w:multiLevelType w:val="hybridMultilevel"/>
    <w:tmpl w:val="F314F814"/>
    <w:lvl w:ilvl="0" w:tplc="06B8FEB2">
      <w:start w:val="1"/>
      <w:numFmt w:val="upperRoman"/>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42830004">
    <w:abstractNumId w:val="0"/>
  </w:num>
  <w:num w:numId="2" w16cid:durableId="753089929">
    <w:abstractNumId w:val="2"/>
  </w:num>
  <w:num w:numId="3" w16cid:durableId="2021619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1415"/>
    <w:rsid w:val="0007301A"/>
    <w:rsid w:val="0008172E"/>
    <w:rsid w:val="000A4193"/>
    <w:rsid w:val="000A7F76"/>
    <w:rsid w:val="000B2023"/>
    <w:rsid w:val="000D128E"/>
    <w:rsid w:val="000F108B"/>
    <w:rsid w:val="00111C95"/>
    <w:rsid w:val="00132A9E"/>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975AE"/>
    <w:rsid w:val="002D6AA4"/>
    <w:rsid w:val="002F23C0"/>
    <w:rsid w:val="002F5617"/>
    <w:rsid w:val="00300E0C"/>
    <w:rsid w:val="0032017D"/>
    <w:rsid w:val="00334ADB"/>
    <w:rsid w:val="00341B1E"/>
    <w:rsid w:val="00344A17"/>
    <w:rsid w:val="00356093"/>
    <w:rsid w:val="003A02E1"/>
    <w:rsid w:val="003A1CFB"/>
    <w:rsid w:val="003B7C76"/>
    <w:rsid w:val="003C2E5F"/>
    <w:rsid w:val="003E43B4"/>
    <w:rsid w:val="003E7BC4"/>
    <w:rsid w:val="00404131"/>
    <w:rsid w:val="00405FCE"/>
    <w:rsid w:val="004428B7"/>
    <w:rsid w:val="00454AE5"/>
    <w:rsid w:val="00460624"/>
    <w:rsid w:val="0046317F"/>
    <w:rsid w:val="00464656"/>
    <w:rsid w:val="0046610A"/>
    <w:rsid w:val="00480B5D"/>
    <w:rsid w:val="00482078"/>
    <w:rsid w:val="00483774"/>
    <w:rsid w:val="00483FDC"/>
    <w:rsid w:val="004B49E4"/>
    <w:rsid w:val="004D2AC4"/>
    <w:rsid w:val="004D4240"/>
    <w:rsid w:val="004E3D64"/>
    <w:rsid w:val="004E66C5"/>
    <w:rsid w:val="004F4891"/>
    <w:rsid w:val="00527479"/>
    <w:rsid w:val="00531BB6"/>
    <w:rsid w:val="00553DD0"/>
    <w:rsid w:val="00564DFA"/>
    <w:rsid w:val="00571DCD"/>
    <w:rsid w:val="00580005"/>
    <w:rsid w:val="00580B86"/>
    <w:rsid w:val="0058507A"/>
    <w:rsid w:val="00596E11"/>
    <w:rsid w:val="005A2FB7"/>
    <w:rsid w:val="005A6F4D"/>
    <w:rsid w:val="005B09E0"/>
    <w:rsid w:val="005B0CC9"/>
    <w:rsid w:val="005D092F"/>
    <w:rsid w:val="005E1FFE"/>
    <w:rsid w:val="005E2DD8"/>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C4E34"/>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F57CF"/>
    <w:rsid w:val="009035F2"/>
    <w:rsid w:val="009142C9"/>
    <w:rsid w:val="00924A66"/>
    <w:rsid w:val="00930211"/>
    <w:rsid w:val="0093046D"/>
    <w:rsid w:val="00944B71"/>
    <w:rsid w:val="009470FA"/>
    <w:rsid w:val="0095632F"/>
    <w:rsid w:val="00962EBB"/>
    <w:rsid w:val="009929D2"/>
    <w:rsid w:val="00997C34"/>
    <w:rsid w:val="009A490D"/>
    <w:rsid w:val="009B101D"/>
    <w:rsid w:val="009C531C"/>
    <w:rsid w:val="009D06C6"/>
    <w:rsid w:val="009E1A7D"/>
    <w:rsid w:val="00A01517"/>
    <w:rsid w:val="00A03A12"/>
    <w:rsid w:val="00A0638E"/>
    <w:rsid w:val="00A502FB"/>
    <w:rsid w:val="00A540EA"/>
    <w:rsid w:val="00A830C0"/>
    <w:rsid w:val="00A97FC9"/>
    <w:rsid w:val="00AA3760"/>
    <w:rsid w:val="00AA67FB"/>
    <w:rsid w:val="00AA6A96"/>
    <w:rsid w:val="00AD2504"/>
    <w:rsid w:val="00B02D14"/>
    <w:rsid w:val="00B15DDE"/>
    <w:rsid w:val="00B33213"/>
    <w:rsid w:val="00B46C49"/>
    <w:rsid w:val="00B832BA"/>
    <w:rsid w:val="00B868C3"/>
    <w:rsid w:val="00B97C02"/>
    <w:rsid w:val="00BA00F7"/>
    <w:rsid w:val="00BA6609"/>
    <w:rsid w:val="00BB66EB"/>
    <w:rsid w:val="00BC443F"/>
    <w:rsid w:val="00BC6547"/>
    <w:rsid w:val="00BD62C4"/>
    <w:rsid w:val="00BE5553"/>
    <w:rsid w:val="00C00C1E"/>
    <w:rsid w:val="00C41993"/>
    <w:rsid w:val="00C63EA7"/>
    <w:rsid w:val="00C65049"/>
    <w:rsid w:val="00C76EC9"/>
    <w:rsid w:val="00C8782D"/>
    <w:rsid w:val="00C94C21"/>
    <w:rsid w:val="00C96A7B"/>
    <w:rsid w:val="00CB7B0F"/>
    <w:rsid w:val="00CE2659"/>
    <w:rsid w:val="00D1061C"/>
    <w:rsid w:val="00D30760"/>
    <w:rsid w:val="00D43CFD"/>
    <w:rsid w:val="00D5782C"/>
    <w:rsid w:val="00D67988"/>
    <w:rsid w:val="00D74462"/>
    <w:rsid w:val="00D75D0F"/>
    <w:rsid w:val="00D774EF"/>
    <w:rsid w:val="00D94C07"/>
    <w:rsid w:val="00DC1F28"/>
    <w:rsid w:val="00DE365C"/>
    <w:rsid w:val="00DE7698"/>
    <w:rsid w:val="00DF314C"/>
    <w:rsid w:val="00E00CF1"/>
    <w:rsid w:val="00E0232C"/>
    <w:rsid w:val="00E030D6"/>
    <w:rsid w:val="00E160C6"/>
    <w:rsid w:val="00E179B4"/>
    <w:rsid w:val="00E23ACE"/>
    <w:rsid w:val="00E35F81"/>
    <w:rsid w:val="00E45958"/>
    <w:rsid w:val="00E6116E"/>
    <w:rsid w:val="00E6236F"/>
    <w:rsid w:val="00E660C7"/>
    <w:rsid w:val="00E95486"/>
    <w:rsid w:val="00EA0D8F"/>
    <w:rsid w:val="00EB7470"/>
    <w:rsid w:val="00EC40F3"/>
    <w:rsid w:val="00EF6D7D"/>
    <w:rsid w:val="00EF7F99"/>
    <w:rsid w:val="00F05EA0"/>
    <w:rsid w:val="00F1081F"/>
    <w:rsid w:val="00F15FF2"/>
    <w:rsid w:val="00F166DC"/>
    <w:rsid w:val="00F22977"/>
    <w:rsid w:val="00F3602A"/>
    <w:rsid w:val="00F52A96"/>
    <w:rsid w:val="00F6605B"/>
    <w:rsid w:val="00F6794E"/>
    <w:rsid w:val="00F73151"/>
    <w:rsid w:val="00F74AD5"/>
    <w:rsid w:val="00F76D99"/>
    <w:rsid w:val="00F772BB"/>
    <w:rsid w:val="00F81255"/>
    <w:rsid w:val="00F84D64"/>
    <w:rsid w:val="00F972AD"/>
    <w:rsid w:val="00FA4988"/>
    <w:rsid w:val="00FA4E12"/>
    <w:rsid w:val="00FB2581"/>
    <w:rsid w:val="00FB5B18"/>
    <w:rsid w:val="00FD2438"/>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NoSpacing">
    <w:name w:val="No Spacing"/>
    <w:uiPriority w:val="1"/>
    <w:qFormat/>
    <w:rsid w:val="00EA0D8F"/>
    <w:rPr>
      <w:rFonts w:eastAsiaTheme="minorEastAsia"/>
      <w:kern w:val="2"/>
      <w:lang w:eastAsia="ja-JP"/>
      <w14:ligatures w14:val="standardContextual"/>
    </w:rPr>
  </w:style>
  <w:style w:type="paragraph" w:styleId="FootnoteText">
    <w:name w:val="footnote text"/>
    <w:basedOn w:val="Normal"/>
    <w:link w:val="FootnoteTextChar"/>
    <w:uiPriority w:val="99"/>
    <w:semiHidden/>
    <w:unhideWhenUsed/>
    <w:rsid w:val="00EA0D8F"/>
    <w:pPr>
      <w:spacing w:after="0" w:line="240" w:lineRule="auto"/>
    </w:pPr>
    <w:rPr>
      <w:rFonts w:asciiTheme="minorHAnsi" w:eastAsiaTheme="minorEastAsia" w:hAnsiTheme="minorHAnsi" w:cstheme="minorBidi"/>
      <w:kern w:val="2"/>
      <w:sz w:val="20"/>
      <w:szCs w:val="20"/>
      <w:lang w:eastAsia="ja-JP"/>
      <w14:ligatures w14:val="standardContextual"/>
    </w:rPr>
  </w:style>
  <w:style w:type="character" w:customStyle="1" w:styleId="FootnoteTextChar">
    <w:name w:val="Footnote Text Char"/>
    <w:basedOn w:val="DefaultParagraphFont"/>
    <w:link w:val="FootnoteText"/>
    <w:uiPriority w:val="99"/>
    <w:semiHidden/>
    <w:rsid w:val="00EA0D8F"/>
    <w:rPr>
      <w:rFonts w:eastAsiaTheme="minorEastAsia"/>
      <w:kern w:val="2"/>
      <w:sz w:val="20"/>
      <w:szCs w:val="20"/>
      <w:lang w:eastAsia="ja-JP"/>
      <w14:ligatures w14:val="standardContextual"/>
    </w:rPr>
  </w:style>
  <w:style w:type="character" w:styleId="FootnoteReference">
    <w:name w:val="footnote reference"/>
    <w:basedOn w:val="DefaultParagraphFont"/>
    <w:uiPriority w:val="99"/>
    <w:semiHidden/>
    <w:unhideWhenUsed/>
    <w:rsid w:val="00EA0D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10891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2</cp:revision>
  <dcterms:created xsi:type="dcterms:W3CDTF">2026-08-09T14:51:00Z</dcterms:created>
  <dcterms:modified xsi:type="dcterms:W3CDTF">2026-08-09T14:51:00Z</dcterms:modified>
</cp:coreProperties>
</file>