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C06A2" w14:textId="66BFB6D0" w:rsidR="00430E90" w:rsidRDefault="00430E90" w:rsidP="00430E90">
      <w:pPr>
        <w:ind w:firstLine="0"/>
        <w:jc w:val="both"/>
        <w:rPr>
          <w:b/>
          <w:bCs/>
        </w:rPr>
      </w:pPr>
      <w:r w:rsidRPr="00430E90">
        <w:rPr>
          <w:b/>
          <w:bCs/>
        </w:rPr>
        <w:t xml:space="preserve">La importancia jurídica de cada palabra en una anotación </w:t>
      </w:r>
      <w:r>
        <w:rPr>
          <w:b/>
          <w:bCs/>
        </w:rPr>
        <w:t>en los libros</w:t>
      </w:r>
    </w:p>
    <w:p w14:paraId="60AB28E3" w14:textId="77777777" w:rsidR="00430E90" w:rsidRPr="00430E90" w:rsidRDefault="00430E90" w:rsidP="00430E90">
      <w:pPr>
        <w:ind w:firstLine="0"/>
        <w:jc w:val="both"/>
        <w:rPr>
          <w:b/>
          <w:bCs/>
        </w:rPr>
      </w:pPr>
    </w:p>
    <w:p w14:paraId="51277427" w14:textId="4E94FE0B" w:rsidR="00430E90" w:rsidRPr="00430E90" w:rsidRDefault="00430E90" w:rsidP="00430E90">
      <w:pPr>
        <w:ind w:firstLine="0"/>
        <w:jc w:val="both"/>
      </w:pPr>
      <w:r w:rsidRPr="00430E90">
        <w:t>En la actividad policial, una anotación en un libro no cumple únicamente una función administrativa</w:t>
      </w:r>
      <w:r>
        <w:t>, c</w:t>
      </w:r>
      <w:r w:rsidRPr="00430E90">
        <w:t xml:space="preserve">ada registro constituye un </w:t>
      </w:r>
      <w:r w:rsidRPr="00430E90">
        <w:rPr>
          <w:highlight w:val="yellow"/>
        </w:rPr>
        <w:t>documento público elaborado por un servidor público</w:t>
      </w:r>
      <w:r w:rsidRPr="00430E90">
        <w:t xml:space="preserve"> en </w:t>
      </w:r>
      <w:r w:rsidRPr="00430E90">
        <w:rPr>
          <w:highlight w:val="cyan"/>
        </w:rPr>
        <w:t>ejercicio de sus funciones</w:t>
      </w:r>
      <w:r w:rsidRPr="00430E90">
        <w:t xml:space="preserve"> y, por ello, puede adquirir un importante </w:t>
      </w:r>
      <w:r w:rsidRPr="00430E90">
        <w:rPr>
          <w:highlight w:val="magenta"/>
        </w:rPr>
        <w:t>valor probatorio dentro de una investigación disciplinaria, penal, administrativa</w:t>
      </w:r>
      <w:r w:rsidRPr="00430E90">
        <w:t xml:space="preserve"> o de cualquier actuación judicial en la que sea necesario reconstruir los hechos. En numerosas ocasiones, la anotación realizada por el funcionario es el primer documento que consulta un investigador para establecer la cronología de los acontecimientos, identificar a los responsables de determinadas actuaciones y verificar si el servicio se prestó conforme a los protocolos institucionales.</w:t>
      </w:r>
    </w:p>
    <w:p w14:paraId="719FED62" w14:textId="1881C1E7" w:rsidR="00430E90" w:rsidRPr="00430E90" w:rsidRDefault="00430E90" w:rsidP="00430E90">
      <w:pPr>
        <w:ind w:firstLine="0"/>
        <w:jc w:val="both"/>
      </w:pPr>
      <w:r w:rsidRPr="00430E90">
        <w:t>Por esa razón, cada palabra escrita tiene consecuencias jurídicas</w:t>
      </w:r>
      <w:r w:rsidR="00B11346">
        <w:t>, u</w:t>
      </w:r>
      <w:r w:rsidRPr="00430E90">
        <w:t xml:space="preserve">na anotación clara y precisa </w:t>
      </w:r>
      <w:r w:rsidRPr="00B11346">
        <w:rPr>
          <w:highlight w:val="green"/>
        </w:rPr>
        <w:t>puede respaldar</w:t>
      </w:r>
      <w:r w:rsidRPr="00430E90">
        <w:t xml:space="preserve"> la actuación del funcionario y </w:t>
      </w:r>
      <w:r w:rsidRPr="00B11346">
        <w:rPr>
          <w:highlight w:val="magenta"/>
        </w:rPr>
        <w:t>facilitar el esclarecimiento de los hechos</w:t>
      </w:r>
      <w:r w:rsidRPr="00430E90">
        <w:t xml:space="preserve">; por el contrario, </w:t>
      </w:r>
      <w:r w:rsidRPr="00B11346">
        <w:rPr>
          <w:highlight w:val="red"/>
        </w:rPr>
        <w:t>una anotación ambigua</w:t>
      </w:r>
      <w:r w:rsidRPr="00430E90">
        <w:t>, incompleta o contradictoria puede afectar su credibilidad y disminuir su valor probatorio.</w:t>
      </w:r>
    </w:p>
    <w:p w14:paraId="1F62B40D" w14:textId="77777777" w:rsidR="00430E90" w:rsidRPr="00430E90" w:rsidRDefault="00430E90" w:rsidP="00430E90">
      <w:pPr>
        <w:ind w:firstLine="0"/>
        <w:jc w:val="both"/>
        <w:rPr>
          <w:b/>
          <w:bCs/>
        </w:rPr>
      </w:pPr>
      <w:r w:rsidRPr="00430E90">
        <w:rPr>
          <w:b/>
          <w:bCs/>
        </w:rPr>
        <w:t>Objetividad</w:t>
      </w:r>
    </w:p>
    <w:p w14:paraId="28A21C7C" w14:textId="3531ABA2" w:rsidR="00430E90" w:rsidRPr="00430E90" w:rsidRDefault="00430E90" w:rsidP="00430E90">
      <w:pPr>
        <w:ind w:firstLine="0"/>
        <w:jc w:val="both"/>
      </w:pPr>
      <w:r w:rsidRPr="00430E90">
        <w:t xml:space="preserve">La objetividad consiste en registrar únicamente hechos comprobables, </w:t>
      </w:r>
      <w:r w:rsidRPr="00B11346">
        <w:rPr>
          <w:highlight w:val="green"/>
        </w:rPr>
        <w:t>sin opiniones personales</w:t>
      </w:r>
      <w:r w:rsidRPr="00430E90">
        <w:t xml:space="preserve">, interpretaciones o conclusiones. En una investigación disciplinaria, el </w:t>
      </w:r>
      <w:r w:rsidR="00B11346">
        <w:t xml:space="preserve">sustanciador </w:t>
      </w:r>
      <w:r w:rsidRPr="00430E90">
        <w:t>disciplinario valorará si el funcionario consignó hechos verificables o si incorporó apreciaciones subjetivas. En un proceso penal, un fiscal comparará la anotación con entrevistas, grabaciones, cámaras, informes y demás evidencias. Si el documento contiene opiniones en lugar de hechos, su fuerza probatoria disminuye.</w:t>
      </w:r>
    </w:p>
    <w:p w14:paraId="6E2B78A4" w14:textId="233EA6AA" w:rsidR="00430E90" w:rsidRPr="00E21EF9" w:rsidRDefault="00430E90" w:rsidP="00430E90">
      <w:pPr>
        <w:ind w:firstLine="0"/>
        <w:jc w:val="both"/>
        <w:rPr>
          <w:i/>
          <w:iCs/>
        </w:rPr>
      </w:pPr>
      <w:r w:rsidRPr="00430E90">
        <w:t xml:space="preserve">Por ejemplo, escribir: </w:t>
      </w:r>
      <w:r w:rsidRPr="00430E90">
        <w:rPr>
          <w:i/>
          <w:iCs/>
        </w:rPr>
        <w:t xml:space="preserve">"El ciudadano estaba </w:t>
      </w:r>
      <w:r w:rsidR="00011FB9">
        <w:rPr>
          <w:i/>
          <w:iCs/>
        </w:rPr>
        <w:t>en actitud sospechosa</w:t>
      </w:r>
      <w:r w:rsidRPr="00430E90">
        <w:rPr>
          <w:i/>
          <w:iCs/>
        </w:rPr>
        <w:t>"</w:t>
      </w:r>
      <w:r w:rsidRPr="00430E90">
        <w:t xml:space="preserve"> no describe un hecho; </w:t>
      </w:r>
      <w:r w:rsidRPr="00116EFD">
        <w:rPr>
          <w:highlight w:val="yellow"/>
        </w:rPr>
        <w:t>es una apreciación personal.</w:t>
      </w:r>
      <w:r w:rsidRPr="00430E90">
        <w:t xml:space="preserve"> En cambio, indicar: </w:t>
      </w:r>
      <w:r w:rsidRPr="00430E90">
        <w:rPr>
          <w:i/>
          <w:iCs/>
        </w:rPr>
        <w:t xml:space="preserve">"El ciudadano </w:t>
      </w:r>
      <w:r w:rsidR="00011FB9">
        <w:rPr>
          <w:i/>
          <w:iCs/>
        </w:rPr>
        <w:t xml:space="preserve">se alejaba, tenia una conducta no cooperante ante las ordenes de </w:t>
      </w:r>
      <w:r w:rsidR="00E21EF9">
        <w:rPr>
          <w:i/>
          <w:iCs/>
        </w:rPr>
        <w:t>policía</w:t>
      </w:r>
      <w:r w:rsidR="00011FB9">
        <w:rPr>
          <w:i/>
          <w:iCs/>
        </w:rPr>
        <w:t xml:space="preserve">, </w:t>
      </w:r>
      <w:r w:rsidRPr="00430E90">
        <w:rPr>
          <w:i/>
          <w:iCs/>
        </w:rPr>
        <w:t>evitó responder preguntas sobre su identificación</w:t>
      </w:r>
      <w:r w:rsidR="00011FB9">
        <w:rPr>
          <w:i/>
          <w:iCs/>
        </w:rPr>
        <w:t xml:space="preserve">, </w:t>
      </w:r>
      <w:r w:rsidRPr="00430E90">
        <w:rPr>
          <w:i/>
          <w:iCs/>
        </w:rPr>
        <w:t xml:space="preserve"> trató de </w:t>
      </w:r>
      <w:r w:rsidR="00E21EF9">
        <w:rPr>
          <w:i/>
          <w:iCs/>
        </w:rPr>
        <w:t>huir</w:t>
      </w:r>
      <w:r w:rsidRPr="00430E90">
        <w:rPr>
          <w:i/>
          <w:iCs/>
        </w:rPr>
        <w:t xml:space="preserve"> </w:t>
      </w:r>
      <w:r w:rsidR="00E21EF9">
        <w:rPr>
          <w:i/>
          <w:iCs/>
        </w:rPr>
        <w:t>d</w:t>
      </w:r>
      <w:r w:rsidRPr="00430E90">
        <w:rPr>
          <w:i/>
          <w:iCs/>
        </w:rPr>
        <w:t>el lugar cuando se inició el procedimiento"</w:t>
      </w:r>
      <w:r w:rsidRPr="00430E90">
        <w:t xml:space="preserve"> describe conductas observables que pueden ser corroboradas por otros medios de prueba.</w:t>
      </w:r>
    </w:p>
    <w:p w14:paraId="14C0233E" w14:textId="77777777" w:rsidR="00430E90" w:rsidRPr="00430E90" w:rsidRDefault="00430E90" w:rsidP="00430E90">
      <w:pPr>
        <w:ind w:firstLine="0"/>
        <w:jc w:val="both"/>
        <w:rPr>
          <w:b/>
          <w:bCs/>
        </w:rPr>
      </w:pPr>
      <w:r w:rsidRPr="00430E90">
        <w:rPr>
          <w:b/>
          <w:bCs/>
        </w:rPr>
        <w:t>Cronología</w:t>
      </w:r>
    </w:p>
    <w:p w14:paraId="2A14B826" w14:textId="2F59BA10" w:rsidR="00430E90" w:rsidRPr="00430E90" w:rsidRDefault="00430E90" w:rsidP="00430E90">
      <w:pPr>
        <w:ind w:firstLine="0"/>
        <w:jc w:val="both"/>
      </w:pPr>
      <w:r w:rsidRPr="00430E90">
        <w:t>Toda actuación debe registrarse en el orden en que ocurrió</w:t>
      </w:r>
      <w:r w:rsidR="00116EFD">
        <w:t>, c</w:t>
      </w:r>
      <w:r w:rsidRPr="00430E90">
        <w:t>uando una investigación intenta reconstruir un procedimiento, la secuencia temporal resulta fundamental</w:t>
      </w:r>
      <w:r w:rsidR="00116EFD">
        <w:t>; s</w:t>
      </w:r>
      <w:r w:rsidRPr="00430E90">
        <w:t>i una anotación altera el orden de los hechos o mezcla actuaciones diferentes sin claridad, puede generar dudas sobre la forma en que realmente sucedieron los acontecimientos.</w:t>
      </w:r>
    </w:p>
    <w:p w14:paraId="77E94D3D" w14:textId="77777777" w:rsidR="00430E90" w:rsidRPr="00430E90" w:rsidRDefault="00430E90" w:rsidP="00430E90">
      <w:pPr>
        <w:ind w:firstLine="0"/>
        <w:jc w:val="both"/>
      </w:pPr>
      <w:r w:rsidRPr="00430E90">
        <w:t>Por ejemplo, si primero se realizó una verificación de inventario, luego se recibieron las consignas y finalmente se asumió el servicio, ese debe ser el mismo orden en la anotación. La cronología facilita que cualquier lector comprenda el desarrollo del servicio sin necesidad de interpretaciones adicionales.</w:t>
      </w:r>
    </w:p>
    <w:p w14:paraId="4C450948" w14:textId="77777777" w:rsidR="00430E90" w:rsidRPr="00430E90" w:rsidRDefault="00430E90" w:rsidP="00430E90">
      <w:pPr>
        <w:ind w:firstLine="0"/>
        <w:jc w:val="both"/>
        <w:rPr>
          <w:b/>
          <w:bCs/>
        </w:rPr>
      </w:pPr>
      <w:r w:rsidRPr="00430E90">
        <w:rPr>
          <w:b/>
          <w:bCs/>
        </w:rPr>
        <w:t>Precisión</w:t>
      </w:r>
    </w:p>
    <w:p w14:paraId="0F81ED32" w14:textId="77777777" w:rsidR="00430E90" w:rsidRPr="00430E90" w:rsidRDefault="00430E90" w:rsidP="00430E90">
      <w:pPr>
        <w:ind w:firstLine="0"/>
        <w:jc w:val="both"/>
      </w:pPr>
      <w:r w:rsidRPr="00430E90">
        <w:t>La precisión exige identificar claramente personas, cargos, bienes, lugares y actuaciones. Las expresiones generales suelen generar vacíos que, durante una investigación, obligan a formular preguntas adicionales.</w:t>
      </w:r>
    </w:p>
    <w:p w14:paraId="06754912" w14:textId="79D33079" w:rsidR="00430E90" w:rsidRPr="00430E90" w:rsidRDefault="00430E90" w:rsidP="00430E90">
      <w:pPr>
        <w:ind w:firstLine="0"/>
        <w:jc w:val="both"/>
      </w:pPr>
      <w:r w:rsidRPr="00430E90">
        <w:lastRenderedPageBreak/>
        <w:t xml:space="preserve">No es igual escribir: </w:t>
      </w:r>
      <w:r w:rsidRPr="00430E90">
        <w:rPr>
          <w:i/>
          <w:iCs/>
        </w:rPr>
        <w:t>"Se verificaron los elementos"</w:t>
      </w:r>
      <w:r w:rsidRPr="00430E90">
        <w:t xml:space="preserve"> que consignar: </w:t>
      </w:r>
      <w:r w:rsidRPr="00430E90">
        <w:rPr>
          <w:i/>
          <w:iCs/>
        </w:rPr>
        <w:t>"Se verificó el armamento asignado</w:t>
      </w:r>
      <w:r w:rsidR="003842A0">
        <w:rPr>
          <w:i/>
          <w:iCs/>
        </w:rPr>
        <w:t xml:space="preserve"> (03 pistolas </w:t>
      </w:r>
      <w:proofErr w:type="spellStart"/>
      <w:r w:rsidR="003842A0">
        <w:rPr>
          <w:i/>
          <w:iCs/>
        </w:rPr>
        <w:t>sig</w:t>
      </w:r>
      <w:proofErr w:type="spellEnd"/>
      <w:r w:rsidR="003842A0">
        <w:rPr>
          <w:i/>
          <w:iCs/>
        </w:rPr>
        <w:t xml:space="preserve"> </w:t>
      </w:r>
      <w:proofErr w:type="spellStart"/>
      <w:r w:rsidR="003842A0">
        <w:rPr>
          <w:i/>
          <w:iCs/>
        </w:rPr>
        <w:t>sauer</w:t>
      </w:r>
      <w:proofErr w:type="spellEnd"/>
      <w:r w:rsidR="003842A0">
        <w:rPr>
          <w:i/>
          <w:iCs/>
        </w:rPr>
        <w:t xml:space="preserve"> con 03 proveedores cada una)</w:t>
      </w:r>
      <w:r w:rsidRPr="00430E90">
        <w:rPr>
          <w:i/>
          <w:iCs/>
        </w:rPr>
        <w:t>, los equipos de comunicación, el inventario del puesto y la documentación correspondiente."</w:t>
      </w:r>
      <w:r w:rsidRPr="00430E90">
        <w:t xml:space="preserve"> La segunda redacción permite conocer exactamente qué fue revisado y ofrece mayor respaldo documental.</w:t>
      </w:r>
    </w:p>
    <w:p w14:paraId="5C80E9F7" w14:textId="77777777" w:rsidR="00430E90" w:rsidRPr="00430E90" w:rsidRDefault="00430E90" w:rsidP="00430E90">
      <w:pPr>
        <w:ind w:firstLine="0"/>
        <w:jc w:val="both"/>
        <w:rPr>
          <w:b/>
          <w:bCs/>
        </w:rPr>
      </w:pPr>
      <w:r w:rsidRPr="00430E90">
        <w:rPr>
          <w:b/>
          <w:bCs/>
        </w:rPr>
        <w:t>Verificabilidad</w:t>
      </w:r>
    </w:p>
    <w:p w14:paraId="589C8BEF" w14:textId="77777777" w:rsidR="00430E90" w:rsidRPr="00430E90" w:rsidRDefault="00430E90" w:rsidP="00430E90">
      <w:pPr>
        <w:ind w:firstLine="0"/>
        <w:jc w:val="both"/>
      </w:pPr>
      <w:r w:rsidRPr="00430E90">
        <w:t xml:space="preserve">Todo lo consignado debe poder corroborarse mediante otros medios de prueba. </w:t>
      </w:r>
      <w:r w:rsidRPr="00724D6A">
        <w:rPr>
          <w:highlight w:val="yellow"/>
        </w:rPr>
        <w:t>Una anotación adquiere mayor valor cuando coincide con videos</w:t>
      </w:r>
      <w:r w:rsidRPr="00430E90">
        <w:t>, registros de radio, inventarios, actas, testimonios o informes.</w:t>
      </w:r>
    </w:p>
    <w:p w14:paraId="08B13C8D" w14:textId="23CD81A1" w:rsidR="00430E90" w:rsidRPr="00430E90" w:rsidRDefault="00430E90" w:rsidP="00430E90">
      <w:pPr>
        <w:ind w:firstLine="0"/>
        <w:jc w:val="both"/>
      </w:pPr>
      <w:r w:rsidRPr="00430E90">
        <w:t xml:space="preserve">Frases como </w:t>
      </w:r>
      <w:r w:rsidRPr="00430E90">
        <w:rPr>
          <w:i/>
          <w:iCs/>
        </w:rPr>
        <w:t>"se verificó conforme al inventario"</w:t>
      </w:r>
      <w:r w:rsidRPr="00430E90">
        <w:t xml:space="preserve"> o </w:t>
      </w:r>
      <w:r w:rsidRPr="00430E90">
        <w:rPr>
          <w:i/>
          <w:iCs/>
        </w:rPr>
        <w:t>"sin novedades reportadas por el funcionario saliente"</w:t>
      </w:r>
      <w:r w:rsidRPr="00430E90">
        <w:t xml:space="preserve"> describen actuaciones que pueden contrastarse con otros documentos. En cambio, afirmaciones como </w:t>
      </w:r>
      <w:r w:rsidRPr="00430E90">
        <w:rPr>
          <w:i/>
          <w:iCs/>
        </w:rPr>
        <w:t xml:space="preserve">"todo </w:t>
      </w:r>
      <w:r w:rsidR="00724D6A">
        <w:rPr>
          <w:i/>
          <w:iCs/>
        </w:rPr>
        <w:t>sin novedad</w:t>
      </w:r>
      <w:r w:rsidRPr="00430E90">
        <w:rPr>
          <w:i/>
          <w:iCs/>
        </w:rPr>
        <w:t>"</w:t>
      </w:r>
      <w:r w:rsidRPr="00430E90">
        <w:t xml:space="preserve"> son difíciles de comprobar porque no explican qué se verificó ni cómo se llegó a esa conclusión.</w:t>
      </w:r>
    </w:p>
    <w:p w14:paraId="126C8FD8" w14:textId="77777777" w:rsidR="00430E90" w:rsidRPr="00430E90" w:rsidRDefault="00430E90" w:rsidP="00430E90">
      <w:pPr>
        <w:ind w:firstLine="0"/>
        <w:jc w:val="both"/>
        <w:rPr>
          <w:b/>
          <w:bCs/>
        </w:rPr>
      </w:pPr>
      <w:r w:rsidRPr="00430E90">
        <w:rPr>
          <w:b/>
          <w:bCs/>
        </w:rPr>
        <w:t>Neutralidad</w:t>
      </w:r>
    </w:p>
    <w:p w14:paraId="69D701CC" w14:textId="77777777" w:rsidR="00430E90" w:rsidRPr="00430E90" w:rsidRDefault="00430E90" w:rsidP="00430E90">
      <w:pPr>
        <w:ind w:firstLine="0"/>
        <w:jc w:val="both"/>
      </w:pPr>
      <w:r w:rsidRPr="00430E90">
        <w:t>La neutralidad implica utilizar un lenguaje técnico e imparcial. Una anotación no debe buscar justificar decisiones ni persuadir al lector; su finalidad es dejar constancia fiel de los hechos.</w:t>
      </w:r>
    </w:p>
    <w:p w14:paraId="786CCF04" w14:textId="77777777" w:rsidR="00430E90" w:rsidRPr="00430E90" w:rsidRDefault="00430E90" w:rsidP="00430E90">
      <w:pPr>
        <w:ind w:firstLine="0"/>
        <w:jc w:val="both"/>
      </w:pPr>
      <w:r w:rsidRPr="00430E90">
        <w:t xml:space="preserve">Expresiones como </w:t>
      </w:r>
      <w:r w:rsidRPr="00430E90">
        <w:rPr>
          <w:i/>
          <w:iCs/>
        </w:rPr>
        <w:t>"excelente servicio"</w:t>
      </w:r>
      <w:r w:rsidRPr="00430E90">
        <w:t xml:space="preserve">, </w:t>
      </w:r>
      <w:r w:rsidRPr="00430E90">
        <w:rPr>
          <w:i/>
          <w:iCs/>
        </w:rPr>
        <w:t>"muy buena actitud"</w:t>
      </w:r>
      <w:r w:rsidRPr="00430E90">
        <w:t xml:space="preserve"> o </w:t>
      </w:r>
      <w:r w:rsidRPr="00430E90">
        <w:rPr>
          <w:i/>
          <w:iCs/>
        </w:rPr>
        <w:t>"el ciudadano actuó de mala fe"</w:t>
      </w:r>
      <w:r w:rsidRPr="00430E90">
        <w:t xml:space="preserve"> incorporan valoraciones personales. Resulta preferible describir los hechos concretos que dieron origen a esas percepciones.</w:t>
      </w:r>
    </w:p>
    <w:p w14:paraId="014EB97A" w14:textId="77777777" w:rsidR="00430E90" w:rsidRPr="00430E90" w:rsidRDefault="00430E90" w:rsidP="00430E90">
      <w:pPr>
        <w:ind w:firstLine="0"/>
        <w:jc w:val="both"/>
        <w:rPr>
          <w:b/>
          <w:bCs/>
        </w:rPr>
      </w:pPr>
      <w:r w:rsidRPr="00430E90">
        <w:rPr>
          <w:b/>
          <w:bCs/>
        </w:rPr>
        <w:t>El valor probatorio de una anotación</w:t>
      </w:r>
    </w:p>
    <w:p w14:paraId="442E3BE3" w14:textId="77777777" w:rsidR="00430E90" w:rsidRPr="00430E90" w:rsidRDefault="00430E90" w:rsidP="00430E90">
      <w:pPr>
        <w:ind w:firstLine="0"/>
        <w:jc w:val="both"/>
      </w:pPr>
      <w:r w:rsidRPr="00430E90">
        <w:t>En un informe administrativo, la anotación sirve para documentar el desarrollo del servicio y respaldar actuaciones posteriores. Si existe coherencia entre la anotación, el informe y los demás documentos, aumenta la confiabilidad del registro.</w:t>
      </w:r>
    </w:p>
    <w:p w14:paraId="3CBC40A5" w14:textId="77777777" w:rsidR="00430E90" w:rsidRPr="00430E90" w:rsidRDefault="00430E90" w:rsidP="00430E90">
      <w:pPr>
        <w:ind w:firstLine="0"/>
        <w:jc w:val="both"/>
      </w:pPr>
      <w:r w:rsidRPr="00430E90">
        <w:t>En una investigación disciplinaria, la anotación puede ser utilizada para verificar si el funcionario cumplió con los protocolos institucionales, si registró oportunamente las novedades y si existe coherencia entre lo escrito y las demás evidencias. La omisión de hechos relevantes, las contradicciones o las imprecisiones pueden afectar la valoración del documento.</w:t>
      </w:r>
    </w:p>
    <w:p w14:paraId="1D08BC55" w14:textId="5B32811E" w:rsidR="00430E90" w:rsidRPr="00430E90" w:rsidRDefault="00430E90" w:rsidP="00430E90">
      <w:pPr>
        <w:ind w:firstLine="0"/>
        <w:jc w:val="both"/>
      </w:pPr>
      <w:r w:rsidRPr="00430E90">
        <w:t>En una investigación penal, la anotación también puede ser examinada junto con otros elementos de prueba</w:t>
      </w:r>
      <w:r w:rsidR="00AA2FAD">
        <w:t>, n</w:t>
      </w:r>
      <w:r w:rsidRPr="00430E90">
        <w:t xml:space="preserve">o reemplaza la investigación ni determina por sí sola la responsabilidad de una persona, </w:t>
      </w:r>
      <w:r w:rsidRPr="00AA2FAD">
        <w:rPr>
          <w:highlight w:val="yellow"/>
        </w:rPr>
        <w:t>pero puede contribuir a establecer la secuencia de los hechos</w:t>
      </w:r>
      <w:r w:rsidRPr="00430E90">
        <w:t>, identificar a los intervinientes y verificar la consistencia entre las diferentes evidencias.</w:t>
      </w:r>
    </w:p>
    <w:p w14:paraId="62B0D3C1" w14:textId="77777777" w:rsidR="00941CFA" w:rsidRPr="00941CFA" w:rsidRDefault="00941CFA" w:rsidP="00941CFA">
      <w:pPr>
        <w:ind w:firstLine="0"/>
        <w:jc w:val="both"/>
        <w:rPr>
          <w:b/>
          <w:bCs/>
        </w:rPr>
      </w:pPr>
      <w:r w:rsidRPr="00941CFA">
        <w:rPr>
          <w:b/>
          <w:bCs/>
        </w:rPr>
        <w:t>¿Por qué no es recomendable iniciar una anotación con la expresión "A esta hora y fecha"?</w:t>
      </w:r>
    </w:p>
    <w:p w14:paraId="34B87B57" w14:textId="77777777" w:rsidR="00941CFA" w:rsidRPr="00941CFA" w:rsidRDefault="00941CFA" w:rsidP="00941CFA">
      <w:pPr>
        <w:ind w:firstLine="0"/>
        <w:jc w:val="both"/>
      </w:pPr>
      <w:r w:rsidRPr="00941CFA">
        <w:t xml:space="preserve">Una de las primeras reglas de la redacción de documentos públicos consiste en comprender que </w:t>
      </w:r>
      <w:r w:rsidRPr="00941CFA">
        <w:rPr>
          <w:b/>
          <w:bCs/>
        </w:rPr>
        <w:t>cada parte del documento cumple una función específica</w:t>
      </w:r>
      <w:r w:rsidRPr="00941CFA">
        <w:t xml:space="preserve">. En los libros oficiales de la Policía Nacional existen casillas destinadas a registrar la </w:t>
      </w:r>
      <w:r w:rsidRPr="00941CFA">
        <w:rPr>
          <w:b/>
          <w:bCs/>
        </w:rPr>
        <w:t>fecha</w:t>
      </w:r>
      <w:r w:rsidRPr="00941CFA">
        <w:t xml:space="preserve">, la </w:t>
      </w:r>
      <w:r w:rsidRPr="00941CFA">
        <w:rPr>
          <w:b/>
          <w:bCs/>
        </w:rPr>
        <w:t>hora</w:t>
      </w:r>
      <w:r w:rsidRPr="00941CFA">
        <w:t xml:space="preserve"> y la </w:t>
      </w:r>
      <w:r w:rsidRPr="00941CFA">
        <w:rPr>
          <w:b/>
          <w:bCs/>
        </w:rPr>
        <w:t>clase de anotación</w:t>
      </w:r>
      <w:r w:rsidRPr="00941CFA">
        <w:t xml:space="preserve"> (recepción de servicio, entrega de servicio, novedad, salida, ingreso, entre otras). Una vez diligenciadas estas casillas, dicha información hace parte integral del documento y posee el mismo valor jurídico y probatorio que el texto contenido en la descripción de la anotación.</w:t>
      </w:r>
    </w:p>
    <w:p w14:paraId="2460857C" w14:textId="77777777" w:rsidR="00941CFA" w:rsidRPr="00941CFA" w:rsidRDefault="00941CFA" w:rsidP="00941CFA">
      <w:pPr>
        <w:ind w:firstLine="0"/>
        <w:jc w:val="both"/>
      </w:pPr>
      <w:r w:rsidRPr="00941CFA">
        <w:t xml:space="preserve">Por esta razón, iniciar la anotación con expresiones como </w:t>
      </w:r>
      <w:r w:rsidRPr="00941CFA">
        <w:rPr>
          <w:b/>
          <w:bCs/>
        </w:rPr>
        <w:t>"A esta hora y fecha"</w:t>
      </w:r>
      <w:r w:rsidRPr="00941CFA">
        <w:t xml:space="preserve">, </w:t>
      </w:r>
      <w:r w:rsidRPr="00941CFA">
        <w:rPr>
          <w:b/>
          <w:bCs/>
        </w:rPr>
        <w:t>"En la fecha"</w:t>
      </w:r>
      <w:r w:rsidRPr="00941CFA">
        <w:t xml:space="preserve">, </w:t>
      </w:r>
      <w:r w:rsidRPr="00941CFA">
        <w:rPr>
          <w:b/>
          <w:bCs/>
        </w:rPr>
        <w:t>"Siendo la hora indicada"</w:t>
      </w:r>
      <w:r w:rsidRPr="00941CFA">
        <w:t xml:space="preserve"> o similares no incrementa el valor probatorio del documento, ya que únicamente repite información que ya fue incorporada por el formato oficial. No existe una norma que prohíba utilizar dichas expresiones; sin embargo, desde la documentología, la técnica de redacción documental y la elaboración de documentos públicos, se consideran fórmulas redundantes que no aportan hechos nuevos ni fortalecen el contenido de la anotación.</w:t>
      </w:r>
    </w:p>
    <w:p w14:paraId="25EDA776" w14:textId="77777777" w:rsidR="00941CFA" w:rsidRPr="00941CFA" w:rsidRDefault="00941CFA" w:rsidP="00941CFA">
      <w:pPr>
        <w:ind w:firstLine="0"/>
        <w:jc w:val="both"/>
      </w:pPr>
      <w:r w:rsidRPr="00941CFA">
        <w:t>Desde el punto de vista jurídico, el documento será valorado de manera integral. En una investigación disciplinaria, penal, administrativa o judicial, el operador disciplinario, el fiscal, el juez o cualquier autoridad competente verificará la fecha y la hora directamente en el encabezado del libro, por ser el espacio diseñado institucionalmente para identificar el momento exacto del registro. En consecuencia, repetir esa información dentro del cuerpo de la anotación no genera mayor fuerza probatoria y, por el contrario, si llegara a existir un error de transcripción entre el encabezado y el texto, podría generar inconsistencias documentales que obliguen a aclarar cuál de los dos datos corresponde al registro correcto.</w:t>
      </w:r>
    </w:p>
    <w:p w14:paraId="293E234C" w14:textId="77777777" w:rsidR="00941CFA" w:rsidRPr="00941CFA" w:rsidRDefault="00941CFA" w:rsidP="00941CFA">
      <w:pPr>
        <w:ind w:firstLine="0"/>
        <w:jc w:val="both"/>
      </w:pPr>
      <w:r w:rsidRPr="00941CFA">
        <w:t xml:space="preserve">La documentología aplica además el principio de </w:t>
      </w:r>
      <w:r w:rsidRPr="00941CFA">
        <w:rPr>
          <w:b/>
          <w:bCs/>
        </w:rPr>
        <w:t>economía del lenguaje documental</w:t>
      </w:r>
      <w:r w:rsidRPr="00941CFA">
        <w:t>, según el cual cada palabra incorporada a un documento oficial debe cumplir una finalidad probatoria. Esto significa que toda expresión utilizada debe aportar información útil para demostrar un hecho, identificar una actuación, precisar una circunstancia o facilitar la reconstrucción cronológica de los acontecimientos. Las palabras que únicamente repiten información ya existente en el formato se consideran información redundante, pues no agregan nuevos elementos de convicción.</w:t>
      </w:r>
    </w:p>
    <w:p w14:paraId="4FDCF4BF" w14:textId="77777777" w:rsidR="00941CFA" w:rsidRPr="00941CFA" w:rsidRDefault="00941CFA" w:rsidP="00941CFA">
      <w:pPr>
        <w:ind w:firstLine="0"/>
        <w:jc w:val="both"/>
      </w:pPr>
      <w:r w:rsidRPr="00941CFA">
        <w:t xml:space="preserve">Desde la perspectiva probatoria, la finalidad del cuerpo de la anotación no es reiterar datos de identificación del registro, sino documentar los hechos relevantes ocurridos durante el servicio. Por ello, resulta más técnico iniciar directamente con la actuación administrativa que se pretende registrar. Así, en lugar de escribir: </w:t>
      </w:r>
      <w:r w:rsidRPr="00941CFA">
        <w:rPr>
          <w:b/>
          <w:bCs/>
        </w:rPr>
        <w:t>"A esta hora y fecha se recibe el servicio..."</w:t>
      </w:r>
      <w:r w:rsidRPr="00941CFA">
        <w:t xml:space="preserve">, es preferible consignar: </w:t>
      </w:r>
      <w:r w:rsidRPr="00941CFA">
        <w:rPr>
          <w:b/>
          <w:bCs/>
        </w:rPr>
        <w:t>"Se recibe el servicio en calidad de Jefe de Información..."</w:t>
      </w:r>
      <w:r w:rsidRPr="00941CFA">
        <w:t>. De esta manera, el documento comienza inmediatamente con el hecho jurídico relevante, facilitando la lectura, la comprensión y la valoración posterior por parte de cualquier autoridad.</w:t>
      </w:r>
    </w:p>
    <w:p w14:paraId="6AA630EE" w14:textId="77777777" w:rsidR="00941CFA" w:rsidRPr="00941CFA" w:rsidRDefault="00941CFA" w:rsidP="00941CFA">
      <w:pPr>
        <w:ind w:firstLine="0"/>
        <w:jc w:val="both"/>
      </w:pPr>
      <w:r w:rsidRPr="00941CFA">
        <w:t xml:space="preserve">Existe otro principio ampliamente utilizado en la elaboración de documentos oficiales: </w:t>
      </w:r>
      <w:r w:rsidRPr="00941CFA">
        <w:rPr>
          <w:b/>
          <w:bCs/>
        </w:rPr>
        <w:t>la primera palabra del cuerpo de la anotación debe ser un verbo que describa la actuación administrativa realizada</w:t>
      </w:r>
      <w:r w:rsidRPr="00941CFA">
        <w:t xml:space="preserve">. Las anotaciones no narran ideas ni comentarios; registran actuaciones oficiales. Por ello, es recomendable iniciar con verbos como: </w:t>
      </w:r>
      <w:r w:rsidRPr="00941CFA">
        <w:rPr>
          <w:b/>
          <w:bCs/>
        </w:rPr>
        <w:t>Se recibe</w:t>
      </w:r>
      <w:r w:rsidRPr="00941CFA">
        <w:t xml:space="preserve">, </w:t>
      </w:r>
      <w:r w:rsidRPr="00941CFA">
        <w:rPr>
          <w:b/>
          <w:bCs/>
        </w:rPr>
        <w:t>Se entrega</w:t>
      </w:r>
      <w:r w:rsidRPr="00941CFA">
        <w:t xml:space="preserve">, </w:t>
      </w:r>
      <w:r w:rsidRPr="00941CFA">
        <w:rPr>
          <w:b/>
          <w:bCs/>
        </w:rPr>
        <w:t>Se verifica</w:t>
      </w:r>
      <w:r w:rsidRPr="00941CFA">
        <w:t xml:space="preserve">, </w:t>
      </w:r>
      <w:r w:rsidRPr="00941CFA">
        <w:rPr>
          <w:b/>
          <w:bCs/>
        </w:rPr>
        <w:t>Se informa</w:t>
      </w:r>
      <w:r w:rsidRPr="00941CFA">
        <w:t xml:space="preserve">, </w:t>
      </w:r>
      <w:r w:rsidRPr="00941CFA">
        <w:rPr>
          <w:b/>
          <w:bCs/>
        </w:rPr>
        <w:t>Se registra</w:t>
      </w:r>
      <w:r w:rsidRPr="00941CFA">
        <w:t xml:space="preserve">, </w:t>
      </w:r>
      <w:r w:rsidRPr="00941CFA">
        <w:rPr>
          <w:b/>
          <w:bCs/>
        </w:rPr>
        <w:t>Se constata</w:t>
      </w:r>
      <w:r w:rsidRPr="00941CFA">
        <w:t xml:space="preserve">, </w:t>
      </w:r>
      <w:r w:rsidRPr="00941CFA">
        <w:rPr>
          <w:b/>
          <w:bCs/>
        </w:rPr>
        <w:t>Se deja constancia</w:t>
      </w:r>
      <w:r w:rsidRPr="00941CFA">
        <w:t xml:space="preserve">, </w:t>
      </w:r>
      <w:r w:rsidRPr="00941CFA">
        <w:rPr>
          <w:b/>
          <w:bCs/>
        </w:rPr>
        <w:t>Se dispone</w:t>
      </w:r>
      <w:r w:rsidRPr="00941CFA">
        <w:t xml:space="preserve"> o </w:t>
      </w:r>
      <w:r w:rsidRPr="00941CFA">
        <w:rPr>
          <w:b/>
          <w:bCs/>
        </w:rPr>
        <w:t>Se continúa</w:t>
      </w:r>
      <w:r w:rsidRPr="00941CFA">
        <w:t>. Esta técnica permite que el documento ingrese de manera inmediata al hecho que se pretende documentar y elimina expresiones de transición que carecen de contenido probatorio.</w:t>
      </w:r>
    </w:p>
    <w:p w14:paraId="690F15AB" w14:textId="365DE4C8" w:rsidR="00941CFA" w:rsidRPr="00941CFA" w:rsidRDefault="00941CFA" w:rsidP="00430E90">
      <w:pPr>
        <w:ind w:firstLine="0"/>
        <w:jc w:val="both"/>
      </w:pPr>
      <w:r w:rsidRPr="00941CFA">
        <w:t xml:space="preserve">En conclusión, la expresión </w:t>
      </w:r>
      <w:r w:rsidRPr="00941CFA">
        <w:rPr>
          <w:b/>
          <w:bCs/>
        </w:rPr>
        <w:t>"A esta hora y fecha"</w:t>
      </w:r>
      <w:r w:rsidRPr="00941CFA">
        <w:t xml:space="preserve"> no hace que una anotación sea ilegal ni invalida el documento. Su inconveniente radica en que no aporta un hecho nuevo, no fortalece la prueba, repite información ya registrada en el encabezado y ocupa un espacio que puede aprovecharse para consignar actuaciones objetivas y verificables. Una anotación técnicamente bien elaborada inicia directamente con el hecho administrativo que se documenta, utiliza un lenguaje preciso y concentra su contenido en registrar circunstancias relevantes para el servicio, fortaleciendo así su claridad, su calidad documental y su valor probatorio.</w:t>
      </w:r>
    </w:p>
    <w:p w14:paraId="732DB9CE" w14:textId="040904F0" w:rsidR="00430E90" w:rsidRPr="00430E90" w:rsidRDefault="00430E90" w:rsidP="00430E90">
      <w:pPr>
        <w:ind w:firstLine="0"/>
        <w:jc w:val="both"/>
        <w:rPr>
          <w:b/>
          <w:bCs/>
        </w:rPr>
      </w:pPr>
      <w:r w:rsidRPr="00430E90">
        <w:rPr>
          <w:b/>
          <w:bCs/>
        </w:rPr>
        <w:t>Ejemplo de una anotación técnicamente sólida</w:t>
      </w:r>
    </w:p>
    <w:p w14:paraId="3C3E0521" w14:textId="28D5B421" w:rsidR="00430E90" w:rsidRPr="00430E90" w:rsidRDefault="00430E90" w:rsidP="00430E90">
      <w:pPr>
        <w:ind w:firstLine="0"/>
        <w:jc w:val="both"/>
      </w:pPr>
      <w:r w:rsidRPr="00430E90">
        <w:rPr>
          <w:i/>
          <w:iCs/>
        </w:rPr>
        <w:t>"Se recibe el servicio en calidad de Jefe de Información</w:t>
      </w:r>
      <w:r w:rsidR="00AA2FAD">
        <w:rPr>
          <w:i/>
          <w:iCs/>
        </w:rPr>
        <w:t>,</w:t>
      </w:r>
      <w:r w:rsidRPr="00430E90">
        <w:rPr>
          <w:i/>
          <w:iCs/>
        </w:rPr>
        <w:t xml:space="preserve"> entrega realizada por el Patrullero Carlos Martínez, previa verificación del inventario, equipos de comunicación, armamento, mobiliario y demás elementos asignados al puesto de servicio conforme al inventario correspondiente, sin novedades reportadas durante la entrega. Igualmente, se reciben las órdenes, instrucciones y consignas impartidas para el desarrollo del servicio, asumiendo las funciones asignadas y dando continuidad al servicio de acuerdo con los lineamientos institucionales."</w:t>
      </w:r>
    </w:p>
    <w:p w14:paraId="32578F0B" w14:textId="77777777" w:rsidR="00430E90" w:rsidRPr="00430E90" w:rsidRDefault="00430E90" w:rsidP="00430E90">
      <w:pPr>
        <w:ind w:firstLine="0"/>
        <w:jc w:val="both"/>
      </w:pPr>
      <w:r w:rsidRPr="00430E90">
        <w:t>Esta redacción identifica quién recibe, quién entrega, qué se verificó, el resultado de la verificación, la recepción de instrucciones y el inicio de las funciones, sin incorporar opiniones, conclusiones o afirmaciones que no puedan ser demostradas.</w:t>
      </w:r>
    </w:p>
    <w:p w14:paraId="64175A7B" w14:textId="77777777" w:rsidR="00430E90" w:rsidRPr="00430E90" w:rsidRDefault="00430E90" w:rsidP="00430E90">
      <w:pPr>
        <w:ind w:firstLine="0"/>
        <w:jc w:val="both"/>
      </w:pPr>
      <w:r w:rsidRPr="00430E90">
        <w:t>La mejor protección para un servidor público no consiste en utilizar determinadas palabras para evitar una investigación, sino en elaborar registros veraces, completos, cronológicos y coherentes con lo que realmente ocurrió. Una anotación técnicamente bien redactada permite que cualquier autoridad comprenda los hechos y los contraste con las demás evidencias, fortaleciendo así la transparencia y la credibilidad de la actuación policial.</w:t>
      </w:r>
    </w:p>
    <w:p w14:paraId="0FC09E59" w14:textId="77777777" w:rsidR="00193930" w:rsidRDefault="00193930" w:rsidP="00430E90">
      <w:pPr>
        <w:ind w:firstLine="0"/>
        <w:jc w:val="both"/>
      </w:pPr>
    </w:p>
    <w:p w14:paraId="3ECD40B1" w14:textId="5E727A13" w:rsidR="002C2BC5" w:rsidRPr="002C2BC5" w:rsidRDefault="002C2BC5" w:rsidP="002C2BC5">
      <w:pPr>
        <w:ind w:firstLine="0"/>
        <w:jc w:val="both"/>
      </w:pPr>
      <w:r>
        <w:rPr>
          <w:b/>
          <w:bCs/>
        </w:rPr>
        <w:t xml:space="preserve">EJEMPLO </w:t>
      </w:r>
      <w:r w:rsidRPr="002C2BC5">
        <w:rPr>
          <w:b/>
          <w:bCs/>
        </w:rPr>
        <w:t>ANOTACIÓN EN EL LIBRO DE MINUTA DE VIGILANCIA – RECEPCIÓN DEL SERVICIO</w:t>
      </w:r>
    </w:p>
    <w:p w14:paraId="63379799" w14:textId="7AE24299" w:rsidR="002C2BC5" w:rsidRPr="002C2BC5" w:rsidRDefault="00C31EBB" w:rsidP="002C2BC5">
      <w:pPr>
        <w:ind w:firstLine="0"/>
        <w:jc w:val="both"/>
      </w:pPr>
      <w:r>
        <w:t>R</w:t>
      </w:r>
      <w:r w:rsidR="002C2BC5" w:rsidRPr="002C2BC5">
        <w:t xml:space="preserve">ecibo el servicio </w:t>
      </w:r>
      <w:r w:rsidR="002C2BC5">
        <w:t>como responsable de seguridad de personas privadas de la libertad de forma transitoria, entrega que realiza el</w:t>
      </w:r>
      <w:r w:rsidR="002C2BC5" w:rsidRPr="002C2BC5">
        <w:t xml:space="preserve"> señor Patrullero </w:t>
      </w:r>
      <w:r w:rsidR="002C2BC5" w:rsidRPr="002C2BC5">
        <w:rPr>
          <w:b/>
          <w:bCs/>
        </w:rPr>
        <w:t>PEPITO PÉREZ</w:t>
      </w:r>
      <w:r w:rsidR="002C2BC5" w:rsidRPr="002C2BC5">
        <w:t>, enterándome de las órdenes, instrucciones, consignas y novedades impartidas para el desarrollo del mismo, entre ellas extremar las medidas de seguridad durante el turno. Previa verificación, recibo los elementos, equipos, documentación y demás bienes asignados al servicio, relacionados en el folio No. 555 del Libro de Minuta de Vigilancia, conforme al inventario correspondiente.</w:t>
      </w:r>
    </w:p>
    <w:p w14:paraId="66BFA57E" w14:textId="77777777" w:rsidR="002C2BC5" w:rsidRPr="002C2BC5" w:rsidRDefault="002C2BC5" w:rsidP="002C2BC5">
      <w:pPr>
        <w:ind w:firstLine="0"/>
        <w:jc w:val="both"/>
      </w:pPr>
      <w:r w:rsidRPr="002C2BC5">
        <w:t xml:space="preserve">De igual manera, se recibe la Sala Temporal para Personas Privadas de la Libertad con </w:t>
      </w:r>
      <w:r w:rsidRPr="002C2BC5">
        <w:rPr>
          <w:b/>
          <w:bCs/>
        </w:rPr>
        <w:t>cinco (05)</w:t>
      </w:r>
      <w:r w:rsidRPr="002C2BC5">
        <w:t xml:space="preserve"> personas allí ubicadas, de acuerdo con la información suministrada por el funcionario que entrega el servicio, verificándose las condiciones en que se encuentran las instalaciones al momento de la recepción del turno.</w:t>
      </w:r>
    </w:p>
    <w:p w14:paraId="613CB59A" w14:textId="77777777" w:rsidR="002C2BC5" w:rsidRPr="002C2BC5" w:rsidRDefault="002C2BC5" w:rsidP="002C2BC5">
      <w:pPr>
        <w:ind w:firstLine="0"/>
        <w:jc w:val="both"/>
      </w:pPr>
      <w:r w:rsidRPr="002C2BC5">
        <w:t>Se deja constancia de que la permanencia de personas privadas de la libertad en la Sala Temporal de esta Estación de Policía constituye una situación existente al momento de recibir el servicio y que, en relación con el régimen penitenciario y carcelario, resultan aplicables las disposiciones contenidas en la Ley 65 de 1993, modificada por la Ley 1709 de 2014, así como las demás normas que regulan las competencias de las autoridades encargadas de la ejecución de las medidas privativas de la libertad. Igualmente, se tienen como marco de referencia los artículos 121 y 218 de la Constitución Política, relacionados con el ejercicio de las funciones públicas y la finalidad constitucional de la Policía Nacional, sin perjuicio de las órdenes impartidas por las autoridades judiciales y administrativas competentes en cada caso concreto.</w:t>
      </w:r>
    </w:p>
    <w:p w14:paraId="710FC52F" w14:textId="77777777" w:rsidR="002C2BC5" w:rsidRPr="002C2BC5" w:rsidRDefault="002C2BC5" w:rsidP="002C2BC5">
      <w:pPr>
        <w:ind w:firstLine="0"/>
        <w:jc w:val="both"/>
      </w:pPr>
      <w:r w:rsidRPr="002C2BC5">
        <w:t>Durante la recepción del servicio se observa que la Sala Temporal presenta condiciones locativas, de infraestructura, capacidad y salubridad que, frente al número de personas allí alojadas, requieren una atención permanente por parte del personal de servicio para preservar las condiciones de seguridad, prevenir situaciones que puedan afectar la integridad de las personas privadas de la libertad, del personal policial y de las instalaciones. Tales circunstancias corresponden al estado material observado al momento de recibir el turno y se registran para efectos de continuidad administrativa y trazabilidad documental.</w:t>
      </w:r>
    </w:p>
    <w:p w14:paraId="050CA007" w14:textId="77777777" w:rsidR="002C2BC5" w:rsidRPr="002C2BC5" w:rsidRDefault="002C2BC5" w:rsidP="002C2BC5">
      <w:pPr>
        <w:ind w:firstLine="0"/>
        <w:jc w:val="both"/>
      </w:pPr>
      <w:r w:rsidRPr="002C2BC5">
        <w:t>Se deja igualmente constancia de que el personal policial asignado al servicio continúa desarrollando las funciones propias del servicio de policía conforme a las competencias constitucionales, legales y reglamentarias vigentes, atendiendo simultáneamente las actividades operativas, preventivas y de vigilancia que demanda el servicio, así como las labores relacionadas con la supervisión de la Sala Temporal, de acuerdo con las órdenes impartidas por el mando institucional y las necesidades operacionales existentes.</w:t>
      </w:r>
    </w:p>
    <w:p w14:paraId="5063DB13" w14:textId="77777777" w:rsidR="002C2BC5" w:rsidRPr="002C2BC5" w:rsidRDefault="002C2BC5" w:rsidP="002C2BC5">
      <w:pPr>
        <w:ind w:firstLine="0"/>
        <w:jc w:val="both"/>
      </w:pPr>
      <w:r w:rsidRPr="002C2BC5">
        <w:t>Como referencia normativa relacionada con las condiciones de permanencia de personas privadas de la libertad en instalaciones transitorias, se tienen presentes los criterios desarrollados por la Corte Constitucional, entre ellos las Sentencias T-762 de 2015 y T-151 de 2016, en las cuales se abordó la necesidad de garantizar condiciones compatibles con la dignidad humana y la protección de los derechos fundamentales de las personas privadas de la libertad. De igual manera, se deja constancia de que toda actuación desarrollada durante el servicio se ejecutará con observancia de la Constitución Política, la ley, la jurisprudencia aplicable, los reglamentos institucionales y las órdenes legítimamente impartidas por la autoridad competente.</w:t>
      </w:r>
    </w:p>
    <w:p w14:paraId="2BE65133" w14:textId="77777777" w:rsidR="002C2BC5" w:rsidRDefault="002C2BC5" w:rsidP="00430E90">
      <w:pPr>
        <w:ind w:firstLine="0"/>
        <w:jc w:val="both"/>
      </w:pPr>
    </w:p>
    <w:sectPr w:rsidR="002C2BC5" w:rsidSect="00894AF3">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85574" w14:textId="77777777" w:rsidR="00F27E2B" w:rsidRDefault="00F27E2B" w:rsidP="00430E90">
      <w:pPr>
        <w:spacing w:after="0"/>
      </w:pPr>
      <w:r>
        <w:separator/>
      </w:r>
    </w:p>
  </w:endnote>
  <w:endnote w:type="continuationSeparator" w:id="0">
    <w:p w14:paraId="5A31418B" w14:textId="77777777" w:rsidR="00F27E2B" w:rsidRDefault="00F27E2B" w:rsidP="00430E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96B78" w14:textId="77777777" w:rsidR="00F27E2B" w:rsidRDefault="00F27E2B" w:rsidP="00430E90">
      <w:pPr>
        <w:spacing w:after="0"/>
      </w:pPr>
      <w:r>
        <w:separator/>
      </w:r>
    </w:p>
  </w:footnote>
  <w:footnote w:type="continuationSeparator" w:id="0">
    <w:p w14:paraId="1CCC23D3" w14:textId="77777777" w:rsidR="00F27E2B" w:rsidRDefault="00F27E2B" w:rsidP="00430E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EB5C8" w14:textId="74BE495E" w:rsidR="00430E90" w:rsidRDefault="00430E90">
    <w:pPr>
      <w:pStyle w:val="Encabezado"/>
    </w:pPr>
    <w:r>
      <w:t>Profe Alvaro Pelaez cel. 3127893911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E90"/>
    <w:rsid w:val="00010F1E"/>
    <w:rsid w:val="000116E8"/>
    <w:rsid w:val="00011FB9"/>
    <w:rsid w:val="00012F55"/>
    <w:rsid w:val="00013A2D"/>
    <w:rsid w:val="000261FD"/>
    <w:rsid w:val="00031E9B"/>
    <w:rsid w:val="00033698"/>
    <w:rsid w:val="00034A81"/>
    <w:rsid w:val="0003627C"/>
    <w:rsid w:val="000462BE"/>
    <w:rsid w:val="00050B0E"/>
    <w:rsid w:val="0005117A"/>
    <w:rsid w:val="00060DD0"/>
    <w:rsid w:val="000627C4"/>
    <w:rsid w:val="000669DB"/>
    <w:rsid w:val="000676FF"/>
    <w:rsid w:val="00071CE7"/>
    <w:rsid w:val="0007221C"/>
    <w:rsid w:val="00083AAF"/>
    <w:rsid w:val="00087397"/>
    <w:rsid w:val="00093DA0"/>
    <w:rsid w:val="00095E80"/>
    <w:rsid w:val="000A62DA"/>
    <w:rsid w:val="000A6CB9"/>
    <w:rsid w:val="000A7610"/>
    <w:rsid w:val="000A7CC3"/>
    <w:rsid w:val="000B27C0"/>
    <w:rsid w:val="000C0E4D"/>
    <w:rsid w:val="000C60D8"/>
    <w:rsid w:val="000C747E"/>
    <w:rsid w:val="000D1E23"/>
    <w:rsid w:val="000D6BA3"/>
    <w:rsid w:val="000E2EB7"/>
    <w:rsid w:val="000E7D94"/>
    <w:rsid w:val="000F1DA4"/>
    <w:rsid w:val="000F6C47"/>
    <w:rsid w:val="000F7E74"/>
    <w:rsid w:val="00102762"/>
    <w:rsid w:val="00103051"/>
    <w:rsid w:val="0010388A"/>
    <w:rsid w:val="00110E80"/>
    <w:rsid w:val="00111DDD"/>
    <w:rsid w:val="00114197"/>
    <w:rsid w:val="00116EFD"/>
    <w:rsid w:val="00120C1D"/>
    <w:rsid w:val="001249DD"/>
    <w:rsid w:val="00137CAE"/>
    <w:rsid w:val="001416DA"/>
    <w:rsid w:val="001446E4"/>
    <w:rsid w:val="00147DED"/>
    <w:rsid w:val="00150254"/>
    <w:rsid w:val="00155A62"/>
    <w:rsid w:val="00165A4D"/>
    <w:rsid w:val="0016795D"/>
    <w:rsid w:val="00167F8C"/>
    <w:rsid w:val="00172AB2"/>
    <w:rsid w:val="001740A7"/>
    <w:rsid w:val="00180FDB"/>
    <w:rsid w:val="00183957"/>
    <w:rsid w:val="00185DAE"/>
    <w:rsid w:val="0018756F"/>
    <w:rsid w:val="00193930"/>
    <w:rsid w:val="00196806"/>
    <w:rsid w:val="00197F99"/>
    <w:rsid w:val="001B05FC"/>
    <w:rsid w:val="001B1F41"/>
    <w:rsid w:val="001C2D46"/>
    <w:rsid w:val="001C4A4F"/>
    <w:rsid w:val="001C7E05"/>
    <w:rsid w:val="001D098E"/>
    <w:rsid w:val="001D17DB"/>
    <w:rsid w:val="001D45F7"/>
    <w:rsid w:val="001E129D"/>
    <w:rsid w:val="001E53E3"/>
    <w:rsid w:val="001F4F89"/>
    <w:rsid w:val="002025CC"/>
    <w:rsid w:val="00203620"/>
    <w:rsid w:val="00204720"/>
    <w:rsid w:val="00206877"/>
    <w:rsid w:val="00210185"/>
    <w:rsid w:val="002172A8"/>
    <w:rsid w:val="00220E53"/>
    <w:rsid w:val="00221DBD"/>
    <w:rsid w:val="00223EB8"/>
    <w:rsid w:val="002260F7"/>
    <w:rsid w:val="00226794"/>
    <w:rsid w:val="00231AC4"/>
    <w:rsid w:val="002329A8"/>
    <w:rsid w:val="002346D4"/>
    <w:rsid w:val="0025429D"/>
    <w:rsid w:val="00261871"/>
    <w:rsid w:val="00271F8A"/>
    <w:rsid w:val="00277F4D"/>
    <w:rsid w:val="00281876"/>
    <w:rsid w:val="002856A8"/>
    <w:rsid w:val="00296B58"/>
    <w:rsid w:val="002A1653"/>
    <w:rsid w:val="002A20AD"/>
    <w:rsid w:val="002C019A"/>
    <w:rsid w:val="002C18C2"/>
    <w:rsid w:val="002C2AA7"/>
    <w:rsid w:val="002C2BC5"/>
    <w:rsid w:val="002D492A"/>
    <w:rsid w:val="002D5BBE"/>
    <w:rsid w:val="002E07D9"/>
    <w:rsid w:val="002E1482"/>
    <w:rsid w:val="002E1C44"/>
    <w:rsid w:val="002E55D9"/>
    <w:rsid w:val="002F1D35"/>
    <w:rsid w:val="00302A20"/>
    <w:rsid w:val="00310FFF"/>
    <w:rsid w:val="00317090"/>
    <w:rsid w:val="00317B53"/>
    <w:rsid w:val="0032595C"/>
    <w:rsid w:val="0032655C"/>
    <w:rsid w:val="00327E7E"/>
    <w:rsid w:val="00330F7D"/>
    <w:rsid w:val="00331132"/>
    <w:rsid w:val="003313D7"/>
    <w:rsid w:val="003329F1"/>
    <w:rsid w:val="003437AA"/>
    <w:rsid w:val="00351877"/>
    <w:rsid w:val="00352F2E"/>
    <w:rsid w:val="003578A3"/>
    <w:rsid w:val="00361944"/>
    <w:rsid w:val="003644EC"/>
    <w:rsid w:val="00366068"/>
    <w:rsid w:val="00367D56"/>
    <w:rsid w:val="00371CA1"/>
    <w:rsid w:val="00372566"/>
    <w:rsid w:val="0037529F"/>
    <w:rsid w:val="00375936"/>
    <w:rsid w:val="00376633"/>
    <w:rsid w:val="003842A0"/>
    <w:rsid w:val="00385E5D"/>
    <w:rsid w:val="00387460"/>
    <w:rsid w:val="00390E06"/>
    <w:rsid w:val="00393BF4"/>
    <w:rsid w:val="00395C22"/>
    <w:rsid w:val="00396159"/>
    <w:rsid w:val="003A3264"/>
    <w:rsid w:val="003A56BB"/>
    <w:rsid w:val="003A56C6"/>
    <w:rsid w:val="003A7514"/>
    <w:rsid w:val="003A7D9A"/>
    <w:rsid w:val="003B345A"/>
    <w:rsid w:val="003B37C5"/>
    <w:rsid w:val="003B5EE4"/>
    <w:rsid w:val="003B7EC5"/>
    <w:rsid w:val="003C274F"/>
    <w:rsid w:val="003C2B71"/>
    <w:rsid w:val="003C3E0A"/>
    <w:rsid w:val="003C4A53"/>
    <w:rsid w:val="003C4C79"/>
    <w:rsid w:val="003D6EB2"/>
    <w:rsid w:val="003E170D"/>
    <w:rsid w:val="003E310A"/>
    <w:rsid w:val="003F158C"/>
    <w:rsid w:val="00400FAF"/>
    <w:rsid w:val="004015DC"/>
    <w:rsid w:val="00405062"/>
    <w:rsid w:val="00405260"/>
    <w:rsid w:val="00411846"/>
    <w:rsid w:val="004139BE"/>
    <w:rsid w:val="00417CF3"/>
    <w:rsid w:val="0042315C"/>
    <w:rsid w:val="00426182"/>
    <w:rsid w:val="00426C93"/>
    <w:rsid w:val="004270AB"/>
    <w:rsid w:val="0043031F"/>
    <w:rsid w:val="00430E90"/>
    <w:rsid w:val="0043223C"/>
    <w:rsid w:val="0043603D"/>
    <w:rsid w:val="00444083"/>
    <w:rsid w:val="00444E6B"/>
    <w:rsid w:val="004514FA"/>
    <w:rsid w:val="004558FA"/>
    <w:rsid w:val="00474B8E"/>
    <w:rsid w:val="00474F7B"/>
    <w:rsid w:val="00480365"/>
    <w:rsid w:val="00481C84"/>
    <w:rsid w:val="00486504"/>
    <w:rsid w:val="00486838"/>
    <w:rsid w:val="004868CB"/>
    <w:rsid w:val="004912C7"/>
    <w:rsid w:val="00494254"/>
    <w:rsid w:val="004A2633"/>
    <w:rsid w:val="004A2E86"/>
    <w:rsid w:val="004B0461"/>
    <w:rsid w:val="004B49BD"/>
    <w:rsid w:val="004B5CD1"/>
    <w:rsid w:val="004C7A8E"/>
    <w:rsid w:val="004D14A5"/>
    <w:rsid w:val="004D406A"/>
    <w:rsid w:val="004D62CC"/>
    <w:rsid w:val="004E7C5C"/>
    <w:rsid w:val="004F2749"/>
    <w:rsid w:val="00500A04"/>
    <w:rsid w:val="00502AAA"/>
    <w:rsid w:val="005047FF"/>
    <w:rsid w:val="00504E15"/>
    <w:rsid w:val="005072C3"/>
    <w:rsid w:val="00512A1A"/>
    <w:rsid w:val="00517BD0"/>
    <w:rsid w:val="00523C65"/>
    <w:rsid w:val="0052575E"/>
    <w:rsid w:val="005261A8"/>
    <w:rsid w:val="00526896"/>
    <w:rsid w:val="005309BB"/>
    <w:rsid w:val="00531328"/>
    <w:rsid w:val="00537A8C"/>
    <w:rsid w:val="005431AF"/>
    <w:rsid w:val="00552A87"/>
    <w:rsid w:val="0055664F"/>
    <w:rsid w:val="00570760"/>
    <w:rsid w:val="00573560"/>
    <w:rsid w:val="00583AD8"/>
    <w:rsid w:val="005867E4"/>
    <w:rsid w:val="00593858"/>
    <w:rsid w:val="00597244"/>
    <w:rsid w:val="005A14BC"/>
    <w:rsid w:val="005A14DD"/>
    <w:rsid w:val="005A1BF2"/>
    <w:rsid w:val="005A3E6F"/>
    <w:rsid w:val="005A706A"/>
    <w:rsid w:val="005A7F6C"/>
    <w:rsid w:val="005B0310"/>
    <w:rsid w:val="005B0E1B"/>
    <w:rsid w:val="005B11CE"/>
    <w:rsid w:val="005B3198"/>
    <w:rsid w:val="005B3DBD"/>
    <w:rsid w:val="005B7CAC"/>
    <w:rsid w:val="005C55D7"/>
    <w:rsid w:val="005C7501"/>
    <w:rsid w:val="005D09B4"/>
    <w:rsid w:val="005D11B7"/>
    <w:rsid w:val="005D1508"/>
    <w:rsid w:val="005D1BA3"/>
    <w:rsid w:val="005D47F0"/>
    <w:rsid w:val="005E27B1"/>
    <w:rsid w:val="005E5291"/>
    <w:rsid w:val="005E7457"/>
    <w:rsid w:val="005F1C2D"/>
    <w:rsid w:val="005F3F14"/>
    <w:rsid w:val="005F43E0"/>
    <w:rsid w:val="00606C22"/>
    <w:rsid w:val="0061014C"/>
    <w:rsid w:val="0061351E"/>
    <w:rsid w:val="00616841"/>
    <w:rsid w:val="00620318"/>
    <w:rsid w:val="00627842"/>
    <w:rsid w:val="00632E67"/>
    <w:rsid w:val="00646212"/>
    <w:rsid w:val="0065158E"/>
    <w:rsid w:val="0065191F"/>
    <w:rsid w:val="00651CA9"/>
    <w:rsid w:val="00655DB0"/>
    <w:rsid w:val="00661D94"/>
    <w:rsid w:val="00662328"/>
    <w:rsid w:val="00664C05"/>
    <w:rsid w:val="00664F8A"/>
    <w:rsid w:val="0066510E"/>
    <w:rsid w:val="00670D66"/>
    <w:rsid w:val="00674DB8"/>
    <w:rsid w:val="00675B38"/>
    <w:rsid w:val="00680E6D"/>
    <w:rsid w:val="006946D1"/>
    <w:rsid w:val="0069569D"/>
    <w:rsid w:val="006A3BE0"/>
    <w:rsid w:val="006A7F04"/>
    <w:rsid w:val="006B377A"/>
    <w:rsid w:val="006B3E8D"/>
    <w:rsid w:val="006B5F09"/>
    <w:rsid w:val="006D327A"/>
    <w:rsid w:val="006D704C"/>
    <w:rsid w:val="006E3F8C"/>
    <w:rsid w:val="006E5811"/>
    <w:rsid w:val="006E7CA4"/>
    <w:rsid w:val="006F4C05"/>
    <w:rsid w:val="006F4E3B"/>
    <w:rsid w:val="006F5CBB"/>
    <w:rsid w:val="007015D9"/>
    <w:rsid w:val="007040E7"/>
    <w:rsid w:val="0070461D"/>
    <w:rsid w:val="007057B3"/>
    <w:rsid w:val="00710C2E"/>
    <w:rsid w:val="00711C78"/>
    <w:rsid w:val="0071293C"/>
    <w:rsid w:val="0071454C"/>
    <w:rsid w:val="00722DCF"/>
    <w:rsid w:val="00724D6A"/>
    <w:rsid w:val="00730617"/>
    <w:rsid w:val="00730AD3"/>
    <w:rsid w:val="00735A39"/>
    <w:rsid w:val="00743508"/>
    <w:rsid w:val="00744305"/>
    <w:rsid w:val="00745CA4"/>
    <w:rsid w:val="00745DBB"/>
    <w:rsid w:val="00752ACA"/>
    <w:rsid w:val="007558E8"/>
    <w:rsid w:val="007615AF"/>
    <w:rsid w:val="00764077"/>
    <w:rsid w:val="0076433A"/>
    <w:rsid w:val="00770E75"/>
    <w:rsid w:val="00773704"/>
    <w:rsid w:val="00774CC2"/>
    <w:rsid w:val="00784966"/>
    <w:rsid w:val="00784C5D"/>
    <w:rsid w:val="00790CDE"/>
    <w:rsid w:val="007A1603"/>
    <w:rsid w:val="007A7F4D"/>
    <w:rsid w:val="007C2078"/>
    <w:rsid w:val="007D1EFB"/>
    <w:rsid w:val="007D38F2"/>
    <w:rsid w:val="007D410D"/>
    <w:rsid w:val="007D63E5"/>
    <w:rsid w:val="007E175F"/>
    <w:rsid w:val="007E2A19"/>
    <w:rsid w:val="007E4AA1"/>
    <w:rsid w:val="007E6368"/>
    <w:rsid w:val="007E779E"/>
    <w:rsid w:val="007F41A4"/>
    <w:rsid w:val="007F47D0"/>
    <w:rsid w:val="007F4A45"/>
    <w:rsid w:val="007F7C19"/>
    <w:rsid w:val="008007BC"/>
    <w:rsid w:val="00805E0B"/>
    <w:rsid w:val="00806EA7"/>
    <w:rsid w:val="008079C1"/>
    <w:rsid w:val="00810879"/>
    <w:rsid w:val="00811C0B"/>
    <w:rsid w:val="00816EA6"/>
    <w:rsid w:val="008324B3"/>
    <w:rsid w:val="00840FC2"/>
    <w:rsid w:val="00847E8B"/>
    <w:rsid w:val="0085193D"/>
    <w:rsid w:val="00851CEC"/>
    <w:rsid w:val="00852861"/>
    <w:rsid w:val="00852F52"/>
    <w:rsid w:val="00855B48"/>
    <w:rsid w:val="00857474"/>
    <w:rsid w:val="00863A2E"/>
    <w:rsid w:val="008640B2"/>
    <w:rsid w:val="00866B44"/>
    <w:rsid w:val="0087455A"/>
    <w:rsid w:val="008765E3"/>
    <w:rsid w:val="0087742E"/>
    <w:rsid w:val="00882BF1"/>
    <w:rsid w:val="00887846"/>
    <w:rsid w:val="00892D25"/>
    <w:rsid w:val="00893470"/>
    <w:rsid w:val="00893D65"/>
    <w:rsid w:val="0089425A"/>
    <w:rsid w:val="00894AF3"/>
    <w:rsid w:val="00894CBD"/>
    <w:rsid w:val="00895658"/>
    <w:rsid w:val="008957CC"/>
    <w:rsid w:val="008957FC"/>
    <w:rsid w:val="008A1C33"/>
    <w:rsid w:val="008A2797"/>
    <w:rsid w:val="008A3844"/>
    <w:rsid w:val="008A6CE2"/>
    <w:rsid w:val="008A77C8"/>
    <w:rsid w:val="008A79C1"/>
    <w:rsid w:val="008B73E2"/>
    <w:rsid w:val="008B7CF1"/>
    <w:rsid w:val="008C4AB5"/>
    <w:rsid w:val="008D2B61"/>
    <w:rsid w:val="008D38E4"/>
    <w:rsid w:val="008E57B3"/>
    <w:rsid w:val="008E6A51"/>
    <w:rsid w:val="008E6CE9"/>
    <w:rsid w:val="008E7B96"/>
    <w:rsid w:val="008F64E0"/>
    <w:rsid w:val="008F77A6"/>
    <w:rsid w:val="0090097F"/>
    <w:rsid w:val="009025D6"/>
    <w:rsid w:val="0090280F"/>
    <w:rsid w:val="00904F9C"/>
    <w:rsid w:val="00905F98"/>
    <w:rsid w:val="00907742"/>
    <w:rsid w:val="00907C24"/>
    <w:rsid w:val="00913A14"/>
    <w:rsid w:val="00915AF3"/>
    <w:rsid w:val="00924371"/>
    <w:rsid w:val="0093171F"/>
    <w:rsid w:val="009329FA"/>
    <w:rsid w:val="00935470"/>
    <w:rsid w:val="00940783"/>
    <w:rsid w:val="00940833"/>
    <w:rsid w:val="00941CFA"/>
    <w:rsid w:val="00942FDD"/>
    <w:rsid w:val="0095139F"/>
    <w:rsid w:val="0095609F"/>
    <w:rsid w:val="00960B0B"/>
    <w:rsid w:val="009717FE"/>
    <w:rsid w:val="00975ADB"/>
    <w:rsid w:val="00983749"/>
    <w:rsid w:val="00986494"/>
    <w:rsid w:val="009A30BE"/>
    <w:rsid w:val="009A6CDF"/>
    <w:rsid w:val="009B1044"/>
    <w:rsid w:val="009B210B"/>
    <w:rsid w:val="009B4E3C"/>
    <w:rsid w:val="009C06EA"/>
    <w:rsid w:val="009D1E0B"/>
    <w:rsid w:val="009D4BED"/>
    <w:rsid w:val="009E148E"/>
    <w:rsid w:val="009E2A0A"/>
    <w:rsid w:val="009E4214"/>
    <w:rsid w:val="009E5E58"/>
    <w:rsid w:val="009E5EB1"/>
    <w:rsid w:val="009F09AA"/>
    <w:rsid w:val="009F37C7"/>
    <w:rsid w:val="009F3914"/>
    <w:rsid w:val="009F4DE3"/>
    <w:rsid w:val="009F4E22"/>
    <w:rsid w:val="009F7A54"/>
    <w:rsid w:val="00A00E6D"/>
    <w:rsid w:val="00A010DA"/>
    <w:rsid w:val="00A02A2C"/>
    <w:rsid w:val="00A04752"/>
    <w:rsid w:val="00A05722"/>
    <w:rsid w:val="00A13013"/>
    <w:rsid w:val="00A22E8C"/>
    <w:rsid w:val="00A278B6"/>
    <w:rsid w:val="00A30550"/>
    <w:rsid w:val="00A32B8C"/>
    <w:rsid w:val="00A34663"/>
    <w:rsid w:val="00A34A47"/>
    <w:rsid w:val="00A35F9B"/>
    <w:rsid w:val="00A37C2E"/>
    <w:rsid w:val="00A427AC"/>
    <w:rsid w:val="00A60A77"/>
    <w:rsid w:val="00A659AF"/>
    <w:rsid w:val="00A70703"/>
    <w:rsid w:val="00A7281D"/>
    <w:rsid w:val="00A77AAA"/>
    <w:rsid w:val="00A83DB4"/>
    <w:rsid w:val="00A850D4"/>
    <w:rsid w:val="00A87F26"/>
    <w:rsid w:val="00A958EE"/>
    <w:rsid w:val="00A97EC3"/>
    <w:rsid w:val="00AA2FA1"/>
    <w:rsid w:val="00AA2FAD"/>
    <w:rsid w:val="00AB004A"/>
    <w:rsid w:val="00AB0A69"/>
    <w:rsid w:val="00AD0F56"/>
    <w:rsid w:val="00AD3814"/>
    <w:rsid w:val="00AE134D"/>
    <w:rsid w:val="00AE604A"/>
    <w:rsid w:val="00AF2863"/>
    <w:rsid w:val="00AF3067"/>
    <w:rsid w:val="00B0272C"/>
    <w:rsid w:val="00B05234"/>
    <w:rsid w:val="00B07BDC"/>
    <w:rsid w:val="00B10D12"/>
    <w:rsid w:val="00B10EBA"/>
    <w:rsid w:val="00B11346"/>
    <w:rsid w:val="00B133CE"/>
    <w:rsid w:val="00B17107"/>
    <w:rsid w:val="00B2091B"/>
    <w:rsid w:val="00B213B0"/>
    <w:rsid w:val="00B2155A"/>
    <w:rsid w:val="00B21A5E"/>
    <w:rsid w:val="00B225EB"/>
    <w:rsid w:val="00B243C8"/>
    <w:rsid w:val="00B26491"/>
    <w:rsid w:val="00B267B6"/>
    <w:rsid w:val="00B3234F"/>
    <w:rsid w:val="00B3435D"/>
    <w:rsid w:val="00B3793B"/>
    <w:rsid w:val="00B4062A"/>
    <w:rsid w:val="00B412C2"/>
    <w:rsid w:val="00B45B62"/>
    <w:rsid w:val="00B522B4"/>
    <w:rsid w:val="00B54535"/>
    <w:rsid w:val="00B60CE0"/>
    <w:rsid w:val="00B7249F"/>
    <w:rsid w:val="00B73996"/>
    <w:rsid w:val="00B776A9"/>
    <w:rsid w:val="00B811C2"/>
    <w:rsid w:val="00B83227"/>
    <w:rsid w:val="00B900DA"/>
    <w:rsid w:val="00B91665"/>
    <w:rsid w:val="00B94D9F"/>
    <w:rsid w:val="00B95B4D"/>
    <w:rsid w:val="00BA0761"/>
    <w:rsid w:val="00BA1595"/>
    <w:rsid w:val="00BA69AB"/>
    <w:rsid w:val="00BB226F"/>
    <w:rsid w:val="00BB3BB0"/>
    <w:rsid w:val="00BB3DE9"/>
    <w:rsid w:val="00BB685A"/>
    <w:rsid w:val="00BB75E6"/>
    <w:rsid w:val="00BC1FE5"/>
    <w:rsid w:val="00BC41CC"/>
    <w:rsid w:val="00BD2AA6"/>
    <w:rsid w:val="00BD4E10"/>
    <w:rsid w:val="00BE4C22"/>
    <w:rsid w:val="00BE6D24"/>
    <w:rsid w:val="00BF2315"/>
    <w:rsid w:val="00BF3284"/>
    <w:rsid w:val="00BF4B4E"/>
    <w:rsid w:val="00BF4E25"/>
    <w:rsid w:val="00C01CA5"/>
    <w:rsid w:val="00C0241C"/>
    <w:rsid w:val="00C10F74"/>
    <w:rsid w:val="00C1319B"/>
    <w:rsid w:val="00C132FC"/>
    <w:rsid w:val="00C1580B"/>
    <w:rsid w:val="00C1751F"/>
    <w:rsid w:val="00C25C58"/>
    <w:rsid w:val="00C25DC9"/>
    <w:rsid w:val="00C31EBB"/>
    <w:rsid w:val="00C32A4E"/>
    <w:rsid w:val="00C3463F"/>
    <w:rsid w:val="00C37A72"/>
    <w:rsid w:val="00C418CC"/>
    <w:rsid w:val="00C42A74"/>
    <w:rsid w:val="00C4422F"/>
    <w:rsid w:val="00C4489A"/>
    <w:rsid w:val="00C45EB3"/>
    <w:rsid w:val="00C53D6B"/>
    <w:rsid w:val="00C55078"/>
    <w:rsid w:val="00C55519"/>
    <w:rsid w:val="00C55E8A"/>
    <w:rsid w:val="00C56E16"/>
    <w:rsid w:val="00C6236C"/>
    <w:rsid w:val="00C640A3"/>
    <w:rsid w:val="00C64E8C"/>
    <w:rsid w:val="00C80188"/>
    <w:rsid w:val="00C82176"/>
    <w:rsid w:val="00C906FD"/>
    <w:rsid w:val="00C91DCF"/>
    <w:rsid w:val="00C946BB"/>
    <w:rsid w:val="00C95545"/>
    <w:rsid w:val="00C96050"/>
    <w:rsid w:val="00CA2A27"/>
    <w:rsid w:val="00CA3B24"/>
    <w:rsid w:val="00CA53CF"/>
    <w:rsid w:val="00CA5547"/>
    <w:rsid w:val="00CA6051"/>
    <w:rsid w:val="00CB6B76"/>
    <w:rsid w:val="00CB788D"/>
    <w:rsid w:val="00CC3B7D"/>
    <w:rsid w:val="00CC3FEF"/>
    <w:rsid w:val="00CD2628"/>
    <w:rsid w:val="00CD59F0"/>
    <w:rsid w:val="00CF0BC1"/>
    <w:rsid w:val="00CF1D34"/>
    <w:rsid w:val="00CF2BB9"/>
    <w:rsid w:val="00CF6D43"/>
    <w:rsid w:val="00CF7DAD"/>
    <w:rsid w:val="00D005E5"/>
    <w:rsid w:val="00D03878"/>
    <w:rsid w:val="00D05EC3"/>
    <w:rsid w:val="00D11303"/>
    <w:rsid w:val="00D142E6"/>
    <w:rsid w:val="00D21389"/>
    <w:rsid w:val="00D22145"/>
    <w:rsid w:val="00D22C5B"/>
    <w:rsid w:val="00D275BC"/>
    <w:rsid w:val="00D33E3E"/>
    <w:rsid w:val="00D40DE1"/>
    <w:rsid w:val="00D420D6"/>
    <w:rsid w:val="00D45AAD"/>
    <w:rsid w:val="00D473C9"/>
    <w:rsid w:val="00D57020"/>
    <w:rsid w:val="00D67AC7"/>
    <w:rsid w:val="00D7022E"/>
    <w:rsid w:val="00D7041F"/>
    <w:rsid w:val="00D71392"/>
    <w:rsid w:val="00D715E7"/>
    <w:rsid w:val="00D7166A"/>
    <w:rsid w:val="00D7175D"/>
    <w:rsid w:val="00D719AA"/>
    <w:rsid w:val="00D7366F"/>
    <w:rsid w:val="00D76241"/>
    <w:rsid w:val="00D80B5F"/>
    <w:rsid w:val="00D85C54"/>
    <w:rsid w:val="00DB2601"/>
    <w:rsid w:val="00DB2BAE"/>
    <w:rsid w:val="00DB3E09"/>
    <w:rsid w:val="00DC1E65"/>
    <w:rsid w:val="00DC6F98"/>
    <w:rsid w:val="00DC7F9A"/>
    <w:rsid w:val="00DD0733"/>
    <w:rsid w:val="00DD1868"/>
    <w:rsid w:val="00DD3655"/>
    <w:rsid w:val="00DD36ED"/>
    <w:rsid w:val="00DD45B4"/>
    <w:rsid w:val="00DD7291"/>
    <w:rsid w:val="00DE70DA"/>
    <w:rsid w:val="00DE7E32"/>
    <w:rsid w:val="00DF242A"/>
    <w:rsid w:val="00DF2F5E"/>
    <w:rsid w:val="00DF4858"/>
    <w:rsid w:val="00DF63D6"/>
    <w:rsid w:val="00E01E3E"/>
    <w:rsid w:val="00E0340B"/>
    <w:rsid w:val="00E03648"/>
    <w:rsid w:val="00E04355"/>
    <w:rsid w:val="00E119C4"/>
    <w:rsid w:val="00E1246F"/>
    <w:rsid w:val="00E152F4"/>
    <w:rsid w:val="00E1647F"/>
    <w:rsid w:val="00E16A16"/>
    <w:rsid w:val="00E16B62"/>
    <w:rsid w:val="00E17814"/>
    <w:rsid w:val="00E21EF9"/>
    <w:rsid w:val="00E25C57"/>
    <w:rsid w:val="00E33685"/>
    <w:rsid w:val="00E37D1C"/>
    <w:rsid w:val="00E418F4"/>
    <w:rsid w:val="00E45696"/>
    <w:rsid w:val="00E5150A"/>
    <w:rsid w:val="00E553A5"/>
    <w:rsid w:val="00E56320"/>
    <w:rsid w:val="00E60B41"/>
    <w:rsid w:val="00E63688"/>
    <w:rsid w:val="00E70A29"/>
    <w:rsid w:val="00E70C1A"/>
    <w:rsid w:val="00E72E45"/>
    <w:rsid w:val="00E741DD"/>
    <w:rsid w:val="00E7497F"/>
    <w:rsid w:val="00E906ED"/>
    <w:rsid w:val="00E90823"/>
    <w:rsid w:val="00EA4F33"/>
    <w:rsid w:val="00EB3718"/>
    <w:rsid w:val="00EB568E"/>
    <w:rsid w:val="00EC6089"/>
    <w:rsid w:val="00ED2A7B"/>
    <w:rsid w:val="00ED4784"/>
    <w:rsid w:val="00ED4960"/>
    <w:rsid w:val="00ED4BE7"/>
    <w:rsid w:val="00ED74B6"/>
    <w:rsid w:val="00EE1ED3"/>
    <w:rsid w:val="00EE32F0"/>
    <w:rsid w:val="00EE6CDD"/>
    <w:rsid w:val="00EE79A9"/>
    <w:rsid w:val="00EF1BE3"/>
    <w:rsid w:val="00EF4857"/>
    <w:rsid w:val="00F0126E"/>
    <w:rsid w:val="00F0277D"/>
    <w:rsid w:val="00F04C34"/>
    <w:rsid w:val="00F06F27"/>
    <w:rsid w:val="00F244C9"/>
    <w:rsid w:val="00F27E2B"/>
    <w:rsid w:val="00F329F4"/>
    <w:rsid w:val="00F37957"/>
    <w:rsid w:val="00F40B8A"/>
    <w:rsid w:val="00F474F2"/>
    <w:rsid w:val="00F500B8"/>
    <w:rsid w:val="00F52E3F"/>
    <w:rsid w:val="00F530EF"/>
    <w:rsid w:val="00F62751"/>
    <w:rsid w:val="00F66725"/>
    <w:rsid w:val="00F80E10"/>
    <w:rsid w:val="00F83195"/>
    <w:rsid w:val="00F9126F"/>
    <w:rsid w:val="00F96298"/>
    <w:rsid w:val="00FA31F3"/>
    <w:rsid w:val="00FB10B1"/>
    <w:rsid w:val="00FB10DC"/>
    <w:rsid w:val="00FB6CDD"/>
    <w:rsid w:val="00FC5378"/>
    <w:rsid w:val="00FC5BAF"/>
    <w:rsid w:val="00FE3EEC"/>
    <w:rsid w:val="00FE5156"/>
    <w:rsid w:val="00FE639E"/>
    <w:rsid w:val="00FF0EE5"/>
    <w:rsid w:val="00FF2ADD"/>
    <w:rsid w:val="00FF5EC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4C320"/>
  <w15:chartTrackingRefBased/>
  <w15:docId w15:val="{E7F4AA78-9D3D-4F43-AA79-1A81CC7EF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75E"/>
    <w:pPr>
      <w:spacing w:after="200" w:line="240" w:lineRule="auto"/>
      <w:ind w:firstLine="720"/>
    </w:pPr>
    <w:rPr>
      <w:rFonts w:ascii="Arial" w:eastAsiaTheme="minorEastAsia" w:hAnsi="Arial"/>
      <w:kern w:val="0"/>
      <w:lang w:val="es-CO"/>
      <w14:ligatures w14:val="none"/>
    </w:rPr>
  </w:style>
  <w:style w:type="paragraph" w:styleId="Ttulo1">
    <w:name w:val="heading 1"/>
    <w:basedOn w:val="Normal"/>
    <w:next w:val="Normal"/>
    <w:link w:val="Ttulo1Car"/>
    <w:uiPriority w:val="9"/>
    <w:qFormat/>
    <w:rsid w:val="00430E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30E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30E9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30E9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430E90"/>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430E90"/>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430E90"/>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430E90"/>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430E90"/>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0E90"/>
    <w:rPr>
      <w:rFonts w:asciiTheme="majorHAnsi" w:eastAsiaTheme="majorEastAsia" w:hAnsiTheme="majorHAnsi" w:cstheme="majorBidi"/>
      <w:color w:val="2F5496" w:themeColor="accent1" w:themeShade="BF"/>
      <w:kern w:val="0"/>
      <w:sz w:val="40"/>
      <w:szCs w:val="40"/>
      <w:lang w:val="es-CO"/>
      <w14:ligatures w14:val="none"/>
    </w:rPr>
  </w:style>
  <w:style w:type="character" w:customStyle="1" w:styleId="Ttulo2Car">
    <w:name w:val="Título 2 Car"/>
    <w:basedOn w:val="Fuentedeprrafopredeter"/>
    <w:link w:val="Ttulo2"/>
    <w:uiPriority w:val="9"/>
    <w:semiHidden/>
    <w:rsid w:val="00430E90"/>
    <w:rPr>
      <w:rFonts w:asciiTheme="majorHAnsi" w:eastAsiaTheme="majorEastAsia" w:hAnsiTheme="majorHAnsi" w:cstheme="majorBidi"/>
      <w:color w:val="2F5496" w:themeColor="accent1" w:themeShade="BF"/>
      <w:kern w:val="0"/>
      <w:sz w:val="32"/>
      <w:szCs w:val="32"/>
      <w:lang w:val="es-CO"/>
      <w14:ligatures w14:val="none"/>
    </w:rPr>
  </w:style>
  <w:style w:type="character" w:customStyle="1" w:styleId="Ttulo3Car">
    <w:name w:val="Título 3 Car"/>
    <w:basedOn w:val="Fuentedeprrafopredeter"/>
    <w:link w:val="Ttulo3"/>
    <w:uiPriority w:val="9"/>
    <w:semiHidden/>
    <w:rsid w:val="00430E90"/>
    <w:rPr>
      <w:rFonts w:eastAsiaTheme="majorEastAsia" w:cstheme="majorBidi"/>
      <w:color w:val="2F5496" w:themeColor="accent1" w:themeShade="BF"/>
      <w:kern w:val="0"/>
      <w:sz w:val="28"/>
      <w:szCs w:val="28"/>
      <w:lang w:val="es-CO"/>
      <w14:ligatures w14:val="none"/>
    </w:rPr>
  </w:style>
  <w:style w:type="character" w:customStyle="1" w:styleId="Ttulo4Car">
    <w:name w:val="Título 4 Car"/>
    <w:basedOn w:val="Fuentedeprrafopredeter"/>
    <w:link w:val="Ttulo4"/>
    <w:uiPriority w:val="9"/>
    <w:semiHidden/>
    <w:rsid w:val="00430E90"/>
    <w:rPr>
      <w:rFonts w:eastAsiaTheme="majorEastAsia" w:cstheme="majorBidi"/>
      <w:i/>
      <w:iCs/>
      <w:color w:val="2F5496" w:themeColor="accent1" w:themeShade="BF"/>
      <w:kern w:val="0"/>
      <w:lang w:val="es-CO"/>
      <w14:ligatures w14:val="none"/>
    </w:rPr>
  </w:style>
  <w:style w:type="character" w:customStyle="1" w:styleId="Ttulo5Car">
    <w:name w:val="Título 5 Car"/>
    <w:basedOn w:val="Fuentedeprrafopredeter"/>
    <w:link w:val="Ttulo5"/>
    <w:uiPriority w:val="9"/>
    <w:semiHidden/>
    <w:rsid w:val="00430E90"/>
    <w:rPr>
      <w:rFonts w:eastAsiaTheme="majorEastAsia" w:cstheme="majorBidi"/>
      <w:color w:val="2F5496" w:themeColor="accent1" w:themeShade="BF"/>
      <w:kern w:val="0"/>
      <w:lang w:val="es-CO"/>
      <w14:ligatures w14:val="none"/>
    </w:rPr>
  </w:style>
  <w:style w:type="character" w:customStyle="1" w:styleId="Ttulo6Car">
    <w:name w:val="Título 6 Car"/>
    <w:basedOn w:val="Fuentedeprrafopredeter"/>
    <w:link w:val="Ttulo6"/>
    <w:uiPriority w:val="9"/>
    <w:semiHidden/>
    <w:rsid w:val="00430E90"/>
    <w:rPr>
      <w:rFonts w:eastAsiaTheme="majorEastAsia" w:cstheme="majorBidi"/>
      <w:i/>
      <w:iCs/>
      <w:color w:val="595959" w:themeColor="text1" w:themeTint="A6"/>
      <w:kern w:val="0"/>
      <w:lang w:val="es-CO"/>
      <w14:ligatures w14:val="none"/>
    </w:rPr>
  </w:style>
  <w:style w:type="character" w:customStyle="1" w:styleId="Ttulo7Car">
    <w:name w:val="Título 7 Car"/>
    <w:basedOn w:val="Fuentedeprrafopredeter"/>
    <w:link w:val="Ttulo7"/>
    <w:uiPriority w:val="9"/>
    <w:semiHidden/>
    <w:rsid w:val="00430E90"/>
    <w:rPr>
      <w:rFonts w:eastAsiaTheme="majorEastAsia" w:cstheme="majorBidi"/>
      <w:color w:val="595959" w:themeColor="text1" w:themeTint="A6"/>
      <w:kern w:val="0"/>
      <w:lang w:val="es-CO"/>
      <w14:ligatures w14:val="none"/>
    </w:rPr>
  </w:style>
  <w:style w:type="character" w:customStyle="1" w:styleId="Ttulo8Car">
    <w:name w:val="Título 8 Car"/>
    <w:basedOn w:val="Fuentedeprrafopredeter"/>
    <w:link w:val="Ttulo8"/>
    <w:uiPriority w:val="9"/>
    <w:semiHidden/>
    <w:rsid w:val="00430E90"/>
    <w:rPr>
      <w:rFonts w:eastAsiaTheme="majorEastAsia" w:cstheme="majorBidi"/>
      <w:i/>
      <w:iCs/>
      <w:color w:val="272727" w:themeColor="text1" w:themeTint="D8"/>
      <w:kern w:val="0"/>
      <w:lang w:val="es-CO"/>
      <w14:ligatures w14:val="none"/>
    </w:rPr>
  </w:style>
  <w:style w:type="character" w:customStyle="1" w:styleId="Ttulo9Car">
    <w:name w:val="Título 9 Car"/>
    <w:basedOn w:val="Fuentedeprrafopredeter"/>
    <w:link w:val="Ttulo9"/>
    <w:uiPriority w:val="9"/>
    <w:semiHidden/>
    <w:rsid w:val="00430E90"/>
    <w:rPr>
      <w:rFonts w:eastAsiaTheme="majorEastAsia" w:cstheme="majorBidi"/>
      <w:color w:val="272727" w:themeColor="text1" w:themeTint="D8"/>
      <w:kern w:val="0"/>
      <w:lang w:val="es-CO"/>
      <w14:ligatures w14:val="none"/>
    </w:rPr>
  </w:style>
  <w:style w:type="paragraph" w:styleId="Ttulo">
    <w:name w:val="Title"/>
    <w:basedOn w:val="Normal"/>
    <w:next w:val="Normal"/>
    <w:link w:val="TtuloCar"/>
    <w:uiPriority w:val="10"/>
    <w:qFormat/>
    <w:rsid w:val="00430E9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0E90"/>
    <w:rPr>
      <w:rFonts w:asciiTheme="majorHAnsi" w:eastAsiaTheme="majorEastAsia" w:hAnsiTheme="majorHAnsi" w:cstheme="majorBidi"/>
      <w:spacing w:val="-10"/>
      <w:kern w:val="28"/>
      <w:sz w:val="56"/>
      <w:szCs w:val="56"/>
      <w:lang w:val="es-CO"/>
      <w14:ligatures w14:val="none"/>
    </w:rPr>
  </w:style>
  <w:style w:type="paragraph" w:styleId="Subttulo">
    <w:name w:val="Subtitle"/>
    <w:basedOn w:val="Normal"/>
    <w:next w:val="Normal"/>
    <w:link w:val="SubttuloCar"/>
    <w:uiPriority w:val="11"/>
    <w:qFormat/>
    <w:rsid w:val="00430E90"/>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0E90"/>
    <w:rPr>
      <w:rFonts w:eastAsiaTheme="majorEastAsia" w:cstheme="majorBidi"/>
      <w:color w:val="595959" w:themeColor="text1" w:themeTint="A6"/>
      <w:spacing w:val="15"/>
      <w:kern w:val="0"/>
      <w:sz w:val="28"/>
      <w:szCs w:val="28"/>
      <w:lang w:val="es-CO"/>
      <w14:ligatures w14:val="none"/>
    </w:rPr>
  </w:style>
  <w:style w:type="paragraph" w:styleId="Cita">
    <w:name w:val="Quote"/>
    <w:basedOn w:val="Normal"/>
    <w:next w:val="Normal"/>
    <w:link w:val="CitaCar"/>
    <w:uiPriority w:val="29"/>
    <w:qFormat/>
    <w:rsid w:val="00430E90"/>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430E90"/>
    <w:rPr>
      <w:rFonts w:ascii="Arial" w:eastAsiaTheme="minorEastAsia" w:hAnsi="Arial"/>
      <w:i/>
      <w:iCs/>
      <w:color w:val="404040" w:themeColor="text1" w:themeTint="BF"/>
      <w:kern w:val="0"/>
      <w:lang w:val="es-CO"/>
      <w14:ligatures w14:val="none"/>
    </w:rPr>
  </w:style>
  <w:style w:type="paragraph" w:styleId="Prrafodelista">
    <w:name w:val="List Paragraph"/>
    <w:basedOn w:val="Normal"/>
    <w:uiPriority w:val="34"/>
    <w:qFormat/>
    <w:rsid w:val="00430E90"/>
    <w:pPr>
      <w:ind w:left="720"/>
      <w:contextualSpacing/>
    </w:pPr>
  </w:style>
  <w:style w:type="character" w:styleId="nfasisintenso">
    <w:name w:val="Intense Emphasis"/>
    <w:basedOn w:val="Fuentedeprrafopredeter"/>
    <w:uiPriority w:val="21"/>
    <w:qFormat/>
    <w:rsid w:val="00430E90"/>
    <w:rPr>
      <w:i/>
      <w:iCs/>
      <w:color w:val="2F5496" w:themeColor="accent1" w:themeShade="BF"/>
    </w:rPr>
  </w:style>
  <w:style w:type="paragraph" w:styleId="Citadestacada">
    <w:name w:val="Intense Quote"/>
    <w:basedOn w:val="Normal"/>
    <w:next w:val="Normal"/>
    <w:link w:val="CitadestacadaCar"/>
    <w:uiPriority w:val="30"/>
    <w:qFormat/>
    <w:rsid w:val="00430E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30E90"/>
    <w:rPr>
      <w:rFonts w:ascii="Arial" w:eastAsiaTheme="minorEastAsia" w:hAnsi="Arial"/>
      <w:i/>
      <w:iCs/>
      <w:color w:val="2F5496" w:themeColor="accent1" w:themeShade="BF"/>
      <w:kern w:val="0"/>
      <w:lang w:val="es-CO"/>
      <w14:ligatures w14:val="none"/>
    </w:rPr>
  </w:style>
  <w:style w:type="character" w:styleId="Referenciaintensa">
    <w:name w:val="Intense Reference"/>
    <w:basedOn w:val="Fuentedeprrafopredeter"/>
    <w:uiPriority w:val="32"/>
    <w:qFormat/>
    <w:rsid w:val="00430E90"/>
    <w:rPr>
      <w:b/>
      <w:bCs/>
      <w:smallCaps/>
      <w:color w:val="2F5496" w:themeColor="accent1" w:themeShade="BF"/>
      <w:spacing w:val="5"/>
    </w:rPr>
  </w:style>
  <w:style w:type="paragraph" w:styleId="Encabezado">
    <w:name w:val="header"/>
    <w:basedOn w:val="Normal"/>
    <w:link w:val="EncabezadoCar"/>
    <w:uiPriority w:val="99"/>
    <w:unhideWhenUsed/>
    <w:rsid w:val="00430E90"/>
    <w:pPr>
      <w:tabs>
        <w:tab w:val="center" w:pos="4419"/>
        <w:tab w:val="right" w:pos="8838"/>
      </w:tabs>
      <w:spacing w:after="0"/>
    </w:pPr>
  </w:style>
  <w:style w:type="character" w:customStyle="1" w:styleId="EncabezadoCar">
    <w:name w:val="Encabezado Car"/>
    <w:basedOn w:val="Fuentedeprrafopredeter"/>
    <w:link w:val="Encabezado"/>
    <w:uiPriority w:val="99"/>
    <w:rsid w:val="00430E90"/>
    <w:rPr>
      <w:rFonts w:ascii="Arial" w:eastAsiaTheme="minorEastAsia" w:hAnsi="Arial"/>
      <w:kern w:val="0"/>
      <w:lang w:val="es-CO"/>
      <w14:ligatures w14:val="none"/>
    </w:rPr>
  </w:style>
  <w:style w:type="paragraph" w:styleId="Piedepgina">
    <w:name w:val="footer"/>
    <w:basedOn w:val="Normal"/>
    <w:link w:val="PiedepginaCar"/>
    <w:uiPriority w:val="99"/>
    <w:unhideWhenUsed/>
    <w:rsid w:val="00430E90"/>
    <w:pPr>
      <w:tabs>
        <w:tab w:val="center" w:pos="4419"/>
        <w:tab w:val="right" w:pos="8838"/>
      </w:tabs>
      <w:spacing w:after="0"/>
    </w:pPr>
  </w:style>
  <w:style w:type="character" w:customStyle="1" w:styleId="PiedepginaCar">
    <w:name w:val="Pie de página Car"/>
    <w:basedOn w:val="Fuentedeprrafopredeter"/>
    <w:link w:val="Piedepgina"/>
    <w:uiPriority w:val="99"/>
    <w:rsid w:val="00430E90"/>
    <w:rPr>
      <w:rFonts w:ascii="Arial" w:eastAsiaTheme="minorEastAsia" w:hAnsi="Arial"/>
      <w:kern w:val="0"/>
      <w:lang w:val="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2248</Words>
  <Characters>12365</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7</cp:revision>
  <dcterms:created xsi:type="dcterms:W3CDTF">2026-07-10T12:14:00Z</dcterms:created>
  <dcterms:modified xsi:type="dcterms:W3CDTF">2026-07-10T13:08:00Z</dcterms:modified>
</cp:coreProperties>
</file>