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19AA7687" w:rsidR="000F108B" w:rsidRDefault="002B5507" w:rsidP="001F059D">
      <w:r>
        <w:rPr>
          <w:noProof/>
        </w:rPr>
        <mc:AlternateContent>
          <mc:Choice Requires="wpg">
            <w:drawing>
              <wp:anchor distT="0" distB="0" distL="114300" distR="114300" simplePos="0" relativeHeight="251659264" behindDoc="0" locked="0" layoutInCell="1" allowOverlap="1" wp14:anchorId="2B6E4E9D" wp14:editId="17C6922C">
                <wp:simplePos x="0" y="0"/>
                <wp:positionH relativeFrom="column">
                  <wp:posOffset>-893618</wp:posOffset>
                </wp:positionH>
                <wp:positionV relativeFrom="paragraph">
                  <wp:posOffset>-945573</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lumMod val="65000"/>
                                  <a:lumOff val="35000"/>
                                  <a:alpha val="10000"/>
                                </a:schemeClr>
                              </a:gs>
                              <a:gs pos="93000">
                                <a:schemeClr val="tx1">
                                  <a:lumMod val="50000"/>
                                  <a:lumOff val="50000"/>
                                  <a:alpha val="59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443466" y="4537366"/>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6F5C6316" id="Group 23" o:spid="_x0000_s1026" style="position:absolute;margin-left:-70.35pt;margin-top:-74.45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" fillcolor="#5a5a5a [2109]" strokecolor="white [3212]" strokeweight=".5pt">
                  <v:fill opacity="38666f" color2="gray [1629]" o:opacity2="6553f" rotate="t" colors="0 #595959;60948f #7f7f7f"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443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6328955D" wp14:editId="1D988970">
            <wp:simplePos x="0" y="0"/>
            <wp:positionH relativeFrom="column">
              <wp:posOffset>-1215275</wp:posOffset>
            </wp:positionH>
            <wp:positionV relativeFrom="paragraph">
              <wp:posOffset>-945515</wp:posOffset>
            </wp:positionV>
            <wp:extent cx="8551545" cy="10758249"/>
            <wp:effectExtent l="0" t="0" r="0" b="0"/>
            <wp:wrapNone/>
            <wp:docPr id="950118509" name="Picture 23" descr="A pile of boxes stacked in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18509" name="Picture 23" descr="A pile of boxes stacked in a pyramid&#10;&#10;AI-generated content may be incorrect."/>
                    <pic:cNvPicPr/>
                  </pic:nvPicPr>
                  <pic:blipFill rotWithShape="1">
                    <a:blip r:embed="rId7">
                      <a:extLst>
                        <a:ext uri="{28A0092B-C50C-407E-A947-70E740481C1C}">
                          <a14:useLocalDpi xmlns:a14="http://schemas.microsoft.com/office/drawing/2010/main" val="0"/>
                        </a:ext>
                      </a:extLst>
                    </a:blip>
                    <a:srcRect l="984" t="415" r="-984" b="-415"/>
                    <a:stretch>
                      <a:fillRect/>
                    </a:stretch>
                  </pic:blipFill>
                  <pic:spPr>
                    <a:xfrm>
                      <a:off x="0" y="0"/>
                      <a:ext cx="8551545" cy="1075824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6666B828" wp14:editId="293C3965">
                <wp:simplePos x="0" y="0"/>
                <wp:positionH relativeFrom="column">
                  <wp:posOffset>-414828</wp:posOffset>
                </wp:positionH>
                <wp:positionV relativeFrom="paragraph">
                  <wp:posOffset>7459865</wp:posOffset>
                </wp:positionV>
                <wp:extent cx="2433955" cy="75946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759460"/>
                        </a:xfrm>
                        <a:prstGeom prst="rect">
                          <a:avLst/>
                        </a:prstGeom>
                        <a:noFill/>
                        <a:ln w="6350">
                          <a:noFill/>
                        </a:ln>
                      </wps:spPr>
                      <wps:txbx>
                        <w:txbxContent>
                          <w:p w14:paraId="34E472DF" w14:textId="77777777" w:rsidR="000F108B" w:rsidRPr="001F059D" w:rsidRDefault="000F108B" w:rsidP="001F059D">
                            <w:pPr>
                              <w:rPr>
                                <w:color w:val="FFFFFF" w:themeColor="background1"/>
                                <w:sz w:val="32"/>
                                <w:szCs w:val="32"/>
                              </w:rPr>
                            </w:pPr>
                            <w:r w:rsidRPr="001F059D">
                              <w:rPr>
                                <w:color w:val="FFFFFF" w:themeColor="background1"/>
                                <w:sz w:val="32"/>
                                <w:szCs w:val="32"/>
                              </w:rPr>
                              <w:t>By Benjamin MacVean</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2.65pt;margin-top:587.4pt;width:191.65pt;height:59.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" filled="f" stroked="f" strokeweight=".5pt">
                <v:textbox>
                  <w:txbxContent>
                    <w:p w14:paraId="34E472DF" w14:textId="77777777" w:rsidR="000F108B" w:rsidRPr="001F059D" w:rsidRDefault="000F108B" w:rsidP="001F059D">
                      <w:pPr>
                        <w:rPr>
                          <w:color w:val="FFFFFF" w:themeColor="background1"/>
                          <w:sz w:val="32"/>
                          <w:szCs w:val="32"/>
                        </w:rPr>
                      </w:pPr>
                      <w:r w:rsidRPr="001F059D">
                        <w:rPr>
                          <w:color w:val="FFFFFF" w:themeColor="background1"/>
                          <w:sz w:val="32"/>
                          <w:szCs w:val="32"/>
                        </w:rPr>
                        <w:t>By Benjamin MacVean</w:t>
                      </w:r>
                    </w:p>
                    <w:p w14:paraId="3B17B765" w14:textId="77777777" w:rsidR="000F108B" w:rsidRDefault="000F108B" w:rsidP="001F059D"/>
                  </w:txbxContent>
                </v:textbox>
              </v:shape>
            </w:pict>
          </mc:Fallback>
        </mc:AlternateContent>
      </w:r>
      <w:r w:rsidR="000F108B">
        <w:rPr>
          <w:noProof/>
        </w:rPr>
        <mc:AlternateContent>
          <mc:Choice Requires="wps">
            <w:drawing>
              <wp:anchor distT="0" distB="0" distL="114300" distR="114300" simplePos="0" relativeHeight="251661312" behindDoc="0" locked="0" layoutInCell="1" allowOverlap="1" wp14:anchorId="4BE7ACF9" wp14:editId="42A5271E">
                <wp:simplePos x="0" y="0"/>
                <wp:positionH relativeFrom="column">
                  <wp:posOffset>-415637</wp:posOffset>
                </wp:positionH>
                <wp:positionV relativeFrom="paragraph">
                  <wp:posOffset>5808518</wp:posOffset>
                </wp:positionV>
                <wp:extent cx="3616037" cy="118456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184563"/>
                        </a:xfrm>
                        <a:prstGeom prst="rect">
                          <a:avLst/>
                        </a:prstGeom>
                        <a:noFill/>
                        <a:ln w="6350">
                          <a:noFill/>
                        </a:ln>
                      </wps:spPr>
                      <wps:txbx>
                        <w:txbxContent>
                          <w:p w14:paraId="0489C074" w14:textId="37F4CBC1" w:rsidR="000F108B" w:rsidRPr="001F059D" w:rsidRDefault="002B5507" w:rsidP="001F059D">
                            <w:pPr>
                              <w:pStyle w:val="Title"/>
                            </w:pPr>
                            <w:r>
                              <w:t>Sandoz v Bayer [2024]</w:t>
                            </w:r>
                          </w:p>
                          <w:p w14:paraId="0923727F" w14:textId="1C675D65" w:rsidR="001F059D" w:rsidRDefault="002B5507" w:rsidP="002B5507">
                            <w:pPr>
                              <w:pStyle w:val="Subtitle"/>
                            </w:pPr>
                            <w:r>
                              <w:t>A Case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32.75pt;margin-top:457.35pt;width:284.7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RJTGgIAADQ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" filled="f" stroked="f" strokeweight=".5pt">
                <v:textbox>
                  <w:txbxContent>
                    <w:p w14:paraId="0489C074" w14:textId="37F4CBC1" w:rsidR="000F108B" w:rsidRPr="001F059D" w:rsidRDefault="002B5507" w:rsidP="001F059D">
                      <w:pPr>
                        <w:pStyle w:val="Title"/>
                      </w:pPr>
                      <w:r>
                        <w:t>Sandoz v Bayer [2024]</w:t>
                      </w:r>
                    </w:p>
                    <w:p w14:paraId="0923727F" w14:textId="1C675D65" w:rsidR="001F059D" w:rsidRDefault="002B5507" w:rsidP="002B5507">
                      <w:pPr>
                        <w:pStyle w:val="Subtitle"/>
                      </w:pPr>
                      <w:r>
                        <w:t>A Case Summary</w:t>
                      </w:r>
                    </w:p>
                  </w:txbxContent>
                </v:textbox>
              </v:shape>
            </w:pict>
          </mc:Fallback>
        </mc:AlternateContent>
      </w:r>
      <w:r w:rsidR="000F108B">
        <w:br w:type="page"/>
      </w:r>
    </w:p>
    <w:p w14:paraId="624CB36F" w14:textId="77777777" w:rsidR="002B5507" w:rsidRDefault="002B5507" w:rsidP="002B5507">
      <w:pPr>
        <w:pStyle w:val="Heading1"/>
      </w:pPr>
      <w:r>
        <w:lastRenderedPageBreak/>
        <w:t>I EXECUTIVE SUMMARY</w:t>
      </w:r>
    </w:p>
    <w:p w14:paraId="338C99CB" w14:textId="77777777" w:rsidR="002B5507" w:rsidRDefault="002B5507" w:rsidP="002B5507">
      <w:r>
        <w:t>In successfully appealing to the Full Federal Court, Sandoz has revoked two Bayer follow-on patents for a treatment using rivaroxaban, trading under the name Xarelto. The Court held that the follow-on patents were obvious in the light of Bayer’s original patent for rivaroxaban and clarified the test for inventive step in section 7 of the Patents Act 1990 (Cth) (‘Patents Act’).</w:t>
      </w:r>
      <w:r>
        <w:rPr>
          <w:rStyle w:val="FootnoteReference"/>
        </w:rPr>
        <w:footnoteReference w:id="1"/>
      </w:r>
    </w:p>
    <w:p w14:paraId="33F4CCE0" w14:textId="77777777" w:rsidR="002B5507" w:rsidRDefault="002B5507" w:rsidP="002B5507">
      <w:r>
        <w:t xml:space="preserve">See: </w:t>
      </w:r>
      <w:hyperlink r:id="rId8" w:history="1">
        <w:r w:rsidRPr="005A1F05">
          <w:rPr>
            <w:rStyle w:val="Hyperlink"/>
          </w:rPr>
          <w:t>Federal Court Judgement</w:t>
        </w:r>
      </w:hyperlink>
    </w:p>
    <w:p w14:paraId="516475D4" w14:textId="77777777" w:rsidR="002B5507" w:rsidRDefault="002B5507" w:rsidP="002B5507">
      <w:r>
        <w:t xml:space="preserve">See: </w:t>
      </w:r>
      <w:hyperlink r:id="rId9" w:history="1">
        <w:r w:rsidRPr="005720CA">
          <w:rPr>
            <w:rStyle w:val="Hyperlink"/>
          </w:rPr>
          <w:t>Decisions of Interest ‘International Patent Publication’ Oct 2024</w:t>
        </w:r>
      </w:hyperlink>
    </w:p>
    <w:p w14:paraId="160938A9" w14:textId="77777777" w:rsidR="002B5507" w:rsidRPr="00F95C31" w:rsidRDefault="002B5507" w:rsidP="002B5507">
      <w:r>
        <w:t xml:space="preserve">See: </w:t>
      </w:r>
      <w:hyperlink r:id="rId10" w:history="1">
        <w:r w:rsidRPr="00B201FA">
          <w:rPr>
            <w:rStyle w:val="Hyperlink"/>
          </w:rPr>
          <w:t>Section 7 Patents Act 1990 (Cth)</w:t>
        </w:r>
      </w:hyperlink>
      <w:r>
        <w:tab/>
      </w:r>
      <w:r>
        <w:tab/>
      </w:r>
      <w:r>
        <w:tab/>
      </w:r>
      <w:r>
        <w:tab/>
      </w:r>
      <w:r>
        <w:tab/>
      </w:r>
      <w:r>
        <w:tab/>
      </w:r>
      <w:r>
        <w:tab/>
      </w:r>
      <w:r>
        <w:tab/>
      </w:r>
      <w:r>
        <w:tab/>
      </w:r>
    </w:p>
    <w:p w14:paraId="7ACF5B6C" w14:textId="77777777" w:rsidR="002B5507" w:rsidRDefault="002B5507" w:rsidP="002B5507">
      <w:r>
        <w:rPr>
          <w:b/>
          <w:bCs/>
        </w:rPr>
        <w:t>Judges</w:t>
      </w:r>
      <w:r>
        <w:t>: Yates, Burley and Downes JJ</w:t>
      </w:r>
    </w:p>
    <w:p w14:paraId="7FF328A1" w14:textId="77777777" w:rsidR="002B5507" w:rsidRDefault="002B5507" w:rsidP="002B5507">
      <w:pPr>
        <w:pStyle w:val="Heading1"/>
      </w:pPr>
      <w:bookmarkStart w:id="0" w:name="_quf5kvmpo8i0" w:colFirst="0" w:colLast="0"/>
      <w:bookmarkEnd w:id="0"/>
      <w:r>
        <w:t>II CASE BACKGROUND</w:t>
      </w:r>
    </w:p>
    <w:p w14:paraId="2E6AA5FF" w14:textId="77777777" w:rsidR="002B5507" w:rsidRDefault="002B5507" w:rsidP="002B5507">
      <w:r>
        <w:t>Bayer has sold products comprising rivaroxaban (used to treat and prevent Deep Venous Thrombosis) in Australia under the trade name Xarelto. Bayer’s patent for rivaroxaban (international application WO 01/47919) expired in November of 2023. Additionally, Bayer has been, since 14 February 2023,</w:t>
      </w:r>
      <w:r>
        <w:rPr>
          <w:rStyle w:val="FootnoteReference"/>
        </w:rPr>
        <w:footnoteReference w:id="2"/>
      </w:r>
      <w:r>
        <w:t xml:space="preserve"> the exclusive licensee of the following patents: </w:t>
      </w:r>
    </w:p>
    <w:p w14:paraId="4C6EE4B4" w14:textId="77777777" w:rsidR="002B5507" w:rsidRDefault="002B5507" w:rsidP="002B5507">
      <w:pPr>
        <w:pStyle w:val="ListParagraph"/>
        <w:numPr>
          <w:ilvl w:val="0"/>
          <w:numId w:val="1"/>
        </w:numPr>
        <w:spacing w:after="200"/>
      </w:pPr>
      <w:r>
        <w:t>Australian Patent No. 2004305226 – ‘Method for the production of a solid, orally applicable pharmaceutical composition’ (‘Patent 226’); and</w:t>
      </w:r>
    </w:p>
    <w:p w14:paraId="5548A8A7" w14:textId="77777777" w:rsidR="002B5507" w:rsidRDefault="002B5507" w:rsidP="002B5507">
      <w:pPr>
        <w:pStyle w:val="ListParagraph"/>
        <w:numPr>
          <w:ilvl w:val="0"/>
          <w:numId w:val="1"/>
        </w:numPr>
        <w:spacing w:after="200"/>
      </w:pPr>
      <w:r>
        <w:t>Australian Patent No. 2006208613 – ‘Prevention and treatment of thromboembolic disorders’ (‘Patent 613’).</w:t>
      </w:r>
    </w:p>
    <w:p w14:paraId="5F7AF1A6" w14:textId="77777777" w:rsidR="002B5507" w:rsidRDefault="002B5507" w:rsidP="002B5507">
      <w:pPr>
        <w:pStyle w:val="Heading1"/>
      </w:pPr>
      <w:bookmarkStart w:id="1" w:name="_qln8zmtxao0f" w:colFirst="0" w:colLast="0"/>
      <w:bookmarkStart w:id="2" w:name="_xqjl97aj2fvt" w:colFirst="0" w:colLast="0"/>
      <w:bookmarkEnd w:id="1"/>
      <w:bookmarkEnd w:id="2"/>
      <w:r>
        <w:t>III THE CASE</w:t>
      </w:r>
    </w:p>
    <w:p w14:paraId="0A954520" w14:textId="77777777" w:rsidR="002B5507" w:rsidRDefault="002B5507" w:rsidP="002B5507">
      <w:r>
        <w:t xml:space="preserve"> Sandoz’ commenced proceedings against Bayer, seeking to have Patents 226 and 613 revoked to produce a generic version. Sandoz argued the following grounds:</w:t>
      </w:r>
    </w:p>
    <w:p w14:paraId="1B898B9C" w14:textId="77777777" w:rsidR="002B5507" w:rsidRDefault="002B5507" w:rsidP="002B5507">
      <w:pPr>
        <w:pStyle w:val="ListParagraph"/>
        <w:numPr>
          <w:ilvl w:val="0"/>
          <w:numId w:val="2"/>
        </w:numPr>
        <w:spacing w:after="200"/>
      </w:pPr>
      <w:r>
        <w:t>That the inventions claimed in Patent 226 and Patent 613 were “obvious in the light of the common general knowledge together with International Patent Publication No. WO 01/47919 (‘WO 919’); and</w:t>
      </w:r>
    </w:p>
    <w:p w14:paraId="06BD8EE1" w14:textId="77777777" w:rsidR="002B5507" w:rsidRDefault="002B5507" w:rsidP="002B5507">
      <w:pPr>
        <w:pStyle w:val="ListParagraph"/>
        <w:numPr>
          <w:ilvl w:val="0"/>
          <w:numId w:val="2"/>
        </w:numPr>
        <w:spacing w:after="200"/>
      </w:pPr>
      <w:r>
        <w:t xml:space="preserve">That the inventions claimed in </w:t>
      </w:r>
      <w:r w:rsidRPr="0083324A">
        <w:t xml:space="preserve">the 613 Patent were </w:t>
      </w:r>
      <w:r>
        <w:t>“</w:t>
      </w:r>
      <w:r w:rsidRPr="0083324A">
        <w:t>obvious in the light of the common general knowledge together with Abstracts 3003, 3004 and 3010 published in the November 2003 supplement of the journal Blood (</w:t>
      </w:r>
      <w:r>
        <w:t>‘</w:t>
      </w:r>
      <w:r w:rsidRPr="0083324A">
        <w:t>Blood Abstracts</w:t>
      </w:r>
      <w:r>
        <w:t>’</w:t>
      </w:r>
      <w:r w:rsidRPr="0083324A">
        <w:t>)</w:t>
      </w:r>
      <w:r>
        <w:t>”.</w:t>
      </w:r>
      <w:r>
        <w:rPr>
          <w:rStyle w:val="FootnoteReference"/>
        </w:rPr>
        <w:footnoteReference w:id="3"/>
      </w:r>
    </w:p>
    <w:p w14:paraId="311F11D9" w14:textId="77777777" w:rsidR="002B5507" w:rsidRDefault="002B5507" w:rsidP="002B5507">
      <w:r>
        <w:lastRenderedPageBreak/>
        <w:t xml:space="preserve">The primary judge found that both Patents were valid. However, their honours Yates, Burley, and Downes allowed Sandoz’s appeal, finding: </w:t>
      </w:r>
    </w:p>
    <w:p w14:paraId="0FFC8FF2" w14:textId="77777777" w:rsidR="002B5507" w:rsidRDefault="002B5507" w:rsidP="002B5507">
      <w:pPr>
        <w:pStyle w:val="ListParagraph"/>
        <w:numPr>
          <w:ilvl w:val="0"/>
          <w:numId w:val="3"/>
        </w:numPr>
        <w:spacing w:after="200"/>
      </w:pPr>
      <w:r>
        <w:t>Section 7(3) of the Patents Act 1990 (Cth) does not require proof that a hypothetical skilled person would ascertain information, but rather, sufficient proof that the skilled person would do so on the balance of probabilities In light of this, the primary judge erred in finding a skilled person could not be reasonably expected to have ascertained international patent publication No. WO 01/47919 within the meaning of s7(3) of the Patents Act 1990 (Cth).</w:t>
      </w:r>
      <w:r>
        <w:rPr>
          <w:rStyle w:val="FootnoteReference"/>
        </w:rPr>
        <w:footnoteReference w:id="4"/>
      </w:r>
    </w:p>
    <w:p w14:paraId="672AEFC8" w14:textId="77777777" w:rsidR="002B5507" w:rsidRDefault="002B5507" w:rsidP="002B5507">
      <w:pPr>
        <w:pStyle w:val="ListParagraph"/>
        <w:numPr>
          <w:ilvl w:val="0"/>
          <w:numId w:val="3"/>
        </w:numPr>
        <w:spacing w:after="200"/>
      </w:pPr>
      <w:r>
        <w:t>The primary judge erred in finding that the inventions claimed in Patents 226 and 613 involved an ‘inventive step’ in the light of common general knowledge.</w:t>
      </w:r>
      <w:r>
        <w:rPr>
          <w:rStyle w:val="FootnoteReference"/>
        </w:rPr>
        <w:footnoteReference w:id="5"/>
      </w:r>
    </w:p>
    <w:p w14:paraId="753DC6B0" w14:textId="77777777" w:rsidR="002B5507" w:rsidRPr="0083324A" w:rsidRDefault="002B5507" w:rsidP="002B5507">
      <w:pPr>
        <w:pStyle w:val="ListParagraph"/>
        <w:numPr>
          <w:ilvl w:val="0"/>
          <w:numId w:val="3"/>
        </w:numPr>
        <w:spacing w:after="200"/>
      </w:pPr>
      <w:r>
        <w:t>A skilled person could not be led to the invention claimed in patent 613 because the invention was not simply the dosage regime. It also listed a chemical compound which without, a skilled person would not be led to the invention.</w:t>
      </w:r>
      <w:r>
        <w:rPr>
          <w:rStyle w:val="FootnoteReference"/>
        </w:rPr>
        <w:footnoteReference w:id="6"/>
      </w:r>
    </w:p>
    <w:p w14:paraId="5DFC3184" w14:textId="77777777" w:rsidR="002B5507" w:rsidRDefault="002B5507" w:rsidP="002B5507">
      <w:pPr>
        <w:pStyle w:val="Heading1"/>
      </w:pPr>
      <w:bookmarkStart w:id="3" w:name="_2852b4ohoglr" w:colFirst="0" w:colLast="0"/>
      <w:bookmarkEnd w:id="3"/>
      <w:r>
        <w:t>IV IMPLICATIONS OF THE DECISION</w:t>
      </w:r>
    </w:p>
    <w:p w14:paraId="2F047E3B" w14:textId="77777777" w:rsidR="002B5507" w:rsidRDefault="002B5507" w:rsidP="002B5507">
      <w:r>
        <w:t xml:space="preserve">When drafting a follow-on patent, a company should seriously consider what the inventive aspect of the follow-on patent is. This will assist the company to defend the validity of patents. </w:t>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4C600630">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lumMod val="65000"/>
                                  <a:lumOff val="35000"/>
                                  <a:alpha val="15000"/>
                                </a:schemeClr>
                              </a:gs>
                              <a:gs pos="100000">
                                <a:schemeClr val="tx1">
                                  <a:lumMod val="50000"/>
                                  <a:lumOff val="50000"/>
                                  <a:alpha val="16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E9C4CF1"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" fillcolor="#5a5a5a [2109]" strokecolor="white [3212]" strokeweight=".5pt">
                  <v:fill opacity="9830f" color2="gray [1629]" o:opacity2="10485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11">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F2297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AC6A" w14:textId="77777777" w:rsidR="001862BE" w:rsidRDefault="001862BE" w:rsidP="002B5507">
      <w:pPr>
        <w:spacing w:after="0" w:line="240" w:lineRule="auto"/>
      </w:pPr>
      <w:r>
        <w:separator/>
      </w:r>
    </w:p>
  </w:endnote>
  <w:endnote w:type="continuationSeparator" w:id="0">
    <w:p w14:paraId="6A4E1113" w14:textId="77777777" w:rsidR="001862BE" w:rsidRDefault="001862BE" w:rsidP="002B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AEEE" w14:textId="77777777" w:rsidR="001862BE" w:rsidRDefault="001862BE" w:rsidP="002B5507">
      <w:pPr>
        <w:spacing w:after="0" w:line="240" w:lineRule="auto"/>
      </w:pPr>
      <w:r>
        <w:separator/>
      </w:r>
    </w:p>
  </w:footnote>
  <w:footnote w:type="continuationSeparator" w:id="0">
    <w:p w14:paraId="3277D5DA" w14:textId="77777777" w:rsidR="001862BE" w:rsidRDefault="001862BE" w:rsidP="002B5507">
      <w:pPr>
        <w:spacing w:after="0" w:line="240" w:lineRule="auto"/>
      </w:pPr>
      <w:r>
        <w:continuationSeparator/>
      </w:r>
    </w:p>
  </w:footnote>
  <w:footnote w:id="1">
    <w:p w14:paraId="5A6B58C7" w14:textId="77777777" w:rsidR="002B5507" w:rsidRPr="00B201FA" w:rsidRDefault="002B5507" w:rsidP="002B5507">
      <w:pPr>
        <w:pStyle w:val="FootnoteText"/>
        <w:rPr>
          <w:lang w:val="en-AU"/>
        </w:rPr>
      </w:pPr>
      <w:r>
        <w:rPr>
          <w:rStyle w:val="FootnoteReference"/>
        </w:rPr>
        <w:footnoteRef/>
      </w:r>
      <w:r>
        <w:t xml:space="preserve"> </w:t>
      </w:r>
      <w:hyperlink r:id="rId1" w:history="1">
        <w:r w:rsidRPr="000D72B7">
          <w:rPr>
            <w:rStyle w:val="Hyperlink"/>
            <w:rFonts w:eastAsiaTheme="majorEastAsia"/>
            <w:i/>
            <w:iCs/>
            <w:u w:val="none"/>
          </w:rPr>
          <w:t xml:space="preserve">Patents Act 1990 </w:t>
        </w:r>
        <w:r w:rsidRPr="000D72B7">
          <w:rPr>
            <w:rStyle w:val="Hyperlink"/>
            <w:rFonts w:eastAsiaTheme="majorEastAsia"/>
            <w:u w:val="none"/>
          </w:rPr>
          <w:t>(Cth) s 7</w:t>
        </w:r>
      </w:hyperlink>
      <w:r w:rsidRPr="000D72B7">
        <w:t>.</w:t>
      </w:r>
    </w:p>
  </w:footnote>
  <w:footnote w:id="2">
    <w:p w14:paraId="63399EBC" w14:textId="77777777" w:rsidR="002B5507" w:rsidRPr="00B3307F" w:rsidRDefault="002B5507" w:rsidP="002B5507">
      <w:pPr>
        <w:pStyle w:val="FootnoteText"/>
        <w:rPr>
          <w:lang w:val="en-AU"/>
        </w:rPr>
      </w:pPr>
      <w:r>
        <w:rPr>
          <w:rStyle w:val="FootnoteReference"/>
        </w:rPr>
        <w:footnoteRef/>
      </w:r>
      <w:r>
        <w:t xml:space="preserve"> </w:t>
      </w:r>
      <w:hyperlink r:id="rId2" w:history="1">
        <w:r w:rsidRPr="00B3307F">
          <w:rPr>
            <w:rStyle w:val="Hyperlink"/>
            <w:rFonts w:eastAsiaTheme="majorEastAsia"/>
            <w:i/>
            <w:iCs/>
            <w:u w:val="none"/>
          </w:rPr>
          <w:t>Sandoz AG v Bayer Intellectual Property GmbH</w:t>
        </w:r>
        <w:r w:rsidRPr="00B3307F">
          <w:rPr>
            <w:rStyle w:val="Hyperlink"/>
            <w:rFonts w:eastAsiaTheme="majorEastAsia"/>
            <w:u w:val="none"/>
          </w:rPr>
          <w:t xml:space="preserve"> [2024] FCAFC 135, [2]-[3]</w:t>
        </w:r>
      </w:hyperlink>
      <w:r w:rsidRPr="00B3307F">
        <w:t xml:space="preserve"> (</w:t>
      </w:r>
      <w:r w:rsidRPr="00B3307F">
        <w:rPr>
          <w:i/>
          <w:iCs/>
        </w:rPr>
        <w:t>‘Sandoz v Bayer’</w:t>
      </w:r>
      <w:r>
        <w:t>).</w:t>
      </w:r>
    </w:p>
  </w:footnote>
  <w:footnote w:id="3">
    <w:p w14:paraId="348B8756" w14:textId="77777777" w:rsidR="002B5507" w:rsidRPr="000D72B7" w:rsidRDefault="002B5507" w:rsidP="002B5507">
      <w:pPr>
        <w:pStyle w:val="FootnoteText"/>
        <w:rPr>
          <w:lang w:val="en-AU"/>
        </w:rPr>
      </w:pPr>
      <w:r>
        <w:rPr>
          <w:rStyle w:val="FootnoteReference"/>
        </w:rPr>
        <w:footnoteRef/>
      </w:r>
      <w:r>
        <w:t xml:space="preserve"> </w:t>
      </w:r>
      <w:r w:rsidRPr="000D72B7">
        <w:t>Ibid [4].</w:t>
      </w:r>
    </w:p>
  </w:footnote>
  <w:footnote w:id="4">
    <w:p w14:paraId="67D3BD70" w14:textId="77777777" w:rsidR="002B5507" w:rsidRPr="00B201FA" w:rsidRDefault="002B5507" w:rsidP="002B5507">
      <w:pPr>
        <w:pStyle w:val="FootnoteText"/>
        <w:rPr>
          <w:lang w:val="en-AU"/>
        </w:rPr>
      </w:pPr>
      <w:r w:rsidRPr="000D72B7">
        <w:rPr>
          <w:rStyle w:val="FootnoteReference"/>
        </w:rPr>
        <w:footnoteRef/>
      </w:r>
      <w:r w:rsidRPr="000D72B7">
        <w:t xml:space="preserve"> </w:t>
      </w:r>
      <w:r w:rsidRPr="000D72B7">
        <w:rPr>
          <w:lang w:val="en-AU"/>
        </w:rPr>
        <w:t>Ibid [43]-[</w:t>
      </w:r>
      <w:r>
        <w:rPr>
          <w:lang w:val="en-AU"/>
        </w:rPr>
        <w:t>61].</w:t>
      </w:r>
    </w:p>
  </w:footnote>
  <w:footnote w:id="5">
    <w:p w14:paraId="411771AA" w14:textId="77777777" w:rsidR="002B5507" w:rsidRPr="005C7F60" w:rsidRDefault="002B5507" w:rsidP="002B5507">
      <w:pPr>
        <w:pStyle w:val="FootnoteText"/>
        <w:rPr>
          <w:lang w:val="en-AU"/>
        </w:rPr>
      </w:pPr>
      <w:r>
        <w:rPr>
          <w:rStyle w:val="FootnoteReference"/>
        </w:rPr>
        <w:footnoteRef/>
      </w:r>
      <w:r>
        <w:t xml:space="preserve"> Ibid </w:t>
      </w:r>
      <w:r>
        <w:rPr>
          <w:lang w:val="en-AU"/>
        </w:rPr>
        <w:t xml:space="preserve">[89]-[106]. </w:t>
      </w:r>
    </w:p>
  </w:footnote>
  <w:footnote w:id="6">
    <w:p w14:paraId="3B7069E3" w14:textId="77777777" w:rsidR="002B5507" w:rsidRPr="005C7F60" w:rsidRDefault="002B5507" w:rsidP="002B5507">
      <w:pPr>
        <w:pStyle w:val="FootnoteText"/>
        <w:rPr>
          <w:lang w:val="en-AU"/>
        </w:rPr>
      </w:pPr>
      <w:r>
        <w:rPr>
          <w:rStyle w:val="FootnoteReference"/>
        </w:rPr>
        <w:footnoteRef/>
      </w:r>
      <w:r>
        <w:t xml:space="preserve"> Ibid </w:t>
      </w:r>
      <w:r>
        <w:rPr>
          <w:lang w:val="en-AU"/>
        </w:rPr>
        <w:t>[114]-[119].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A68BD"/>
    <w:multiLevelType w:val="hybridMultilevel"/>
    <w:tmpl w:val="854AC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6F27E1"/>
    <w:multiLevelType w:val="hybridMultilevel"/>
    <w:tmpl w:val="BFA6D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A630D2"/>
    <w:multiLevelType w:val="hybridMultilevel"/>
    <w:tmpl w:val="BBF40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0947224">
    <w:abstractNumId w:val="2"/>
  </w:num>
  <w:num w:numId="2" w16cid:durableId="605773057">
    <w:abstractNumId w:val="0"/>
  </w:num>
  <w:num w:numId="3" w16cid:durableId="25116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862BE"/>
    <w:rsid w:val="001A3BD0"/>
    <w:rsid w:val="001B7DFD"/>
    <w:rsid w:val="001F059D"/>
    <w:rsid w:val="001F7F8C"/>
    <w:rsid w:val="00220042"/>
    <w:rsid w:val="0023078B"/>
    <w:rsid w:val="00240E95"/>
    <w:rsid w:val="00285268"/>
    <w:rsid w:val="00294CA4"/>
    <w:rsid w:val="002B5507"/>
    <w:rsid w:val="002F23C0"/>
    <w:rsid w:val="00300E0C"/>
    <w:rsid w:val="0032017D"/>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character" w:styleId="Hyperlink">
    <w:name w:val="Hyperlink"/>
    <w:basedOn w:val="DefaultParagraphFont"/>
    <w:uiPriority w:val="99"/>
    <w:unhideWhenUsed/>
    <w:rsid w:val="002B5507"/>
    <w:rPr>
      <w:color w:val="467886" w:themeColor="hyperlink"/>
      <w:u w:val="single"/>
    </w:rPr>
  </w:style>
  <w:style w:type="paragraph" w:styleId="FootnoteText">
    <w:name w:val="footnote text"/>
    <w:basedOn w:val="Normal"/>
    <w:link w:val="FootnoteTextChar"/>
    <w:uiPriority w:val="99"/>
    <w:semiHidden/>
    <w:unhideWhenUsed/>
    <w:rsid w:val="002B5507"/>
    <w:pPr>
      <w:spacing w:after="0" w:line="240" w:lineRule="auto"/>
    </w:pPr>
    <w:rPr>
      <w:rFonts w:eastAsia="Times New Roman"/>
      <w:sz w:val="20"/>
      <w:szCs w:val="20"/>
      <w:lang w:val="en-GB" w:eastAsia="en-GB"/>
    </w:rPr>
  </w:style>
  <w:style w:type="character" w:customStyle="1" w:styleId="FootnoteTextChar">
    <w:name w:val="Footnote Text Char"/>
    <w:basedOn w:val="DefaultParagraphFont"/>
    <w:link w:val="FootnoteText"/>
    <w:uiPriority w:val="99"/>
    <w:semiHidden/>
    <w:rsid w:val="002B5507"/>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2B5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dgments.fedcourt.gov.au/judgments/Judgments/fca/full/2024/2024fcafc01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hyperlink" Target="https://classic.austlii.edu.au/au/legis/cth/consol_act/pa1990109/s7.html" TargetMode="External"/><Relationship Id="rId4" Type="http://schemas.openxmlformats.org/officeDocument/2006/relationships/webSettings" Target="webSettings.xml"/><Relationship Id="rId9" Type="http://schemas.openxmlformats.org/officeDocument/2006/relationships/hyperlink" Target="https://www.google.com/url?sa=t&amp;source=web&amp;rct=j&amp;opi=89978449&amp;url=https://supremecourt.nsw.gov.au/documents/court-of-appeal/decisions-of-interest/Decisions_of_Interest_15_October_2024_-_30_October_2024.docx&amp;ved=2ahUKEwjO-9PWvIeSAxU6-DgGHZS6Gc0QFnoECBsQAQ&amp;usg=AOvVaw21cxl6K1CxMpX11A05jF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judgments.fedcourt.gov.au/judgments/Judgments/fca/full/2024/2024fcafc0135" TargetMode="External"/><Relationship Id="rId1" Type="http://schemas.openxmlformats.org/officeDocument/2006/relationships/hyperlink" Target="https://www.austlii.edu.au/cgi-bin/viewdb/au/legis/cth/consol_act/pa199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547</Words>
  <Characters>2960</Characters>
  <Application>Microsoft Office Word</Application>
  <DocSecurity>0</DocSecurity>
  <Lines>52</Lines>
  <Paragraphs>27</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5</cp:revision>
  <dcterms:created xsi:type="dcterms:W3CDTF">2026-01-14T20:20:00Z</dcterms:created>
  <dcterms:modified xsi:type="dcterms:W3CDTF">2026-01-14T22:01:00Z</dcterms:modified>
</cp:coreProperties>
</file>