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56382" w14:textId="14B479CB" w:rsidR="000F108B" w:rsidRDefault="00FB08D7" w:rsidP="001F059D">
      <w:r>
        <w:rPr>
          <w:noProof/>
        </w:rPr>
        <mc:AlternateContent>
          <mc:Choice Requires="wpg">
            <w:drawing>
              <wp:anchor distT="0" distB="0" distL="114300" distR="114300" simplePos="0" relativeHeight="251659264" behindDoc="0" locked="0" layoutInCell="1" allowOverlap="1" wp14:anchorId="2B6E4E9D" wp14:editId="25E8E5D0">
                <wp:simplePos x="0" y="0"/>
                <wp:positionH relativeFrom="column">
                  <wp:posOffset>-810260</wp:posOffset>
                </wp:positionH>
                <wp:positionV relativeFrom="paragraph">
                  <wp:posOffset>-1215390</wp:posOffset>
                </wp:positionV>
                <wp:extent cx="7769860" cy="11252835"/>
                <wp:effectExtent l="0" t="0" r="15240" b="12065"/>
                <wp:wrapNone/>
                <wp:docPr id="1521003895" name="Group 23"/>
                <wp:cNvGraphicFramePr/>
                <a:graphic xmlns:a="http://schemas.openxmlformats.org/drawingml/2006/main">
                  <a:graphicData uri="http://schemas.microsoft.com/office/word/2010/wordprocessingGroup">
                    <wpg:wgp>
                      <wpg:cNvGrpSpPr/>
                      <wpg:grpSpPr>
                        <a:xfrm>
                          <a:off x="0" y="0"/>
                          <a:ext cx="7769860" cy="11252835"/>
                          <a:chOff x="0" y="-51025"/>
                          <a:chExt cx="7769915" cy="10735853"/>
                        </a:xfrm>
                      </wpg:grpSpPr>
                      <wps:wsp>
                        <wps:cNvPr id="1472515651" name="Rectangle 15"/>
                        <wps:cNvSpPr/>
                        <wps:spPr>
                          <a:xfrm>
                            <a:off x="0" y="-51025"/>
                            <a:ext cx="7766235" cy="10732281"/>
                          </a:xfrm>
                          <a:prstGeom prst="rect">
                            <a:avLst/>
                          </a:prstGeom>
                          <a:gradFill>
                            <a:gsLst>
                              <a:gs pos="0">
                                <a:schemeClr val="tx1">
                                  <a:alpha val="22000"/>
                                </a:schemeClr>
                              </a:gs>
                              <a:gs pos="100000">
                                <a:schemeClr val="tx1">
                                  <a:alpha val="64000"/>
                                </a:schemeClr>
                              </a:gs>
                            </a:gsLst>
                          </a:grad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2973178" name="Triangle 16"/>
                        <wps:cNvSpPr/>
                        <wps:spPr>
                          <a:xfrm>
                            <a:off x="2642755" y="6120246"/>
                            <a:ext cx="4998615" cy="4564582"/>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47121778" name="Straight Connector 17"/>
                        <wps:cNvCnPr/>
                        <wps:spPr>
                          <a:xfrm flipH="1">
                            <a:off x="2246746" y="12700"/>
                            <a:ext cx="5523089" cy="1066533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433690939" name="Straight Connector 18"/>
                        <wps:cNvCnPr/>
                        <wps:spPr>
                          <a:xfrm>
                            <a:off x="5104246" y="5135418"/>
                            <a:ext cx="2665669" cy="4934965"/>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91343105" name="Triangle 16"/>
                        <wps:cNvSpPr/>
                        <wps:spPr>
                          <a:xfrm>
                            <a:off x="3497119" y="7491846"/>
                            <a:ext cx="3360593" cy="3121143"/>
                          </a:xfrm>
                          <a:prstGeom prst="triangle">
                            <a:avLst/>
                          </a:prstGeom>
                          <a:gradFill>
                            <a:gsLst>
                              <a:gs pos="6000">
                                <a:schemeClr val="bg1">
                                  <a:lumMod val="85000"/>
                                  <a:alpha val="11000"/>
                                </a:schemeClr>
                              </a:gs>
                              <a:gs pos="100000">
                                <a:schemeClr val="bg1">
                                  <a:lumMod val="95000"/>
                                  <a:alpha val="54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1679544" name="Triangle 16"/>
                        <wps:cNvSpPr/>
                        <wps:spPr>
                          <a:xfrm flipV="1">
                            <a:off x="1273464" y="10391"/>
                            <a:ext cx="5957918" cy="5875809"/>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8685113" name="Straight Connector 19"/>
                        <wps:cNvCnPr/>
                        <wps:spPr>
                          <a:xfrm flipH="1" flipV="1">
                            <a:off x="615373" y="12697"/>
                            <a:ext cx="3630966" cy="6746869"/>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265009982" name="Triangle 16"/>
                        <wps:cNvSpPr/>
                        <wps:spPr>
                          <a:xfrm flipV="1">
                            <a:off x="2086264" y="0"/>
                            <a:ext cx="4297657" cy="4174251"/>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71816057" name="Triangle 16"/>
                        <wps:cNvSpPr/>
                        <wps:spPr>
                          <a:xfrm rot="5400000" flipV="1">
                            <a:off x="4391150" y="4537365"/>
                            <a:ext cx="5406279" cy="1239289"/>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89811183" name="Straight Connector 20"/>
                        <wps:cNvCnPr/>
                        <wps:spPr>
                          <a:xfrm flipH="1" flipV="1">
                            <a:off x="0" y="7857837"/>
                            <a:ext cx="3689928" cy="184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g:wgp>
                  </a:graphicData>
                </a:graphic>
                <wp14:sizeRelV relativeFrom="margin">
                  <wp14:pctHeight>0</wp14:pctHeight>
                </wp14:sizeRelV>
              </wp:anchor>
            </w:drawing>
          </mc:Choice>
          <mc:Fallback>
            <w:pict>
              <v:group w14:anchorId="50037FDF" id="Group 23" o:spid="_x0000_s1026" style="position:absolute;margin-left:-63.8pt;margin-top:-95.7pt;width:611.8pt;height:886.05pt;z-index:251659264;mso-height-relative:margin" coordorigin=",-510" coordsize="77699,10735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">
                <v:rect id="Rectangle 15" o:spid="_x0000_s1027" style="position:absolute;top:-510;width:77662;height:107322;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" fillcolor="black [3213]" strokecolor="white [3212]" strokeweight=".5pt">
                  <v:fill opacity="14417f" color2="black [3213]" o:opacity2="41943f" rotate="t" focus="100%" type="gradient">
                    <o:fill v:ext="view" type="gradientUnscaled"/>
                  </v:fill>
                </v:re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16" o:spid="_x0000_s1028" type="#_x0000_t5" style="position:absolute;left:26427;top:61202;width:49986;height:456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" adj="10872" fillcolor="#d8d8d8 [2732]" stroked="f" strokeweight=".5pt">
                  <v:fill opacity="19005f" color2="#f2f2f2 [3052]" o:opacity2="7208f" rotate="t" colors="0 #d9d9d9;3932f #d9d9d9" focus="100%" type="gradient">
                    <o:fill v:ext="view" type="gradientUnscaled"/>
                  </v:fill>
                </v:shape>
                <v:line id="Straight Connector 17" o:spid="_x0000_s1029" style="position:absolute;flip:x;visibility:visible;mso-wrap-style:square" from="22467,127" to="77698,106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" strokecolor="white [3212]" strokeweight="1pt">
                  <v:stroke joinstyle="miter"/>
                </v:line>
                <v:line id="Straight Connector 18" o:spid="_x0000_s1030" style="position:absolute;visibility:visible;mso-wrap-style:square" from="51042,51354" to="77699,10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" strokecolor="white [3212]" strokeweight="1pt">
                  <v:stroke joinstyle="miter"/>
                </v:line>
                <v:shape id="Triangle 16" o:spid="_x0000_s1031" type="#_x0000_t5" style="position:absolute;left:34971;top:74918;width:33606;height:3121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" fillcolor="#d8d8d8 [2732]" stroked="f" strokeweight=".5pt">
                  <v:fill opacity="35389f" color2="#f2f2f2 [3052]" o:opacity2="7208f" rotate="t" colors="0 #d9d9d9;3932f #d9d9d9" focus="100%" type="gradient">
                    <o:fill v:ext="view" type="gradientUnscaled"/>
                  </v:fill>
                </v:shape>
                <v:shape id="Triangle 16" o:spid="_x0000_s1032" type="#_x0000_t5" style="position:absolute;left:12734;top:103;width:59579;height:58759;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" adj="10872" fillcolor="#d8d8d8 [2732]" stroked="f" strokeweight=".5pt">
                  <v:fill opacity="19005f" color2="#f2f2f2 [3052]" o:opacity2="7208f" rotate="t" colors="0 #d9d9d9;3932f #d9d9d9" focus="100%" type="gradient">
                    <o:fill v:ext="view" type="gradientUnscaled"/>
                  </v:fill>
                </v:shape>
                <v:line id="Straight Connector 19" o:spid="_x0000_s1033" style="position:absolute;flip:x y;visibility:visible;mso-wrap-style:square" from="6153,126" to="42463,6759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" strokecolor="white [3212]" strokeweight="1pt">
                  <v:stroke joinstyle="miter"/>
                </v:line>
                <v:shape id="Triangle 16" o:spid="_x0000_s1034" type="#_x0000_t5" style="position:absolute;left:20862;width:42977;height:41742;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" fillcolor="#f2f2f2 [3052]" stroked="f" strokeweight=".5pt">
                  <v:fill opacity="27525f" color2="white [3212]" o:opacity2="11796f" rotate="t" colors="0 #f2f2f2;3932f #f2f2f2" focus="100%" type="gradient">
                    <o:fill v:ext="view" type="gradientUnscaled"/>
                  </v:fill>
                </v:shape>
                <v:shape id="Triangle 16" o:spid="_x0000_s1035" type="#_x0000_t5" style="position:absolute;left:43911;top:45373;width:54063;height:12393;rotation:-9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" fillcolor="#f2f2f2 [3052]" stroked="f" strokeweight=".5pt">
                  <v:fill opacity="27525f" color2="white [3212]" o:opacity2="11796f" rotate="t" colors="0 #f2f2f2;3932f #f2f2f2" focus="100%" type="gradient">
                    <o:fill v:ext="view" type="gradientUnscaled"/>
                  </v:fill>
                </v:shape>
                <v:line id="Straight Connector 20" o:spid="_x0000_s1036" style="position:absolute;flip:x y;visibility:visible;mso-wrap-style:square" from="0,78578" to="36899,785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" strokecolor="white [3212]" strokeweight="1pt">
                  <v:stroke joinstyle="miter"/>
                </v:line>
              </v:group>
            </w:pict>
          </mc:Fallback>
        </mc:AlternateContent>
      </w:r>
      <w:r>
        <w:rPr>
          <w:noProof/>
        </w:rPr>
        <mc:AlternateContent>
          <mc:Choice Requires="wps">
            <w:drawing>
              <wp:anchor distT="0" distB="0" distL="114300" distR="114300" simplePos="0" relativeHeight="251662336" behindDoc="0" locked="0" layoutInCell="1" allowOverlap="1" wp14:anchorId="6666B828" wp14:editId="1FBF647B">
                <wp:simplePos x="0" y="0"/>
                <wp:positionH relativeFrom="column">
                  <wp:posOffset>-570980</wp:posOffset>
                </wp:positionH>
                <wp:positionV relativeFrom="paragraph">
                  <wp:posOffset>7345968</wp:posOffset>
                </wp:positionV>
                <wp:extent cx="2433955" cy="363682"/>
                <wp:effectExtent l="0" t="0" r="0" b="0"/>
                <wp:wrapNone/>
                <wp:docPr id="1296982619" name="Text Box 21"/>
                <wp:cNvGraphicFramePr/>
                <a:graphic xmlns:a="http://schemas.openxmlformats.org/drawingml/2006/main">
                  <a:graphicData uri="http://schemas.microsoft.com/office/word/2010/wordprocessingShape">
                    <wps:wsp>
                      <wps:cNvSpPr txBox="1"/>
                      <wps:spPr>
                        <a:xfrm>
                          <a:off x="0" y="0"/>
                          <a:ext cx="2433955" cy="363682"/>
                        </a:xfrm>
                        <a:prstGeom prst="rect">
                          <a:avLst/>
                        </a:prstGeom>
                        <a:noFill/>
                        <a:ln w="6350">
                          <a:noFill/>
                        </a:ln>
                      </wps:spPr>
                      <wps:txbx>
                        <w:txbxContent>
                          <w:p w14:paraId="34E472DF" w14:textId="77777777" w:rsidR="000F108B" w:rsidRPr="001F059D" w:rsidRDefault="000F108B" w:rsidP="001F059D">
                            <w:pPr>
                              <w:rPr>
                                <w:color w:val="FFFFFF" w:themeColor="background1"/>
                                <w:sz w:val="32"/>
                                <w:szCs w:val="32"/>
                              </w:rPr>
                            </w:pPr>
                            <w:r w:rsidRPr="001F059D">
                              <w:rPr>
                                <w:color w:val="FFFFFF" w:themeColor="background1"/>
                                <w:sz w:val="32"/>
                                <w:szCs w:val="32"/>
                              </w:rPr>
                              <w:t>By Benjamin MacVean</w:t>
                            </w:r>
                          </w:p>
                          <w:p w14:paraId="3B17B765" w14:textId="77777777" w:rsidR="000F108B" w:rsidRDefault="000F108B" w:rsidP="001F05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666B828" id="_x0000_t202" coordsize="21600,21600" o:spt="202" path="m,l,21600r21600,l21600,xe">
                <v:stroke joinstyle="miter"/>
                <v:path gradientshapeok="t" o:connecttype="rect"/>
              </v:shapetype>
              <v:shape id="Text Box 21" o:spid="_x0000_s1026" type="#_x0000_t202" style="position:absolute;margin-left:-44.95pt;margin-top:578.4pt;width:191.65pt;height:28.6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" filled="f" stroked="f" strokeweight=".5pt">
                <v:textbox>
                  <w:txbxContent>
                    <w:p w14:paraId="34E472DF" w14:textId="77777777" w:rsidR="000F108B" w:rsidRPr="001F059D" w:rsidRDefault="000F108B" w:rsidP="001F059D">
                      <w:pPr>
                        <w:rPr>
                          <w:color w:val="FFFFFF" w:themeColor="background1"/>
                          <w:sz w:val="32"/>
                          <w:szCs w:val="32"/>
                        </w:rPr>
                      </w:pPr>
                      <w:r w:rsidRPr="001F059D">
                        <w:rPr>
                          <w:color w:val="FFFFFF" w:themeColor="background1"/>
                          <w:sz w:val="32"/>
                          <w:szCs w:val="32"/>
                        </w:rPr>
                        <w:t>By Benjamin MacVean</w:t>
                      </w:r>
                    </w:p>
                    <w:p w14:paraId="3B17B765" w14:textId="77777777" w:rsidR="000F108B" w:rsidRDefault="000F108B" w:rsidP="001F059D"/>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4BE7ACF9" wp14:editId="6AB11113">
                <wp:simplePos x="0" y="0"/>
                <wp:positionH relativeFrom="column">
                  <wp:posOffset>-570981</wp:posOffset>
                </wp:positionH>
                <wp:positionV relativeFrom="paragraph">
                  <wp:posOffset>5808345</wp:posOffset>
                </wp:positionV>
                <wp:extent cx="4197928" cy="1184275"/>
                <wp:effectExtent l="0" t="0" r="0" b="0"/>
                <wp:wrapNone/>
                <wp:docPr id="1263893123" name="Text Box 27"/>
                <wp:cNvGraphicFramePr/>
                <a:graphic xmlns:a="http://schemas.openxmlformats.org/drawingml/2006/main">
                  <a:graphicData uri="http://schemas.microsoft.com/office/word/2010/wordprocessingShape">
                    <wps:wsp>
                      <wps:cNvSpPr txBox="1"/>
                      <wps:spPr>
                        <a:xfrm>
                          <a:off x="0" y="0"/>
                          <a:ext cx="4197928" cy="1184275"/>
                        </a:xfrm>
                        <a:prstGeom prst="rect">
                          <a:avLst/>
                        </a:prstGeom>
                        <a:noFill/>
                        <a:ln w="6350">
                          <a:noFill/>
                        </a:ln>
                      </wps:spPr>
                      <wps:txbx>
                        <w:txbxContent>
                          <w:p w14:paraId="0489C074" w14:textId="1C549604" w:rsidR="000F108B" w:rsidRPr="0092514F" w:rsidRDefault="0092514F" w:rsidP="001F059D">
                            <w:pPr>
                              <w:pStyle w:val="Title"/>
                              <w:rPr>
                                <w:sz w:val="44"/>
                                <w:szCs w:val="44"/>
                              </w:rPr>
                            </w:pPr>
                            <w:r w:rsidRPr="0092514F">
                              <w:rPr>
                                <w:sz w:val="44"/>
                                <w:szCs w:val="44"/>
                              </w:rPr>
                              <w:t>Ripani v Century Legend [2024]</w:t>
                            </w:r>
                          </w:p>
                          <w:p w14:paraId="0923727F" w14:textId="495AF2D8" w:rsidR="001F059D" w:rsidRDefault="0092514F" w:rsidP="0092514F">
                            <w:pPr>
                              <w:pStyle w:val="Subtitle"/>
                            </w:pPr>
                            <w:r>
                              <w:t>A Case Summary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E7ACF9" id="Text Box 27" o:spid="_x0000_s1027" type="#_x0000_t202" style="position:absolute;margin-left:-44.95pt;margin-top:457.35pt;width:330.55pt;height:9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" filled="f" stroked="f" strokeweight=".5pt">
                <v:textbox>
                  <w:txbxContent>
                    <w:p w14:paraId="0489C074" w14:textId="1C549604" w:rsidR="000F108B" w:rsidRPr="0092514F" w:rsidRDefault="0092514F" w:rsidP="001F059D">
                      <w:pPr>
                        <w:pStyle w:val="Title"/>
                        <w:rPr>
                          <w:sz w:val="44"/>
                          <w:szCs w:val="44"/>
                        </w:rPr>
                      </w:pPr>
                      <w:r w:rsidRPr="0092514F">
                        <w:rPr>
                          <w:sz w:val="44"/>
                          <w:szCs w:val="44"/>
                        </w:rPr>
                        <w:t>Ripani v Century Legend [2024]</w:t>
                      </w:r>
                    </w:p>
                    <w:p w14:paraId="0923727F" w14:textId="495AF2D8" w:rsidR="001F059D" w:rsidRDefault="0092514F" w:rsidP="0092514F">
                      <w:pPr>
                        <w:pStyle w:val="Subtitle"/>
                      </w:pPr>
                      <w:r>
                        <w:t>A Case Summary</w:t>
                      </w:r>
                    </w:p>
                  </w:txbxContent>
                </v:textbox>
              </v:shape>
            </w:pict>
          </mc:Fallback>
        </mc:AlternateContent>
      </w:r>
      <w:r w:rsidR="0092514F">
        <w:rPr>
          <w:noProof/>
        </w:rPr>
        <w:drawing>
          <wp:anchor distT="0" distB="0" distL="114300" distR="114300" simplePos="0" relativeHeight="251668480" behindDoc="1" locked="0" layoutInCell="1" allowOverlap="1" wp14:anchorId="6403AEBB" wp14:editId="74BD9FAE">
            <wp:simplePos x="0" y="0"/>
            <wp:positionH relativeFrom="column">
              <wp:posOffset>-3791354</wp:posOffset>
            </wp:positionH>
            <wp:positionV relativeFrom="paragraph">
              <wp:posOffset>-885825</wp:posOffset>
            </wp:positionV>
            <wp:extent cx="15444134" cy="10717200"/>
            <wp:effectExtent l="0" t="0" r="0" b="1905"/>
            <wp:wrapNone/>
            <wp:docPr id="1887136308" name="Picture 22" descr="A pool in a building with a city vie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136308" name="Picture 22" descr="A pool in a building with a city view&#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15444134" cy="10717200"/>
                    </a:xfrm>
                    <a:prstGeom prst="rect">
                      <a:avLst/>
                    </a:prstGeom>
                  </pic:spPr>
                </pic:pic>
              </a:graphicData>
            </a:graphic>
            <wp14:sizeRelH relativeFrom="page">
              <wp14:pctWidth>0</wp14:pctWidth>
            </wp14:sizeRelH>
            <wp14:sizeRelV relativeFrom="page">
              <wp14:pctHeight>0</wp14:pctHeight>
            </wp14:sizeRelV>
          </wp:anchor>
        </w:drawing>
      </w:r>
      <w:r w:rsidR="000F108B">
        <w:br w:type="page"/>
      </w:r>
    </w:p>
    <w:p w14:paraId="0B159C57" w14:textId="77777777" w:rsidR="00FB08D7" w:rsidRDefault="00FB08D7" w:rsidP="00FB08D7">
      <w:pPr>
        <w:pStyle w:val="Heading1"/>
      </w:pPr>
      <w:r>
        <w:lastRenderedPageBreak/>
        <w:t>I INTRODUCTION</w:t>
      </w:r>
    </w:p>
    <w:p w14:paraId="571B7D03" w14:textId="77777777" w:rsidR="00FB08D7" w:rsidRDefault="00FB08D7" w:rsidP="00FB08D7">
      <w:r>
        <w:t>When marketing an off the plan development, how much leeway do developers have? Can buyers rely on artistic renderings of the development? Can developers exclude themselves from liability if the development turns out differently? These are the questions which confronted Mr and Mrs Ripani, after their dream apartment turned out quite differently to what they originally expected.</w:t>
      </w:r>
    </w:p>
    <w:p w14:paraId="5497B9E6" w14:textId="77777777" w:rsidR="00FB08D7" w:rsidRDefault="00FB08D7" w:rsidP="00FB08D7">
      <w:pPr>
        <w:pStyle w:val="Heading1"/>
      </w:pPr>
      <w:r>
        <w:t>II WHAT HAPPENED?</w:t>
      </w:r>
    </w:p>
    <w:p w14:paraId="5BC39647" w14:textId="77777777" w:rsidR="00FB08D7" w:rsidRDefault="00FB08D7" w:rsidP="00FB08D7">
      <w:r>
        <w:t>In 2016, Century Legend Pty Ltd (‘Century Legend’) prepared promotional materials for a proposed apartment building on Queens Road, Melbourne (‘the Victoriana Development’). One of the materials prepared (‘the Hero Render’) depicted a large open space, connecting the indoor entertainment area with the outdoor terrace. The Hero Render showed a seamless connection between the indoor and outdoor areas, and that both areas were on the same floor.</w:t>
      </w:r>
    </w:p>
    <w:p w14:paraId="796906F1" w14:textId="77777777" w:rsidR="00FB08D7" w:rsidRDefault="00FB08D7" w:rsidP="00FB08D7">
      <w:r>
        <w:t>In late 2016, one of Century Legend’s architects advised Century Legend that the renderings, including the Hero Render, could not be built as shown, and that the promotional material should be altered to reflect this. To rectify the issue, Century Legend attached the disclaimer “artist impression” to each of the inaccurate renders, instead of creating new renderings.</w:t>
      </w:r>
    </w:p>
    <w:p w14:paraId="4D3C53FF" w14:textId="77777777" w:rsidR="00FB08D7" w:rsidRDefault="00FB08D7" w:rsidP="00FB08D7">
      <w:r>
        <w:t xml:space="preserve">Mr and Mrs Ripani (‘the </w:t>
      </w:r>
      <w:proofErr w:type="spellStart"/>
      <w:r>
        <w:t>Ripanis</w:t>
      </w:r>
      <w:proofErr w:type="spellEnd"/>
      <w:r>
        <w:t xml:space="preserve">’) became interested in purchasing an apartment in the Victoriana Development in early 2017. The </w:t>
      </w:r>
      <w:proofErr w:type="spellStart"/>
      <w:r>
        <w:t>Ripanis</w:t>
      </w:r>
      <w:proofErr w:type="spellEnd"/>
      <w:r>
        <w:t xml:space="preserve"> attended a showroom, which displayed the promotional material developed by Century Legend, including the Hero Rendering. The </w:t>
      </w:r>
      <w:proofErr w:type="spellStart"/>
      <w:r>
        <w:t>Ripanis</w:t>
      </w:r>
      <w:proofErr w:type="spellEnd"/>
      <w:r>
        <w:t xml:space="preserve"> were attracted by the depictions and decided to contract with Century Legend to purchase an apartment on the 14th story for $9.58 million, in late 2017.</w:t>
      </w:r>
      <w:r>
        <w:rPr>
          <w:rStyle w:val="apple-converted-space"/>
          <w:color w:val="000000"/>
        </w:rPr>
        <w:t> </w:t>
      </w:r>
    </w:p>
    <w:p w14:paraId="1E6F2EA3" w14:textId="77777777" w:rsidR="00FB08D7" w:rsidRDefault="00FB08D7" w:rsidP="00FB08D7">
      <w:r>
        <w:t xml:space="preserve">Issues arose when, in 2019, the </w:t>
      </w:r>
      <w:proofErr w:type="spellStart"/>
      <w:r>
        <w:t>Ripanis</w:t>
      </w:r>
      <w:proofErr w:type="spellEnd"/>
      <w:r>
        <w:t xml:space="preserve"> were told that the opening between the indoor and outdoor areas could not be twelve meters, as originally requested. Instead, the Ripani’s </w:t>
      </w:r>
      <w:proofErr w:type="spellStart"/>
      <w:r>
        <w:t>weretold</w:t>
      </w:r>
      <w:proofErr w:type="spellEnd"/>
      <w:r>
        <w:t xml:space="preserve"> the opening would be no wider than 3.4 meters. Additionally, there would be a step between the indoor and outdoor areas. The </w:t>
      </w:r>
      <w:proofErr w:type="spellStart"/>
      <w:r>
        <w:t>Ripanis</w:t>
      </w:r>
      <w:proofErr w:type="spellEnd"/>
      <w:r>
        <w:t xml:space="preserve"> wrote to Century Development, complaining that they felt misled by the promotional materials, and that the depictions were the only reason they entered the contract. They intended to not proceed with the purchase.</w:t>
      </w:r>
    </w:p>
    <w:p w14:paraId="2A5CE441" w14:textId="77777777" w:rsidR="00FB08D7" w:rsidRDefault="00FB08D7" w:rsidP="00FB08D7">
      <w:pPr>
        <w:pStyle w:val="Heading1"/>
      </w:pPr>
      <w:r>
        <w:t>III PROCEEDINGS IN THE FEDERAL COURT</w:t>
      </w:r>
    </w:p>
    <w:p w14:paraId="48AD5E90" w14:textId="77777777" w:rsidR="00FB08D7" w:rsidRDefault="00FB08D7" w:rsidP="00FB08D7">
      <w:r>
        <w:t xml:space="preserve">The </w:t>
      </w:r>
      <w:proofErr w:type="spellStart"/>
      <w:r>
        <w:t>Ripanis</w:t>
      </w:r>
      <w:proofErr w:type="spellEnd"/>
      <w:r>
        <w:t xml:space="preserve"> brought proceedings against Century Legend, alleging that Century Legend made misleading or deceptive representations within the meaning of section 18 of the Australia Consumer Law,</w:t>
      </w:r>
      <w:r>
        <w:rPr>
          <w:rStyle w:val="FootnoteReference"/>
        </w:rPr>
        <w:footnoteReference w:id="1"/>
      </w:r>
      <w:r>
        <w:t xml:space="preserve"> and Common Law.</w:t>
      </w:r>
    </w:p>
    <w:p w14:paraId="3E11A90F" w14:textId="77777777" w:rsidR="00FB08D7" w:rsidRDefault="00FB08D7" w:rsidP="00FB08D7">
      <w:r>
        <w:lastRenderedPageBreak/>
        <w:t xml:space="preserve">In the first instance, </w:t>
      </w:r>
      <w:proofErr w:type="spellStart"/>
      <w:r>
        <w:t>Anastassiou</w:t>
      </w:r>
      <w:proofErr w:type="spellEnd"/>
      <w:r>
        <w:t xml:space="preserve"> J found in favour of the </w:t>
      </w:r>
      <w:proofErr w:type="spellStart"/>
      <w:r>
        <w:t>Ripanis</w:t>
      </w:r>
      <w:proofErr w:type="spellEnd"/>
      <w:r>
        <w:t>. He held that:</w:t>
      </w:r>
    </w:p>
    <w:p w14:paraId="468F69C2" w14:textId="77777777" w:rsidR="00FB08D7" w:rsidRDefault="00FB08D7" w:rsidP="00FB08D7">
      <w:pPr>
        <w:pStyle w:val="ListParagraph"/>
        <w:numPr>
          <w:ilvl w:val="0"/>
          <w:numId w:val="3"/>
        </w:numPr>
        <w:spacing w:after="200"/>
      </w:pPr>
      <w:r>
        <w:t xml:space="preserve">The renders were misleading because they represented a free opening and </w:t>
      </w:r>
      <w:r w:rsidRPr="002F64B6">
        <w:t>seamless transition between the two areas. Century Legend did not have reasonable</w:t>
      </w:r>
      <w:r>
        <w:t xml:space="preserve"> </w:t>
      </w:r>
      <w:r w:rsidRPr="002F64B6">
        <w:t>grounds to make this representation.</w:t>
      </w:r>
    </w:p>
    <w:p w14:paraId="06D911FE" w14:textId="77777777" w:rsidR="00FB08D7" w:rsidRDefault="00FB08D7" w:rsidP="00FB08D7">
      <w:pPr>
        <w:pStyle w:val="ListParagraph"/>
        <w:numPr>
          <w:ilvl w:val="0"/>
          <w:numId w:val="3"/>
        </w:numPr>
        <w:spacing w:after="200"/>
      </w:pPr>
      <w:r>
        <w:t xml:space="preserve">The </w:t>
      </w:r>
      <w:proofErr w:type="spellStart"/>
      <w:r>
        <w:t>Ripanis</w:t>
      </w:r>
      <w:proofErr w:type="spellEnd"/>
      <w:r>
        <w:t xml:space="preserve"> relied on the representations at the time they entered the contract.</w:t>
      </w:r>
    </w:p>
    <w:p w14:paraId="509400EF" w14:textId="77777777" w:rsidR="00FB08D7" w:rsidRPr="002F64B6" w:rsidRDefault="00FB08D7" w:rsidP="00FB08D7">
      <w:pPr>
        <w:pStyle w:val="ListParagraph"/>
        <w:numPr>
          <w:ilvl w:val="0"/>
          <w:numId w:val="3"/>
        </w:numPr>
        <w:spacing w:after="200"/>
      </w:pPr>
      <w:r>
        <w:t xml:space="preserve">The </w:t>
      </w:r>
      <w:proofErr w:type="spellStart"/>
      <w:r>
        <w:t>Ripanis</w:t>
      </w:r>
      <w:proofErr w:type="spellEnd"/>
      <w:r>
        <w:t xml:space="preserve"> would have never entered the contract had they believed the renderings </w:t>
      </w:r>
      <w:r w:rsidRPr="002F64B6">
        <w:t>were incorrect.</w:t>
      </w:r>
    </w:p>
    <w:p w14:paraId="58F4AB7C" w14:textId="77777777" w:rsidR="00FB08D7" w:rsidRDefault="00FB08D7" w:rsidP="00FB08D7">
      <w:pPr>
        <w:pStyle w:val="ListParagraph"/>
        <w:numPr>
          <w:ilvl w:val="0"/>
          <w:numId w:val="3"/>
        </w:numPr>
        <w:spacing w:after="200"/>
      </w:pPr>
      <w:r>
        <w:t>The words “artist impression” may sometimes be read as a disclaimer, however in these circumstances, the words did not cure the misrepresentation. This is because the key elements of the render were misrepresented.</w:t>
      </w:r>
    </w:p>
    <w:p w14:paraId="3D63AC02" w14:textId="77777777" w:rsidR="00FB08D7" w:rsidRDefault="00FB08D7" w:rsidP="00FB08D7">
      <w:pPr>
        <w:pStyle w:val="ListParagraph"/>
        <w:numPr>
          <w:ilvl w:val="0"/>
          <w:numId w:val="3"/>
        </w:numPr>
        <w:spacing w:after="200"/>
      </w:pPr>
      <w:r>
        <w:t xml:space="preserve">Even though the </w:t>
      </w:r>
      <w:proofErr w:type="spellStart"/>
      <w:r>
        <w:t>Ripanis</w:t>
      </w:r>
      <w:proofErr w:type="spellEnd"/>
      <w:r>
        <w:t xml:space="preserve"> were considered as sophisticated buyers, this did not preclude them from being incapable of being misled.</w:t>
      </w:r>
    </w:p>
    <w:p w14:paraId="33CA9B26" w14:textId="77777777" w:rsidR="00FB08D7" w:rsidRPr="002F64B6" w:rsidRDefault="00FB08D7" w:rsidP="00FB08D7">
      <w:pPr>
        <w:pStyle w:val="ListParagraph"/>
        <w:numPr>
          <w:ilvl w:val="0"/>
          <w:numId w:val="3"/>
        </w:numPr>
        <w:spacing w:after="200"/>
      </w:pPr>
      <w:r>
        <w:t xml:space="preserve">The brochure’s disclaimer was ineffective because it may be regarded as indicative </w:t>
      </w:r>
      <w:r w:rsidRPr="002F64B6">
        <w:t>only, and the renders were not indicative because the width of the opening was not correctly depicted.</w:t>
      </w:r>
    </w:p>
    <w:p w14:paraId="7EAED326" w14:textId="77777777" w:rsidR="00FB08D7" w:rsidRPr="002F64B6" w:rsidRDefault="00FB08D7" w:rsidP="00FB08D7">
      <w:pPr>
        <w:pStyle w:val="ListParagraph"/>
        <w:numPr>
          <w:ilvl w:val="0"/>
          <w:numId w:val="3"/>
        </w:numPr>
        <w:spacing w:after="200"/>
      </w:pPr>
      <w:r>
        <w:t xml:space="preserve">The agent was not responsible for the misleading and deceptive behaviour of the </w:t>
      </w:r>
      <w:r w:rsidRPr="002F64B6">
        <w:t>developer, because the agent was unaware the developer knew the promotional</w:t>
      </w:r>
      <w:r>
        <w:t xml:space="preserve"> </w:t>
      </w:r>
      <w:r w:rsidRPr="002F64B6">
        <w:t>material was incorrect.</w:t>
      </w:r>
      <w:r w:rsidRPr="002F64B6">
        <w:rPr>
          <w:rStyle w:val="apple-converted-space"/>
          <w:color w:val="000000"/>
        </w:rPr>
        <w:t> </w:t>
      </w:r>
    </w:p>
    <w:p w14:paraId="13E74A8D" w14:textId="77777777" w:rsidR="00FB08D7" w:rsidRDefault="00FB08D7" w:rsidP="00FB08D7">
      <w:r>
        <w:t>Century Legend appealed the decision to the Full Court of the Federal Court. The Full Court allowed the appeal on the first ground, which was:</w:t>
      </w:r>
    </w:p>
    <w:p w14:paraId="2B23AC5C" w14:textId="77777777" w:rsidR="00FB08D7" w:rsidRDefault="00FB08D7" w:rsidP="00FB08D7">
      <w:pPr>
        <w:pStyle w:val="ListParagraph"/>
        <w:numPr>
          <w:ilvl w:val="0"/>
          <w:numId w:val="2"/>
        </w:numPr>
        <w:spacing w:after="200"/>
      </w:pPr>
      <w:r>
        <w:t>That the primary judge erred in rejecting Century Legend’s evidence that its architect informed the Ripani’s, prior to their entering into the Contract, that the opening could not be constructed as the rendering depicted.</w:t>
      </w:r>
    </w:p>
    <w:p w14:paraId="1298148D" w14:textId="77777777" w:rsidR="00FB08D7" w:rsidRDefault="00FB08D7" w:rsidP="00FB08D7">
      <w:r>
        <w:t xml:space="preserve">Markovic J, Mcelwaine J, and McEvoy J of the Full Court ordered a new trial, limited to assessing whether the </w:t>
      </w:r>
      <w:proofErr w:type="spellStart"/>
      <w:r>
        <w:t>Ripanis</w:t>
      </w:r>
      <w:proofErr w:type="spellEnd"/>
      <w:r>
        <w:t xml:space="preserve"> relied on misleading and deceptive conduct between April and August 2017.</w:t>
      </w:r>
    </w:p>
    <w:p w14:paraId="6F591181" w14:textId="77777777" w:rsidR="00FB08D7" w:rsidRDefault="00FB08D7" w:rsidP="00FB08D7">
      <w:pPr>
        <w:pStyle w:val="Heading1"/>
      </w:pPr>
      <w:r>
        <w:t>IV THE NEW TRIAL</w:t>
      </w:r>
    </w:p>
    <w:p w14:paraId="4701691D" w14:textId="77777777" w:rsidR="00FB08D7" w:rsidRDefault="00FB08D7" w:rsidP="00FB08D7">
      <w:r>
        <w:t xml:space="preserve">In the new trial, </w:t>
      </w:r>
      <w:proofErr w:type="spellStart"/>
      <w:r>
        <w:t>Neskovcin</w:t>
      </w:r>
      <w:proofErr w:type="spellEnd"/>
      <w:r>
        <w:t xml:space="preserve"> J found in favour of the </w:t>
      </w:r>
      <w:proofErr w:type="spellStart"/>
      <w:r>
        <w:t>Ripanis</w:t>
      </w:r>
      <w:proofErr w:type="spellEnd"/>
      <w:r>
        <w:t xml:space="preserve">. </w:t>
      </w:r>
      <w:proofErr w:type="spellStart"/>
      <w:r>
        <w:t>Neskovcin</w:t>
      </w:r>
      <w:proofErr w:type="spellEnd"/>
      <w:r>
        <w:t xml:space="preserve"> J held that the </w:t>
      </w:r>
      <w:proofErr w:type="spellStart"/>
      <w:r>
        <w:t>Ripanis</w:t>
      </w:r>
      <w:proofErr w:type="spellEnd"/>
      <w:r>
        <w:t xml:space="preserve"> did in fact rely on misleading and deceptive representations by Century Legend, entitling them to relief.</w:t>
      </w:r>
    </w:p>
    <w:p w14:paraId="1C2A62EA" w14:textId="77777777" w:rsidR="00FB08D7" w:rsidRDefault="00FB08D7" w:rsidP="00FB08D7">
      <w:proofErr w:type="spellStart"/>
      <w:r>
        <w:t>Neskovcin</w:t>
      </w:r>
      <w:proofErr w:type="spellEnd"/>
      <w:r>
        <w:t xml:space="preserve"> J ordered that the parties provide a proposed minute of orders that would give effect to the Courts reasoning, and orders and costs be determined in an upcoming management hearing.</w:t>
      </w:r>
    </w:p>
    <w:p w14:paraId="21217BA2" w14:textId="77777777" w:rsidR="00FB08D7" w:rsidRDefault="00FB08D7" w:rsidP="00FB08D7">
      <w:pPr>
        <w:pStyle w:val="Heading1"/>
      </w:pPr>
      <w:r>
        <w:t>V KEY TAKEAWAYS</w:t>
      </w:r>
    </w:p>
    <w:p w14:paraId="1C90BA6A" w14:textId="77777777" w:rsidR="00FB08D7" w:rsidRDefault="00FB08D7" w:rsidP="00FB08D7">
      <w:r>
        <w:t>This case should remind Developers how important publishing accurate promotional materials, especially in off the plan developments. Developers must ensure that, if they become aware of substantive changes that change the use or enjoyment of a lot, that they immediately convey this information to potential purchasers. Additionally, promotional materials which become inaccurate must be reviewed and updated.</w:t>
      </w:r>
    </w:p>
    <w:p w14:paraId="774C2FB3" w14:textId="77777777" w:rsidR="00FB08D7" w:rsidRDefault="00FB08D7" w:rsidP="00FB08D7">
      <w:pPr>
        <w:pStyle w:val="Heading1"/>
      </w:pPr>
      <w:r>
        <w:lastRenderedPageBreak/>
        <w:t>VI PROCEDURAL HISTORY: RELEVANT ORDERS</w:t>
      </w:r>
    </w:p>
    <w:p w14:paraId="40CED2E6" w14:textId="77777777" w:rsidR="00FB08D7" w:rsidRDefault="00FB08D7" w:rsidP="00FB08D7">
      <w:pPr>
        <w:pStyle w:val="ListParagraph"/>
        <w:numPr>
          <w:ilvl w:val="0"/>
          <w:numId w:val="1"/>
        </w:numPr>
        <w:spacing w:after="200"/>
      </w:pPr>
      <w:r>
        <w:t>18 March 2022 | Ripani v Century Legend Pty Ltd [2022] FCA 242</w:t>
      </w:r>
    </w:p>
    <w:p w14:paraId="597D988C" w14:textId="77777777" w:rsidR="00FB08D7" w:rsidRDefault="00FB08D7" w:rsidP="00FB08D7">
      <w:pPr>
        <w:pStyle w:val="ListParagraph"/>
        <w:numPr>
          <w:ilvl w:val="1"/>
          <w:numId w:val="1"/>
        </w:numPr>
        <w:spacing w:after="200"/>
      </w:pPr>
      <w:r>
        <w:t>A. Rescission of the Contract.</w:t>
      </w:r>
    </w:p>
    <w:p w14:paraId="42520847" w14:textId="77777777" w:rsidR="00FB08D7" w:rsidRDefault="00FB08D7" w:rsidP="00FB08D7">
      <w:pPr>
        <w:pStyle w:val="ListParagraph"/>
        <w:numPr>
          <w:ilvl w:val="1"/>
          <w:numId w:val="1"/>
        </w:numPr>
        <w:spacing w:after="200"/>
      </w:pPr>
      <w:r>
        <w:t>B. Respondent to Pay Damages, Pre-Judgement Interest, and Costs of &amp;</w:t>
      </w:r>
    </w:p>
    <w:p w14:paraId="60146854" w14:textId="77777777" w:rsidR="00FB08D7" w:rsidRDefault="00FB08D7" w:rsidP="00FB08D7">
      <w:pPr>
        <w:pStyle w:val="ListParagraph"/>
        <w:numPr>
          <w:ilvl w:val="2"/>
          <w:numId w:val="1"/>
        </w:numPr>
        <w:spacing w:after="200"/>
      </w:pPr>
      <w:r>
        <w:t>Incidental to the Proceedings to the Applicants.</w:t>
      </w:r>
    </w:p>
    <w:p w14:paraId="09F344DF" w14:textId="77777777" w:rsidR="00FB08D7" w:rsidRDefault="00FB08D7" w:rsidP="00FB08D7">
      <w:pPr>
        <w:pStyle w:val="ListParagraph"/>
        <w:numPr>
          <w:ilvl w:val="0"/>
          <w:numId w:val="1"/>
        </w:numPr>
        <w:spacing w:after="200"/>
      </w:pPr>
      <w:r>
        <w:t>25 March 2022 | Ripani v Century Legend Pty Ltd (No 2) [2022] FCA 289</w:t>
      </w:r>
    </w:p>
    <w:p w14:paraId="54A5D722" w14:textId="77777777" w:rsidR="00FB08D7" w:rsidRDefault="00FB08D7" w:rsidP="00FB08D7">
      <w:pPr>
        <w:pStyle w:val="ListParagraph"/>
        <w:numPr>
          <w:ilvl w:val="1"/>
          <w:numId w:val="1"/>
        </w:numPr>
        <w:spacing w:after="200"/>
      </w:pPr>
      <w:r>
        <w:t>Ordered an extension to the time limit of Order 2 to 28 March 2022.</w:t>
      </w:r>
    </w:p>
    <w:p w14:paraId="793B0F10" w14:textId="77777777" w:rsidR="00FB08D7" w:rsidRDefault="00FB08D7" w:rsidP="00FB08D7">
      <w:pPr>
        <w:pStyle w:val="ListParagraph"/>
        <w:numPr>
          <w:ilvl w:val="0"/>
          <w:numId w:val="1"/>
        </w:numPr>
        <w:spacing w:after="200"/>
      </w:pPr>
      <w:r>
        <w:t>30 November 2022 | Century Legend Pty Ltd v Ripani [2022] FCAFC 191</w:t>
      </w:r>
    </w:p>
    <w:p w14:paraId="69BDBF3D" w14:textId="77777777" w:rsidR="00FB08D7" w:rsidRDefault="00FB08D7" w:rsidP="00FB08D7">
      <w:pPr>
        <w:pStyle w:val="ListParagraph"/>
        <w:numPr>
          <w:ilvl w:val="1"/>
          <w:numId w:val="1"/>
        </w:numPr>
        <w:spacing w:after="200"/>
      </w:pPr>
      <w:r>
        <w:t>A. Granted the Appeal</w:t>
      </w:r>
    </w:p>
    <w:p w14:paraId="2F5E6CB0" w14:textId="77777777" w:rsidR="00FB08D7" w:rsidRDefault="00FB08D7" w:rsidP="00FB08D7">
      <w:pPr>
        <w:pStyle w:val="ListParagraph"/>
        <w:numPr>
          <w:ilvl w:val="1"/>
          <w:numId w:val="1"/>
        </w:numPr>
        <w:spacing w:after="200"/>
      </w:pPr>
      <w:r>
        <w:t>B. Set aside orders from previous proceedings</w:t>
      </w:r>
    </w:p>
    <w:p w14:paraId="547C7A7F" w14:textId="77777777" w:rsidR="00FB08D7" w:rsidRDefault="00FB08D7" w:rsidP="00FB08D7">
      <w:pPr>
        <w:pStyle w:val="ListParagraph"/>
        <w:numPr>
          <w:ilvl w:val="1"/>
          <w:numId w:val="1"/>
        </w:numPr>
        <w:spacing w:after="200"/>
      </w:pPr>
      <w:r>
        <w:t xml:space="preserve">C. Ordered a new trial, limited to the </w:t>
      </w:r>
      <w:proofErr w:type="gramStart"/>
      <w:r>
        <w:t>question:</w:t>
      </w:r>
      <w:proofErr w:type="gramEnd"/>
      <w:r>
        <w:t xml:space="preserve"> did the respondents continue to rely on the misleading and deceptive conduct of the appellant</w:t>
      </w:r>
    </w:p>
    <w:p w14:paraId="46743CD1" w14:textId="77777777" w:rsidR="00FB08D7" w:rsidRDefault="00FB08D7" w:rsidP="00FB08D7">
      <w:pPr>
        <w:pStyle w:val="ListParagraph"/>
        <w:numPr>
          <w:ilvl w:val="0"/>
          <w:numId w:val="1"/>
        </w:numPr>
        <w:spacing w:after="200"/>
      </w:pPr>
      <w:r>
        <w:t>18 July 2023 | Ripani v Century Legend Pty Ltd (No 3) [2023] FCA 812</w:t>
      </w:r>
    </w:p>
    <w:p w14:paraId="744E003B" w14:textId="77777777" w:rsidR="00FB08D7" w:rsidRDefault="00FB08D7" w:rsidP="00FB08D7">
      <w:pPr>
        <w:pStyle w:val="ListParagraph"/>
        <w:numPr>
          <w:ilvl w:val="1"/>
          <w:numId w:val="1"/>
        </w:numPr>
        <w:spacing w:after="200"/>
      </w:pPr>
      <w:r>
        <w:t>A. The new trial ordered by the Full Court to be limited to the following:</w:t>
      </w:r>
    </w:p>
    <w:p w14:paraId="6F6BBD42" w14:textId="77777777" w:rsidR="00FB08D7" w:rsidRDefault="00FB08D7" w:rsidP="00FB08D7">
      <w:pPr>
        <w:pStyle w:val="ListParagraph"/>
        <w:numPr>
          <w:ilvl w:val="2"/>
          <w:numId w:val="1"/>
        </w:numPr>
        <w:spacing w:after="200"/>
      </w:pPr>
      <w:r>
        <w:t xml:space="preserve">A. Did the </w:t>
      </w:r>
      <w:proofErr w:type="spellStart"/>
      <w:r>
        <w:t>Ripanis</w:t>
      </w:r>
      <w:proofErr w:type="spellEnd"/>
      <w:r>
        <w:t xml:space="preserve"> continue to rely on truth of the Representation when the </w:t>
      </w:r>
      <w:proofErr w:type="spellStart"/>
      <w:r>
        <w:t>Ripanis</w:t>
      </w:r>
      <w:proofErr w:type="spellEnd"/>
      <w:r>
        <w:t xml:space="preserve"> (a) conveyed to Century Legend that they were satisfied with the floor plan; and (b) provided the bank guarantee</w:t>
      </w:r>
    </w:p>
    <w:p w14:paraId="1348877D" w14:textId="77777777" w:rsidR="00FB08D7" w:rsidRDefault="00FB08D7" w:rsidP="00FB08D7">
      <w:pPr>
        <w:pStyle w:val="ListParagraph"/>
        <w:numPr>
          <w:ilvl w:val="2"/>
          <w:numId w:val="1"/>
        </w:numPr>
        <w:spacing w:after="200"/>
      </w:pPr>
      <w:r>
        <w:t>B. what orders should the Court make under s 237 of the Australian consumer law for compensation under s 243 of the ACL?</w:t>
      </w:r>
    </w:p>
    <w:p w14:paraId="60827949" w14:textId="77777777" w:rsidR="00FB08D7" w:rsidRDefault="00FB08D7" w:rsidP="00FB08D7">
      <w:pPr>
        <w:pStyle w:val="ListParagraph"/>
        <w:numPr>
          <w:ilvl w:val="0"/>
          <w:numId w:val="1"/>
        </w:numPr>
        <w:spacing w:after="200"/>
      </w:pPr>
      <w:r>
        <w:t>18 October 2024 | Ripani v Century Legend Pty Ltd (No 4) [2024] FCA 1211</w:t>
      </w:r>
    </w:p>
    <w:p w14:paraId="0873CC2D" w14:textId="77777777" w:rsidR="00FB08D7" w:rsidRDefault="00FB08D7" w:rsidP="00FB08D7">
      <w:pPr>
        <w:pStyle w:val="ListParagraph"/>
        <w:numPr>
          <w:ilvl w:val="1"/>
          <w:numId w:val="1"/>
        </w:numPr>
        <w:spacing w:after="200"/>
      </w:pPr>
      <w:r>
        <w:t>Order (1): Parties are to provide proposed minutes of orders giving effect to these reasons</w:t>
      </w:r>
    </w:p>
    <w:p w14:paraId="21B70BA4" w14:textId="5D6C87FA" w:rsidR="001F059D" w:rsidRPr="001F059D" w:rsidRDefault="00FB08D7" w:rsidP="00FB08D7">
      <w:r>
        <w:t>Order (2): In the case management hearing on 30 October 2024, (a) make orders to give effect to the reasons given, (b) making orders as to written submissions on costs, and (c) fixing a date for the hearing of submissions as to costs.</w:t>
      </w:r>
    </w:p>
    <w:p w14:paraId="54B204E1" w14:textId="439C9867" w:rsidR="000F108B" w:rsidRDefault="000F108B" w:rsidP="001F059D">
      <w:r>
        <w:br w:type="page"/>
      </w:r>
    </w:p>
    <w:p w14:paraId="698F75F1" w14:textId="43415FF4" w:rsidR="000F108B" w:rsidRDefault="0008172E" w:rsidP="001F059D">
      <w:r>
        <w:rPr>
          <w:noProof/>
        </w:rPr>
        <w:lastRenderedPageBreak/>
        <mc:AlternateContent>
          <mc:Choice Requires="wpg">
            <w:drawing>
              <wp:anchor distT="0" distB="0" distL="114300" distR="114300" simplePos="0" relativeHeight="251666432" behindDoc="0" locked="0" layoutInCell="1" allowOverlap="1" wp14:anchorId="3E0AF44C" wp14:editId="2BB7B122">
                <wp:simplePos x="0" y="0"/>
                <wp:positionH relativeFrom="column">
                  <wp:posOffset>-696191</wp:posOffset>
                </wp:positionH>
                <wp:positionV relativeFrom="paragraph">
                  <wp:posOffset>-914400</wp:posOffset>
                </wp:positionV>
                <wp:extent cx="7769915" cy="10879281"/>
                <wp:effectExtent l="0" t="0" r="15240" b="17780"/>
                <wp:wrapNone/>
                <wp:docPr id="797760558" name="Group 23"/>
                <wp:cNvGraphicFramePr/>
                <a:graphic xmlns:a="http://schemas.openxmlformats.org/drawingml/2006/main">
                  <a:graphicData uri="http://schemas.microsoft.com/office/word/2010/wordprocessingGroup">
                    <wpg:wgp>
                      <wpg:cNvGrpSpPr/>
                      <wpg:grpSpPr>
                        <a:xfrm>
                          <a:off x="0" y="0"/>
                          <a:ext cx="7769915" cy="10879281"/>
                          <a:chOff x="0" y="0"/>
                          <a:chExt cx="7769915" cy="10684828"/>
                        </a:xfrm>
                      </wpg:grpSpPr>
                      <wps:wsp>
                        <wps:cNvPr id="1226929101" name="Rectangle 15"/>
                        <wps:cNvSpPr/>
                        <wps:spPr>
                          <a:xfrm>
                            <a:off x="0" y="0"/>
                            <a:ext cx="7766235" cy="10681708"/>
                          </a:xfrm>
                          <a:prstGeom prst="rect">
                            <a:avLst/>
                          </a:prstGeom>
                          <a:gradFill>
                            <a:gsLst>
                              <a:gs pos="0">
                                <a:schemeClr val="tx1">
                                  <a:alpha val="12000"/>
                                </a:schemeClr>
                              </a:gs>
                              <a:gs pos="100000">
                                <a:schemeClr val="tx1">
                                  <a:alpha val="7000"/>
                                </a:schemeClr>
                              </a:gs>
                            </a:gsLst>
                          </a:grad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6139155" name="Triangle 16"/>
                        <wps:cNvSpPr/>
                        <wps:spPr>
                          <a:xfrm>
                            <a:off x="2642755" y="6120246"/>
                            <a:ext cx="4998615" cy="4564582"/>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0089391" name="Straight Connector 17"/>
                        <wps:cNvCnPr/>
                        <wps:spPr>
                          <a:xfrm flipH="1">
                            <a:off x="2246746" y="12700"/>
                            <a:ext cx="5523089" cy="1066533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17546258" name="Straight Connector 18"/>
                        <wps:cNvCnPr/>
                        <wps:spPr>
                          <a:xfrm>
                            <a:off x="5104246" y="5135418"/>
                            <a:ext cx="2665669" cy="4934965"/>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96416382" name="Triangle 16"/>
                        <wps:cNvSpPr/>
                        <wps:spPr>
                          <a:xfrm>
                            <a:off x="3497119" y="7491846"/>
                            <a:ext cx="3360593" cy="3121143"/>
                          </a:xfrm>
                          <a:prstGeom prst="triangle">
                            <a:avLst/>
                          </a:prstGeom>
                          <a:gradFill>
                            <a:gsLst>
                              <a:gs pos="6000">
                                <a:schemeClr val="bg1">
                                  <a:lumMod val="85000"/>
                                  <a:alpha val="11000"/>
                                </a:schemeClr>
                              </a:gs>
                              <a:gs pos="100000">
                                <a:schemeClr val="bg1">
                                  <a:lumMod val="95000"/>
                                  <a:alpha val="40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6265562" name="Triangle 16"/>
                        <wps:cNvSpPr/>
                        <wps:spPr>
                          <a:xfrm flipV="1">
                            <a:off x="1273464" y="10391"/>
                            <a:ext cx="5957918" cy="5875809"/>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5343781" name="Straight Connector 19"/>
                        <wps:cNvCnPr/>
                        <wps:spPr>
                          <a:xfrm flipH="1" flipV="1">
                            <a:off x="615373" y="12700"/>
                            <a:ext cx="3630966" cy="6690116"/>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236648978" name="Triangle 16"/>
                        <wps:cNvSpPr/>
                        <wps:spPr>
                          <a:xfrm flipV="1">
                            <a:off x="2086264" y="0"/>
                            <a:ext cx="4297657" cy="4174251"/>
                          </a:xfrm>
                          <a:prstGeom prst="triangle">
                            <a:avLst/>
                          </a:prstGeom>
                          <a:gradFill>
                            <a:gsLst>
                              <a:gs pos="6000">
                                <a:schemeClr val="bg1">
                                  <a:lumMod val="95000"/>
                                  <a:alpha val="6000"/>
                                </a:schemeClr>
                              </a:gs>
                              <a:gs pos="100000">
                                <a:schemeClr val="bg1">
                                  <a:alpha val="34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43476942" name="Triangle 16"/>
                        <wps:cNvSpPr/>
                        <wps:spPr>
                          <a:xfrm rot="5400000" flipV="1">
                            <a:off x="4381500" y="4537364"/>
                            <a:ext cx="5406279" cy="1239289"/>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61AC7065" id="Group 23" o:spid="_x0000_s1026" style="position:absolute;margin-left:-54.8pt;margin-top:-1in;width:611.8pt;height:856.65pt;z-index:251666432;mso-height-relative:margin" coordsize="77699,1068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">
                <v:rect id="Rectangle 15" o:spid="_x0000_s1027" style="position:absolute;width:77662;height:10681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" fillcolor="black [3213]" strokecolor="white [3212]" strokeweight=".5pt">
                  <v:fill opacity="7864f" color2="black [3213]" o:opacity2="4587f" rotate="t" focus="100%" type="gradient">
                    <o:fill v:ext="view" type="gradientUnscaled"/>
                  </v:fill>
                </v:rect>
                <v:shape id="Triangle 16" o:spid="_x0000_s1028" type="#_x0000_t5" style="position:absolute;left:26427;top:61202;width:49986;height:456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" adj="10872" fillcolor="#d8d8d8 [2732]" stroked="f" strokeweight=".5pt">
                  <v:fill opacity="19005f" color2="#f2f2f2 [3052]" o:opacity2="7208f" rotate="t" colors="0 #d9d9d9;3932f #d9d9d9" focus="100%" type="gradient">
                    <o:fill v:ext="view" type="gradientUnscaled"/>
                  </v:fill>
                </v:shape>
                <v:line id="Straight Connector 17" o:spid="_x0000_s1029" style="position:absolute;flip:x;visibility:visible;mso-wrap-style:square" from="22467,127" to="77698,106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" strokecolor="white [3212]" strokeweight="1pt">
                  <v:stroke joinstyle="miter"/>
                </v:line>
                <v:line id="Straight Connector 18" o:spid="_x0000_s1030" style="position:absolute;visibility:visible;mso-wrap-style:square" from="51042,51354" to="77699,10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" strokecolor="white [3212]" strokeweight="1pt">
                  <v:stroke joinstyle="miter"/>
                </v:line>
                <v:shape id="Triangle 16" o:spid="_x0000_s1031" type="#_x0000_t5" style="position:absolute;left:34971;top:74918;width:33606;height:3121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" fillcolor="#d8d8d8 [2732]" stroked="f" strokeweight=".5pt">
                  <v:fill opacity="26214f" color2="#f2f2f2 [3052]" o:opacity2="7208f" rotate="t" colors="0 #d9d9d9;3932f #d9d9d9" focus="100%" type="gradient">
                    <o:fill v:ext="view" type="gradientUnscaled"/>
                  </v:fill>
                </v:shape>
                <v:shape id="Triangle 16" o:spid="_x0000_s1032" type="#_x0000_t5" style="position:absolute;left:12734;top:103;width:59579;height:58759;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" adj="10872" fillcolor="#d8d8d8 [2732]" stroked="f" strokeweight=".5pt">
                  <v:fill opacity="19005f" color2="#f2f2f2 [3052]" o:opacity2="7208f" rotate="t" colors="0 #d9d9d9;3932f #d9d9d9" focus="100%" type="gradient">
                    <o:fill v:ext="view" type="gradientUnscaled"/>
                  </v:fill>
                </v:shape>
                <v:line id="Straight Connector 19" o:spid="_x0000_s1033" style="position:absolute;flip:x y;visibility:visible;mso-wrap-style:square" from="6153,127" to="42463,670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" strokecolor="white [3212]" strokeweight="1pt">
                  <v:stroke joinstyle="miter"/>
                </v:line>
                <v:shape id="Triangle 16" o:spid="_x0000_s1034" type="#_x0000_t5" style="position:absolute;left:20862;width:42977;height:41742;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" fillcolor="#f2f2f2 [3052]" stroked="f" strokeweight=".5pt">
                  <v:fill opacity="22282f" color2="white [3212]" o:opacity2="3932f" rotate="t" colors="0 #f2f2f2;3932f #f2f2f2" focus="100%" type="gradient">
                    <o:fill v:ext="view" type="gradientUnscaled"/>
                  </v:fill>
                </v:shape>
                <v:shape id="Triangle 16" o:spid="_x0000_s1035" type="#_x0000_t5" style="position:absolute;left:43814;top:45373;width:54063;height:12393;rotation:-9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" fillcolor="#f2f2f2 [3052]" stroked="f" strokeweight=".5pt">
                  <v:fill opacity="27525f" color2="white [3212]" o:opacity2="11796f" rotate="t" colors="0 #f2f2f2;3932f #f2f2f2" focus="100%" type="gradient">
                    <o:fill v:ext="view" type="gradientUnscaled"/>
                  </v:fill>
                </v:shape>
              </v:group>
            </w:pict>
          </mc:Fallback>
        </mc:AlternateContent>
      </w:r>
      <w:r>
        <w:rPr>
          <w:noProof/>
        </w:rPr>
        <w:drawing>
          <wp:anchor distT="0" distB="0" distL="114300" distR="114300" simplePos="0" relativeHeight="251664384" behindDoc="0" locked="0" layoutInCell="1" allowOverlap="1" wp14:anchorId="0BC63395" wp14:editId="34135428">
            <wp:simplePos x="0" y="0"/>
            <wp:positionH relativeFrom="column">
              <wp:posOffset>-696191</wp:posOffset>
            </wp:positionH>
            <wp:positionV relativeFrom="paragraph">
              <wp:posOffset>-914400</wp:posOffset>
            </wp:positionV>
            <wp:extent cx="7585364" cy="10881126"/>
            <wp:effectExtent l="0" t="0" r="0" b="3175"/>
            <wp:wrapNone/>
            <wp:docPr id="1041205037" name="Picture 13" descr="A gavel and books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205037" name="Picture 13" descr="A gavel and books on a table&#10;&#10;AI-generated content may be incorrect."/>
                    <pic:cNvPicPr/>
                  </pic:nvPicPr>
                  <pic:blipFill rotWithShape="1">
                    <a:blip r:embed="rId8">
                      <a:extLst>
                        <a:ext uri="{28A0092B-C50C-407E-A947-70E740481C1C}">
                          <a14:useLocalDpi xmlns:a14="http://schemas.microsoft.com/office/drawing/2010/main" val="0"/>
                        </a:ext>
                      </a:extLst>
                    </a:blip>
                    <a:srcRect l="15605" r="13844" b="2422"/>
                    <a:stretch>
                      <a:fillRect/>
                    </a:stretch>
                  </pic:blipFill>
                  <pic:spPr bwMode="auto">
                    <a:xfrm>
                      <a:off x="0" y="0"/>
                      <a:ext cx="7594767" cy="108946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0F108B" w:rsidSect="00334ADB">
      <w:footerReference w:type="even" r:id="rId9"/>
      <w:footerReference w:type="default" r:id="rId10"/>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B9E86C" w14:textId="77777777" w:rsidR="00E20AAD" w:rsidRDefault="00E20AAD" w:rsidP="00334ADB">
      <w:pPr>
        <w:spacing w:after="0" w:line="240" w:lineRule="auto"/>
      </w:pPr>
      <w:r>
        <w:separator/>
      </w:r>
    </w:p>
  </w:endnote>
  <w:endnote w:type="continuationSeparator" w:id="0">
    <w:p w14:paraId="24259818" w14:textId="77777777" w:rsidR="00E20AAD" w:rsidRDefault="00E20AAD" w:rsidP="00334A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31162930"/>
      <w:docPartObj>
        <w:docPartGallery w:val="Page Numbers (Bottom of Page)"/>
        <w:docPartUnique/>
      </w:docPartObj>
    </w:sdtPr>
    <w:sdtContent>
      <w:p w14:paraId="4E6ABFC8" w14:textId="3653FED2" w:rsidR="00334ADB" w:rsidRDefault="00334ADB" w:rsidP="00334AD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D0A742B" w14:textId="77777777" w:rsidR="00334ADB" w:rsidRDefault="00334ADB" w:rsidP="00334AD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63142190"/>
      <w:docPartObj>
        <w:docPartGallery w:val="Page Numbers (Bottom of Page)"/>
        <w:docPartUnique/>
      </w:docPartObj>
    </w:sdtPr>
    <w:sdtContent>
      <w:p w14:paraId="4F10805D" w14:textId="47D4AD6A" w:rsidR="00334ADB" w:rsidRDefault="00334ADB" w:rsidP="00334ADB">
        <w:pPr>
          <w:pStyle w:val="Footer"/>
          <w:framePr w:wrap="none" w:vAnchor="text" w:hAnchor="page" w:x="9623" w:y="-3"/>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41B0F5DF" w14:textId="3B5C3048" w:rsidR="00334ADB" w:rsidRDefault="00334ADB" w:rsidP="00334ADB">
    <w:pPr>
      <w:pStyle w:val="Footer"/>
      <w:ind w:right="360"/>
      <w:jc w:val="right"/>
    </w:pPr>
    <w:r>
      <w:t>| 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1CA19D" w14:textId="77777777" w:rsidR="00E20AAD" w:rsidRDefault="00E20AAD" w:rsidP="00334ADB">
      <w:pPr>
        <w:spacing w:after="0" w:line="240" w:lineRule="auto"/>
      </w:pPr>
      <w:r>
        <w:separator/>
      </w:r>
    </w:p>
  </w:footnote>
  <w:footnote w:type="continuationSeparator" w:id="0">
    <w:p w14:paraId="4FBDC5E9" w14:textId="77777777" w:rsidR="00E20AAD" w:rsidRDefault="00E20AAD" w:rsidP="00334ADB">
      <w:pPr>
        <w:spacing w:after="0" w:line="240" w:lineRule="auto"/>
      </w:pPr>
      <w:r>
        <w:continuationSeparator/>
      </w:r>
    </w:p>
  </w:footnote>
  <w:footnote w:id="1">
    <w:p w14:paraId="27A9736A" w14:textId="77777777" w:rsidR="00FB08D7" w:rsidRPr="001B5CB3" w:rsidRDefault="00FB08D7" w:rsidP="00FB08D7">
      <w:pPr>
        <w:pStyle w:val="FootnoteText"/>
        <w:rPr>
          <w:lang w:val="en-AU"/>
        </w:rPr>
      </w:pPr>
      <w:r>
        <w:rPr>
          <w:rStyle w:val="FootnoteReference"/>
        </w:rPr>
        <w:footnoteRef/>
      </w:r>
      <w:r>
        <w:t xml:space="preserve"> </w:t>
      </w:r>
      <w:r w:rsidRPr="001B5CB3">
        <w:t>Australian Consumer Law (Schedule 2, Competition and Consumer Act 2010 (Cth)</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9A1957"/>
    <w:multiLevelType w:val="hybridMultilevel"/>
    <w:tmpl w:val="013E1E64"/>
    <w:lvl w:ilvl="0" w:tplc="08090003">
      <w:start w:val="1"/>
      <w:numFmt w:val="bullet"/>
      <w:lvlText w:val="o"/>
      <w:lvlJc w:val="left"/>
      <w:pPr>
        <w:ind w:left="720" w:hanging="360"/>
      </w:pPr>
      <w:rPr>
        <w:rFonts w:ascii="Courier New" w:hAnsi="Courier New"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7725C6B"/>
    <w:multiLevelType w:val="hybridMultilevel"/>
    <w:tmpl w:val="AE64E6F8"/>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5DD60C4"/>
    <w:multiLevelType w:val="hybridMultilevel"/>
    <w:tmpl w:val="8F262EA0"/>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52148767">
    <w:abstractNumId w:val="0"/>
  </w:num>
  <w:num w:numId="2" w16cid:durableId="1681422797">
    <w:abstractNumId w:val="1"/>
  </w:num>
  <w:num w:numId="3" w16cid:durableId="15654840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08B"/>
    <w:rsid w:val="0007301A"/>
    <w:rsid w:val="0008172E"/>
    <w:rsid w:val="000A4193"/>
    <w:rsid w:val="000A7F76"/>
    <w:rsid w:val="000B2023"/>
    <w:rsid w:val="000D128E"/>
    <w:rsid w:val="000F108B"/>
    <w:rsid w:val="00111C95"/>
    <w:rsid w:val="00134090"/>
    <w:rsid w:val="00147DC9"/>
    <w:rsid w:val="00175486"/>
    <w:rsid w:val="001A3BD0"/>
    <w:rsid w:val="001B7DFD"/>
    <w:rsid w:val="001F059D"/>
    <w:rsid w:val="001F7F8C"/>
    <w:rsid w:val="00220042"/>
    <w:rsid w:val="0023078B"/>
    <w:rsid w:val="00240E95"/>
    <w:rsid w:val="00285268"/>
    <w:rsid w:val="00294CA4"/>
    <w:rsid w:val="002F23C0"/>
    <w:rsid w:val="00300E0C"/>
    <w:rsid w:val="0032017D"/>
    <w:rsid w:val="00334ADB"/>
    <w:rsid w:val="00341B1E"/>
    <w:rsid w:val="00344A17"/>
    <w:rsid w:val="00356093"/>
    <w:rsid w:val="003A02E1"/>
    <w:rsid w:val="003A1CFB"/>
    <w:rsid w:val="003B7C76"/>
    <w:rsid w:val="003C2E5F"/>
    <w:rsid w:val="003E43B4"/>
    <w:rsid w:val="003E7BC4"/>
    <w:rsid w:val="00405FCE"/>
    <w:rsid w:val="004428B7"/>
    <w:rsid w:val="00454AE5"/>
    <w:rsid w:val="0046317F"/>
    <w:rsid w:val="00464656"/>
    <w:rsid w:val="0046610A"/>
    <w:rsid w:val="00480B5D"/>
    <w:rsid w:val="00482078"/>
    <w:rsid w:val="00483774"/>
    <w:rsid w:val="00483FDC"/>
    <w:rsid w:val="004D2AC4"/>
    <w:rsid w:val="004D4240"/>
    <w:rsid w:val="004E3D64"/>
    <w:rsid w:val="004E66C5"/>
    <w:rsid w:val="00531BB6"/>
    <w:rsid w:val="00553DD0"/>
    <w:rsid w:val="00564DFA"/>
    <w:rsid w:val="00580B86"/>
    <w:rsid w:val="0058507A"/>
    <w:rsid w:val="00596E11"/>
    <w:rsid w:val="005A6F4D"/>
    <w:rsid w:val="005D092F"/>
    <w:rsid w:val="005E1FFE"/>
    <w:rsid w:val="00601F4E"/>
    <w:rsid w:val="00602F53"/>
    <w:rsid w:val="006059CA"/>
    <w:rsid w:val="00610E85"/>
    <w:rsid w:val="006137B4"/>
    <w:rsid w:val="00621706"/>
    <w:rsid w:val="00630EB4"/>
    <w:rsid w:val="00634D86"/>
    <w:rsid w:val="00691C4F"/>
    <w:rsid w:val="006B0791"/>
    <w:rsid w:val="006B7BEF"/>
    <w:rsid w:val="006C458F"/>
    <w:rsid w:val="00714231"/>
    <w:rsid w:val="00727A61"/>
    <w:rsid w:val="0076785F"/>
    <w:rsid w:val="007769FF"/>
    <w:rsid w:val="007969BD"/>
    <w:rsid w:val="007B1D20"/>
    <w:rsid w:val="007B71B0"/>
    <w:rsid w:val="007C4F96"/>
    <w:rsid w:val="007D2217"/>
    <w:rsid w:val="007F17E8"/>
    <w:rsid w:val="00806120"/>
    <w:rsid w:val="0080654C"/>
    <w:rsid w:val="008132C3"/>
    <w:rsid w:val="008215DC"/>
    <w:rsid w:val="00840943"/>
    <w:rsid w:val="00843BE6"/>
    <w:rsid w:val="0085433B"/>
    <w:rsid w:val="00893441"/>
    <w:rsid w:val="008B7194"/>
    <w:rsid w:val="008B7902"/>
    <w:rsid w:val="008F57CF"/>
    <w:rsid w:val="009035F2"/>
    <w:rsid w:val="009142C9"/>
    <w:rsid w:val="00924A66"/>
    <w:rsid w:val="0092514F"/>
    <w:rsid w:val="00930211"/>
    <w:rsid w:val="0093046D"/>
    <w:rsid w:val="00944B71"/>
    <w:rsid w:val="00962EBB"/>
    <w:rsid w:val="009929D2"/>
    <w:rsid w:val="00997C34"/>
    <w:rsid w:val="009D06C6"/>
    <w:rsid w:val="009E1A7D"/>
    <w:rsid w:val="00A01517"/>
    <w:rsid w:val="00A03A12"/>
    <w:rsid w:val="00A0638E"/>
    <w:rsid w:val="00A502FB"/>
    <w:rsid w:val="00A540EA"/>
    <w:rsid w:val="00A830C0"/>
    <w:rsid w:val="00A97FC9"/>
    <w:rsid w:val="00AA3760"/>
    <w:rsid w:val="00AA67FB"/>
    <w:rsid w:val="00AD2504"/>
    <w:rsid w:val="00B02D14"/>
    <w:rsid w:val="00B15DDE"/>
    <w:rsid w:val="00B33213"/>
    <w:rsid w:val="00B46C49"/>
    <w:rsid w:val="00B832BA"/>
    <w:rsid w:val="00B868C3"/>
    <w:rsid w:val="00B97C02"/>
    <w:rsid w:val="00BA00F7"/>
    <w:rsid w:val="00BB66EB"/>
    <w:rsid w:val="00BC443F"/>
    <w:rsid w:val="00BC6547"/>
    <w:rsid w:val="00BD62C4"/>
    <w:rsid w:val="00BE5553"/>
    <w:rsid w:val="00C00C1E"/>
    <w:rsid w:val="00C41993"/>
    <w:rsid w:val="00C65049"/>
    <w:rsid w:val="00C8782D"/>
    <w:rsid w:val="00CB7B0F"/>
    <w:rsid w:val="00CE2659"/>
    <w:rsid w:val="00D1061C"/>
    <w:rsid w:val="00D30760"/>
    <w:rsid w:val="00D5782C"/>
    <w:rsid w:val="00D67988"/>
    <w:rsid w:val="00D75D0F"/>
    <w:rsid w:val="00D774EF"/>
    <w:rsid w:val="00D94C07"/>
    <w:rsid w:val="00DC1F28"/>
    <w:rsid w:val="00DE365C"/>
    <w:rsid w:val="00DE7698"/>
    <w:rsid w:val="00DF314C"/>
    <w:rsid w:val="00E00CF1"/>
    <w:rsid w:val="00E030D6"/>
    <w:rsid w:val="00E160C6"/>
    <w:rsid w:val="00E179B4"/>
    <w:rsid w:val="00E20AAD"/>
    <w:rsid w:val="00E35F81"/>
    <w:rsid w:val="00E45958"/>
    <w:rsid w:val="00E6116E"/>
    <w:rsid w:val="00E6236F"/>
    <w:rsid w:val="00E660C7"/>
    <w:rsid w:val="00E95486"/>
    <w:rsid w:val="00EC40F3"/>
    <w:rsid w:val="00EF7F99"/>
    <w:rsid w:val="00F05EA0"/>
    <w:rsid w:val="00F1081F"/>
    <w:rsid w:val="00F166DC"/>
    <w:rsid w:val="00F22977"/>
    <w:rsid w:val="00F3602A"/>
    <w:rsid w:val="00F52A96"/>
    <w:rsid w:val="00F6794E"/>
    <w:rsid w:val="00F74AD5"/>
    <w:rsid w:val="00F772BB"/>
    <w:rsid w:val="00F81255"/>
    <w:rsid w:val="00F972AD"/>
    <w:rsid w:val="00FA4E12"/>
    <w:rsid w:val="00FB08D7"/>
    <w:rsid w:val="00FB2581"/>
    <w:rsid w:val="00FB5B18"/>
    <w:rsid w:val="00FD42E0"/>
    <w:rsid w:val="00FD531E"/>
    <w:rsid w:val="00FE034A"/>
    <w:rsid w:val="00FE621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F47C0F"/>
  <w15:chartTrackingRefBased/>
  <w15:docId w15:val="{5B7C685B-599E-F249-9F2E-FA1E023E8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59D"/>
    <w:pPr>
      <w:spacing w:after="240" w:line="360" w:lineRule="auto"/>
    </w:pPr>
    <w:rPr>
      <w:rFonts w:ascii="Times New Roman" w:hAnsi="Times New Roman" w:cs="Times New Roman"/>
      <w:sz w:val="22"/>
      <w:szCs w:val="22"/>
    </w:rPr>
  </w:style>
  <w:style w:type="paragraph" w:styleId="Heading1">
    <w:name w:val="heading 1"/>
    <w:basedOn w:val="Normal"/>
    <w:next w:val="Normal"/>
    <w:link w:val="Heading1Char"/>
    <w:uiPriority w:val="9"/>
    <w:qFormat/>
    <w:rsid w:val="001F059D"/>
    <w:pPr>
      <w:jc w:val="center"/>
      <w:outlineLvl w:val="0"/>
    </w:pPr>
    <w:rPr>
      <w:color w:val="215E99" w:themeColor="text2" w:themeTint="BF"/>
      <w:sz w:val="28"/>
      <w:szCs w:val="28"/>
    </w:rPr>
  </w:style>
  <w:style w:type="paragraph" w:styleId="Heading2">
    <w:name w:val="heading 2"/>
    <w:basedOn w:val="Normal"/>
    <w:next w:val="Normal"/>
    <w:link w:val="Heading2Char"/>
    <w:uiPriority w:val="9"/>
    <w:unhideWhenUsed/>
    <w:qFormat/>
    <w:rsid w:val="001F059D"/>
    <w:pPr>
      <w:outlineLvl w:val="1"/>
    </w:pPr>
    <w:rPr>
      <w:i/>
      <w:iCs/>
      <w:u w:val="single"/>
    </w:rPr>
  </w:style>
  <w:style w:type="paragraph" w:styleId="Heading3">
    <w:name w:val="heading 3"/>
    <w:basedOn w:val="Normal"/>
    <w:next w:val="Normal"/>
    <w:link w:val="Heading3Char"/>
    <w:uiPriority w:val="9"/>
    <w:semiHidden/>
    <w:unhideWhenUsed/>
    <w:qFormat/>
    <w:rsid w:val="000F10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10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10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108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108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108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108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059D"/>
    <w:rPr>
      <w:rFonts w:ascii="Times New Roman" w:hAnsi="Times New Roman" w:cs="Times New Roman"/>
      <w:color w:val="215E99" w:themeColor="text2" w:themeTint="BF"/>
      <w:sz w:val="28"/>
      <w:szCs w:val="28"/>
    </w:rPr>
  </w:style>
  <w:style w:type="character" w:customStyle="1" w:styleId="Heading2Char">
    <w:name w:val="Heading 2 Char"/>
    <w:basedOn w:val="DefaultParagraphFont"/>
    <w:link w:val="Heading2"/>
    <w:uiPriority w:val="9"/>
    <w:rsid w:val="001F059D"/>
    <w:rPr>
      <w:rFonts w:ascii="Times New Roman" w:hAnsi="Times New Roman" w:cs="Times New Roman"/>
      <w:i/>
      <w:iCs/>
      <w:sz w:val="22"/>
      <w:szCs w:val="22"/>
      <w:u w:val="single"/>
    </w:rPr>
  </w:style>
  <w:style w:type="character" w:customStyle="1" w:styleId="Heading3Char">
    <w:name w:val="Heading 3 Char"/>
    <w:basedOn w:val="DefaultParagraphFont"/>
    <w:link w:val="Heading3"/>
    <w:uiPriority w:val="9"/>
    <w:semiHidden/>
    <w:rsid w:val="000F10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10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10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10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10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10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108B"/>
    <w:rPr>
      <w:rFonts w:eastAsiaTheme="majorEastAsia" w:cstheme="majorBidi"/>
      <w:color w:val="272727" w:themeColor="text1" w:themeTint="D8"/>
    </w:rPr>
  </w:style>
  <w:style w:type="paragraph" w:styleId="Title">
    <w:name w:val="Title"/>
    <w:basedOn w:val="Normal"/>
    <w:next w:val="Normal"/>
    <w:link w:val="TitleChar"/>
    <w:uiPriority w:val="10"/>
    <w:qFormat/>
    <w:rsid w:val="001F059D"/>
    <w:rPr>
      <w:color w:val="FFFFFF" w:themeColor="background1"/>
      <w:sz w:val="48"/>
      <w:szCs w:val="48"/>
    </w:rPr>
  </w:style>
  <w:style w:type="character" w:customStyle="1" w:styleId="TitleChar">
    <w:name w:val="Title Char"/>
    <w:basedOn w:val="DefaultParagraphFont"/>
    <w:link w:val="Title"/>
    <w:uiPriority w:val="10"/>
    <w:rsid w:val="001F059D"/>
    <w:rPr>
      <w:rFonts w:ascii="Times New Roman" w:hAnsi="Times New Roman" w:cs="Times New Roman"/>
      <w:color w:val="FFFFFF" w:themeColor="background1"/>
      <w:sz w:val="48"/>
      <w:szCs w:val="48"/>
    </w:rPr>
  </w:style>
  <w:style w:type="paragraph" w:styleId="Subtitle">
    <w:name w:val="Subtitle"/>
    <w:basedOn w:val="Normal"/>
    <w:next w:val="Normal"/>
    <w:link w:val="SubtitleChar"/>
    <w:uiPriority w:val="11"/>
    <w:qFormat/>
    <w:rsid w:val="001F059D"/>
    <w:rPr>
      <w:i/>
      <w:iCs/>
      <w:color w:val="FFFFFF" w:themeColor="background1"/>
      <w:sz w:val="36"/>
      <w:szCs w:val="36"/>
    </w:rPr>
  </w:style>
  <w:style w:type="character" w:customStyle="1" w:styleId="SubtitleChar">
    <w:name w:val="Subtitle Char"/>
    <w:basedOn w:val="DefaultParagraphFont"/>
    <w:link w:val="Subtitle"/>
    <w:uiPriority w:val="11"/>
    <w:rsid w:val="001F059D"/>
    <w:rPr>
      <w:rFonts w:ascii="Times New Roman" w:hAnsi="Times New Roman" w:cs="Times New Roman"/>
      <w:i/>
      <w:iCs/>
      <w:color w:val="FFFFFF" w:themeColor="background1"/>
      <w:sz w:val="36"/>
      <w:szCs w:val="36"/>
    </w:rPr>
  </w:style>
  <w:style w:type="paragraph" w:styleId="Quote">
    <w:name w:val="Quote"/>
    <w:basedOn w:val="Normal"/>
    <w:next w:val="Normal"/>
    <w:link w:val="QuoteChar"/>
    <w:uiPriority w:val="29"/>
    <w:qFormat/>
    <w:rsid w:val="000F108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F108B"/>
    <w:rPr>
      <w:i/>
      <w:iCs/>
      <w:color w:val="404040" w:themeColor="text1" w:themeTint="BF"/>
    </w:rPr>
  </w:style>
  <w:style w:type="paragraph" w:styleId="ListParagraph">
    <w:name w:val="List Paragraph"/>
    <w:basedOn w:val="Normal"/>
    <w:uiPriority w:val="34"/>
    <w:qFormat/>
    <w:rsid w:val="000F108B"/>
    <w:pPr>
      <w:ind w:left="720"/>
      <w:contextualSpacing/>
    </w:pPr>
  </w:style>
  <w:style w:type="character" w:styleId="IntenseEmphasis">
    <w:name w:val="Intense Emphasis"/>
    <w:basedOn w:val="DefaultParagraphFont"/>
    <w:uiPriority w:val="21"/>
    <w:qFormat/>
    <w:rsid w:val="000F108B"/>
    <w:rPr>
      <w:i/>
      <w:iCs/>
      <w:color w:val="0F4761" w:themeColor="accent1" w:themeShade="BF"/>
    </w:rPr>
  </w:style>
  <w:style w:type="paragraph" w:styleId="IntenseQuote">
    <w:name w:val="Intense Quote"/>
    <w:basedOn w:val="Normal"/>
    <w:next w:val="Normal"/>
    <w:link w:val="IntenseQuoteChar"/>
    <w:uiPriority w:val="30"/>
    <w:qFormat/>
    <w:rsid w:val="000F10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108B"/>
    <w:rPr>
      <w:i/>
      <w:iCs/>
      <w:color w:val="0F4761" w:themeColor="accent1" w:themeShade="BF"/>
    </w:rPr>
  </w:style>
  <w:style w:type="character" w:styleId="IntenseReference">
    <w:name w:val="Intense Reference"/>
    <w:basedOn w:val="DefaultParagraphFont"/>
    <w:uiPriority w:val="32"/>
    <w:qFormat/>
    <w:rsid w:val="000F108B"/>
    <w:rPr>
      <w:b/>
      <w:bCs/>
      <w:smallCaps/>
      <w:color w:val="0F4761" w:themeColor="accent1" w:themeShade="BF"/>
      <w:spacing w:val="5"/>
    </w:rPr>
  </w:style>
  <w:style w:type="paragraph" w:styleId="Header">
    <w:name w:val="header"/>
    <w:basedOn w:val="Normal"/>
    <w:link w:val="HeaderChar"/>
    <w:uiPriority w:val="99"/>
    <w:unhideWhenUsed/>
    <w:rsid w:val="00334A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4ADB"/>
    <w:rPr>
      <w:rFonts w:ascii="Times New Roman" w:hAnsi="Times New Roman" w:cs="Times New Roman"/>
      <w:sz w:val="22"/>
      <w:szCs w:val="22"/>
    </w:rPr>
  </w:style>
  <w:style w:type="paragraph" w:styleId="Footer">
    <w:name w:val="footer"/>
    <w:basedOn w:val="Normal"/>
    <w:link w:val="FooterChar"/>
    <w:uiPriority w:val="99"/>
    <w:unhideWhenUsed/>
    <w:rsid w:val="00334A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4ADB"/>
    <w:rPr>
      <w:rFonts w:ascii="Times New Roman" w:hAnsi="Times New Roman" w:cs="Times New Roman"/>
      <w:sz w:val="22"/>
      <w:szCs w:val="22"/>
    </w:rPr>
  </w:style>
  <w:style w:type="character" w:styleId="PageNumber">
    <w:name w:val="page number"/>
    <w:basedOn w:val="DefaultParagraphFont"/>
    <w:uiPriority w:val="99"/>
    <w:semiHidden/>
    <w:unhideWhenUsed/>
    <w:rsid w:val="00334ADB"/>
  </w:style>
  <w:style w:type="character" w:customStyle="1" w:styleId="apple-converted-space">
    <w:name w:val="apple-converted-space"/>
    <w:basedOn w:val="DefaultParagraphFont"/>
    <w:rsid w:val="00FB08D7"/>
  </w:style>
  <w:style w:type="paragraph" w:styleId="FootnoteText">
    <w:name w:val="footnote text"/>
    <w:basedOn w:val="Normal"/>
    <w:link w:val="FootnoteTextChar"/>
    <w:uiPriority w:val="99"/>
    <w:semiHidden/>
    <w:unhideWhenUsed/>
    <w:rsid w:val="00FB08D7"/>
    <w:pPr>
      <w:spacing w:after="0" w:line="240" w:lineRule="auto"/>
    </w:pPr>
    <w:rPr>
      <w:rFonts w:eastAsia="Times New Roman"/>
      <w:sz w:val="20"/>
      <w:szCs w:val="20"/>
      <w:lang w:val="en-GB" w:eastAsia="en-GB"/>
    </w:rPr>
  </w:style>
  <w:style w:type="character" w:customStyle="1" w:styleId="FootnoteTextChar">
    <w:name w:val="Footnote Text Char"/>
    <w:basedOn w:val="DefaultParagraphFont"/>
    <w:link w:val="FootnoteText"/>
    <w:uiPriority w:val="99"/>
    <w:semiHidden/>
    <w:rsid w:val="00FB08D7"/>
    <w:rPr>
      <w:rFonts w:ascii="Times New Roman" w:eastAsia="Times New Roman" w:hAnsi="Times New Roman" w:cs="Times New Roman"/>
      <w:sz w:val="20"/>
      <w:szCs w:val="20"/>
      <w:lang w:val="en-GB" w:eastAsia="en-GB"/>
    </w:rPr>
  </w:style>
  <w:style w:type="character" w:styleId="FootnoteReference">
    <w:name w:val="footnote reference"/>
    <w:basedOn w:val="DefaultParagraphFont"/>
    <w:uiPriority w:val="99"/>
    <w:semiHidden/>
    <w:unhideWhenUsed/>
    <w:rsid w:val="00FB08D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5</Pages>
  <Words>1307</Words>
  <Characters>5230</Characters>
  <Application>Microsoft Office Word</Application>
  <DocSecurity>0</DocSecurity>
  <Lines>5230</Lines>
  <Paragraphs>726</Paragraphs>
  <ScaleCrop>false</ScaleCrop>
  <Company/>
  <LinksUpToDate>false</LinksUpToDate>
  <CharactersWithSpaces>5811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Macvean</dc:creator>
  <cp:keywords/>
  <dc:description/>
  <cp:lastModifiedBy>Benjamin Macvean</cp:lastModifiedBy>
  <cp:revision>10</cp:revision>
  <dcterms:created xsi:type="dcterms:W3CDTF">2026-01-14T20:20:00Z</dcterms:created>
  <dcterms:modified xsi:type="dcterms:W3CDTF">2026-01-16T08:54:00Z</dcterms:modified>
</cp:coreProperties>
</file>