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56382" w14:textId="675DD48B" w:rsidR="000F108B" w:rsidRDefault="00537E2D" w:rsidP="00235853">
      <w:r>
        <w:rPr>
          <w:noProof/>
        </w:rPr>
        <w:drawing>
          <wp:anchor distT="0" distB="0" distL="114300" distR="114300" simplePos="0" relativeHeight="251643897" behindDoc="0" locked="0" layoutInCell="1" allowOverlap="1" wp14:anchorId="1291E88E" wp14:editId="67E1FE7C">
            <wp:simplePos x="0" y="0"/>
            <wp:positionH relativeFrom="column">
              <wp:posOffset>-922020</wp:posOffset>
            </wp:positionH>
            <wp:positionV relativeFrom="paragraph">
              <wp:posOffset>-1548130</wp:posOffset>
            </wp:positionV>
            <wp:extent cx="8380800" cy="12960000"/>
            <wp:effectExtent l="0" t="0" r="1270" b="0"/>
            <wp:wrapNone/>
            <wp:docPr id="6553804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380436" name="Picture 655380436"/>
                    <pic:cNvPicPr/>
                  </pic:nvPicPr>
                  <pic:blipFill>
                    <a:blip r:embed="rId7">
                      <a:extLst>
                        <a:ext uri="{28A0092B-C50C-407E-A947-70E740481C1C}">
                          <a14:useLocalDpi xmlns:a14="http://schemas.microsoft.com/office/drawing/2010/main" val="0"/>
                        </a:ext>
                      </a:extLst>
                    </a:blip>
                    <a:stretch>
                      <a:fillRect/>
                    </a:stretch>
                  </pic:blipFill>
                  <pic:spPr>
                    <a:xfrm>
                      <a:off x="0" y="0"/>
                      <a:ext cx="8380800" cy="12960000"/>
                    </a:xfrm>
                    <a:prstGeom prst="rect">
                      <a:avLst/>
                    </a:prstGeom>
                  </pic:spPr>
                </pic:pic>
              </a:graphicData>
            </a:graphic>
            <wp14:sizeRelH relativeFrom="margin">
              <wp14:pctWidth>0</wp14:pctWidth>
            </wp14:sizeRelH>
            <wp14:sizeRelV relativeFrom="margin">
              <wp14:pctHeight>0</wp14:pctHeight>
            </wp14:sizeRelV>
          </wp:anchor>
        </w:drawing>
      </w:r>
      <w:r w:rsidR="00E23ACE">
        <w:rPr>
          <w:noProof/>
        </w:rPr>
        <mc:AlternateContent>
          <mc:Choice Requires="wpg">
            <w:drawing>
              <wp:anchor distT="0" distB="0" distL="114300" distR="114300" simplePos="0" relativeHeight="251644922" behindDoc="0" locked="0" layoutInCell="1" allowOverlap="1" wp14:anchorId="62F50521" wp14:editId="657DBDA1">
                <wp:simplePos x="0" y="0"/>
                <wp:positionH relativeFrom="column">
                  <wp:posOffset>-746760</wp:posOffset>
                </wp:positionH>
                <wp:positionV relativeFrom="paragraph">
                  <wp:posOffset>-914400</wp:posOffset>
                </wp:positionV>
                <wp:extent cx="7692391" cy="10741025"/>
                <wp:effectExtent l="0" t="0" r="0" b="15875"/>
                <wp:wrapNone/>
                <wp:docPr id="78740683" name="Group 31"/>
                <wp:cNvGraphicFramePr/>
                <a:graphic xmlns:a="http://schemas.openxmlformats.org/drawingml/2006/main">
                  <a:graphicData uri="http://schemas.microsoft.com/office/word/2010/wordprocessingGroup">
                    <wpg:wgp>
                      <wpg:cNvGrpSpPr/>
                      <wpg:grpSpPr>
                        <a:xfrm>
                          <a:off x="0" y="0"/>
                          <a:ext cx="7692391" cy="10741025"/>
                          <a:chOff x="-73137" y="-181864"/>
                          <a:chExt cx="7692630" cy="10741152"/>
                        </a:xfrm>
                      </wpg:grpSpPr>
                      <wps:wsp>
                        <wps:cNvPr id="698615390" name="Rectangle 26"/>
                        <wps:cNvSpPr/>
                        <wps:spPr>
                          <a:xfrm>
                            <a:off x="-73137" y="-181864"/>
                            <a:ext cx="7619492" cy="10741152"/>
                          </a:xfrm>
                          <a:prstGeom prst="rect">
                            <a:avLst/>
                          </a:prstGeom>
                          <a:solidFill>
                            <a:schemeClr val="tx1">
                              <a:alpha val="19000"/>
                            </a:schemeClr>
                          </a:solidFill>
                          <a:ln>
                            <a:solidFill>
                              <a:schemeClr val="accent1">
                                <a:shade val="1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9A91EC1" w14:textId="77777777" w:rsidR="00F73151" w:rsidRDefault="00F73151" w:rsidP="00F7315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2621601" name="Text Box 27"/>
                        <wps:cNvSpPr txBox="1"/>
                        <wps:spPr>
                          <a:xfrm>
                            <a:off x="-73136" y="1901952"/>
                            <a:ext cx="7692629" cy="512064"/>
                          </a:xfrm>
                          <a:prstGeom prst="rect">
                            <a:avLst/>
                          </a:prstGeom>
                          <a:noFill/>
                          <a:ln w="6350">
                            <a:noFill/>
                          </a:ln>
                        </wps:spPr>
                        <wps:txbx>
                          <w:txbxContent>
                            <w:p w14:paraId="0923727F" w14:textId="5804CE52" w:rsidR="001F059D" w:rsidRPr="001C6A9D" w:rsidRDefault="000F108B" w:rsidP="001C6A9D">
                              <w:pPr>
                                <w:pStyle w:val="Title"/>
                              </w:pPr>
                              <w:r w:rsidRPr="001C6A9D">
                                <w:t>T</w:t>
                              </w:r>
                              <w:r w:rsidR="006314C1">
                                <w:t>he Hallucination Trap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2844352" name="Straight Connector 27"/>
                        <wps:cNvCnPr/>
                        <wps:spPr>
                          <a:xfrm>
                            <a:off x="317019" y="1597660"/>
                            <a:ext cx="6913077"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776197336" name="Straight Connector 27"/>
                        <wps:cNvCnPr/>
                        <wps:spPr>
                          <a:xfrm>
                            <a:off x="317019" y="2682748"/>
                            <a:ext cx="691307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674965720" name="Text Box 27"/>
                        <wps:cNvSpPr txBox="1"/>
                        <wps:spPr>
                          <a:xfrm>
                            <a:off x="0" y="2950464"/>
                            <a:ext cx="7546340" cy="512064"/>
                          </a:xfrm>
                          <a:prstGeom prst="rect">
                            <a:avLst/>
                          </a:prstGeom>
                          <a:noFill/>
                          <a:ln w="6350">
                            <a:noFill/>
                          </a:ln>
                        </wps:spPr>
                        <wps:txbx>
                          <w:txbxContent>
                            <w:p w14:paraId="7B295F16" w14:textId="7C856FC3" w:rsidR="00262BED" w:rsidRPr="00262BED" w:rsidRDefault="002B6F55" w:rsidP="00235853">
                              <w:pPr>
                                <w:pStyle w:val="Subtitle"/>
                              </w:pPr>
                              <w:r>
                                <w:t>Navigating the Boundaries of Artificial Intelligence in Legal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2F50521" id="Group 31" o:spid="_x0000_s1026" style="position:absolute;margin-left:-58.8pt;margin-top:-1in;width:605.7pt;height:845.75pt;z-index:251644922;mso-width-relative:margin" coordorigin="-731,-1818" coordsize="76926,1074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">
                <v:rect id="Rectangle 26" o:spid="_x0000_s1027" style="position:absolute;left:-731;top:-1818;width:76194;height:10741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" fillcolor="black [3213]" strokecolor="#030e13 [484]" strokeweight="1pt">
                  <v:fill opacity="12336f"/>
                  <v:textbox>
                    <w:txbxContent>
                      <w:p w14:paraId="39A91EC1" w14:textId="77777777" w:rsidR="00F73151" w:rsidRDefault="00F73151" w:rsidP="00F73151">
                        <w:pPr>
                          <w:jc w:val="center"/>
                        </w:pPr>
                      </w:p>
                    </w:txbxContent>
                  </v:textbox>
                </v:rect>
                <v:shapetype id="_x0000_t202" coordsize="21600,21600" o:spt="202" path="m,l,21600r21600,l21600,xe">
                  <v:stroke joinstyle="miter"/>
                  <v:path gradientshapeok="t" o:connecttype="rect"/>
                </v:shapetype>
                <v:shape id="_x0000_s1028" type="#_x0000_t202" style="position:absolute;left:-731;top:19019;width:76925;height:51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" filled="f" stroked="f" strokeweight=".5pt">
                  <v:textbox>
                    <w:txbxContent>
                      <w:p w14:paraId="0923727F" w14:textId="5804CE52" w:rsidR="001F059D" w:rsidRPr="001C6A9D" w:rsidRDefault="000F108B" w:rsidP="001C6A9D">
                        <w:pPr>
                          <w:pStyle w:val="Title"/>
                        </w:pPr>
                        <w:r w:rsidRPr="001C6A9D">
                          <w:t>T</w:t>
                        </w:r>
                        <w:r w:rsidR="006314C1">
                          <w:t>he Hallucination Trap</w:t>
                        </w:r>
                      </w:p>
                    </w:txbxContent>
                  </v:textbox>
                </v:shape>
                <v:line id="Straight Connector 27" o:spid="_x0000_s1029" style="position:absolute;visibility:visible;mso-wrap-style:square" from="3170,15976" to="72300,1597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" strokecolor="white [3212]" strokeweight="2pt">
                  <v:stroke joinstyle="miter"/>
                </v:line>
                <v:line id="Straight Connector 27" o:spid="_x0000_s1030" style="position:absolute;visibility:visible;mso-wrap-style:square" from="3170,26827" to="72300,2682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" strokecolor="white [3212]" strokeweight="2pt">
                  <v:stroke joinstyle="miter"/>
                </v:line>
                <v:shape id="_x0000_s1031" type="#_x0000_t202" style="position:absolute;top:29504;width:75463;height:51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" filled="f" stroked="f" strokeweight=".5pt">
                  <v:textbox>
                    <w:txbxContent>
                      <w:p w14:paraId="7B295F16" w14:textId="7C856FC3" w:rsidR="00262BED" w:rsidRPr="00262BED" w:rsidRDefault="002B6F55" w:rsidP="00235853">
                        <w:pPr>
                          <w:pStyle w:val="Subtitle"/>
                        </w:pPr>
                        <w:r>
                          <w:t>Navigating the Boundaries of Artificial Intelligence in Legal Practice</w:t>
                        </w:r>
                      </w:p>
                    </w:txbxContent>
                  </v:textbox>
                </v:shape>
              </v:group>
            </w:pict>
          </mc:Fallback>
        </mc:AlternateContent>
      </w:r>
      <w:r w:rsidR="00E23ACE">
        <w:rPr>
          <w:noProof/>
        </w:rPr>
        <mc:AlternateContent>
          <mc:Choice Requires="wps">
            <w:drawing>
              <wp:anchor distT="0" distB="0" distL="114300" distR="114300" simplePos="0" relativeHeight="251685888" behindDoc="0" locked="0" layoutInCell="1" allowOverlap="1" wp14:anchorId="2612F2EA" wp14:editId="7C8F7065">
                <wp:simplePos x="0" y="0"/>
                <wp:positionH relativeFrom="column">
                  <wp:posOffset>4639075</wp:posOffset>
                </wp:positionH>
                <wp:positionV relativeFrom="paragraph">
                  <wp:posOffset>8597265</wp:posOffset>
                </wp:positionV>
                <wp:extent cx="2048256" cy="382397"/>
                <wp:effectExtent l="0" t="0" r="0" b="0"/>
                <wp:wrapNone/>
                <wp:docPr id="2036535871" name="Text Box 21"/>
                <wp:cNvGraphicFramePr/>
                <a:graphic xmlns:a="http://schemas.openxmlformats.org/drawingml/2006/main">
                  <a:graphicData uri="http://schemas.microsoft.com/office/word/2010/wordprocessingShape">
                    <wps:wsp>
                      <wps:cNvSpPr txBox="1"/>
                      <wps:spPr>
                        <a:xfrm>
                          <a:off x="0" y="0"/>
                          <a:ext cx="2048256" cy="382397"/>
                        </a:xfrm>
                        <a:prstGeom prst="rect">
                          <a:avLst/>
                        </a:prstGeom>
                        <a:noFill/>
                        <a:ln w="6350">
                          <a:noFill/>
                        </a:ln>
                      </wps:spPr>
                      <wps:txbx>
                        <w:txbxContent>
                          <w:p w14:paraId="27451D67" w14:textId="6A1B16E2" w:rsidR="00262BED" w:rsidRPr="00262BED" w:rsidRDefault="00262BED" w:rsidP="00235853">
                            <w:pPr>
                              <w:pStyle w:val="Subtitle"/>
                            </w:pPr>
                            <w:r w:rsidRPr="00262BED">
                              <w:t xml:space="preserve">Law Student Review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612F2EA" id="Text Box 21" o:spid="_x0000_s1032" type="#_x0000_t202" style="position:absolute;margin-left:365.3pt;margin-top:676.95pt;width:161.3pt;height:30.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" filled="f" stroked="f" strokeweight=".5pt">
                <v:textbox>
                  <w:txbxContent>
                    <w:p w14:paraId="27451D67" w14:textId="6A1B16E2" w:rsidR="00262BED" w:rsidRPr="00262BED" w:rsidRDefault="00262BED" w:rsidP="00235853">
                      <w:pPr>
                        <w:pStyle w:val="Subtitle"/>
                      </w:pPr>
                      <w:r w:rsidRPr="00262BED">
                        <w:t xml:space="preserve">Law Student Review </w:t>
                      </w:r>
                    </w:p>
                  </w:txbxContent>
                </v:textbox>
              </v:shape>
            </w:pict>
          </mc:Fallback>
        </mc:AlternateContent>
      </w:r>
      <w:r w:rsidR="00E23ACE">
        <w:rPr>
          <w:noProof/>
        </w:rPr>
        <mc:AlternateContent>
          <mc:Choice Requires="wps">
            <w:drawing>
              <wp:anchor distT="0" distB="0" distL="114300" distR="114300" simplePos="0" relativeHeight="251684864" behindDoc="0" locked="0" layoutInCell="1" allowOverlap="1" wp14:anchorId="7A1C0EEE" wp14:editId="58A05C00">
                <wp:simplePos x="0" y="0"/>
                <wp:positionH relativeFrom="column">
                  <wp:posOffset>-598552</wp:posOffset>
                </wp:positionH>
                <wp:positionV relativeFrom="paragraph">
                  <wp:posOffset>8594852</wp:posOffset>
                </wp:positionV>
                <wp:extent cx="2047875" cy="389890"/>
                <wp:effectExtent l="0" t="0" r="0" b="0"/>
                <wp:wrapNone/>
                <wp:docPr id="1600177898" name="Text Box 21"/>
                <wp:cNvGraphicFramePr/>
                <a:graphic xmlns:a="http://schemas.openxmlformats.org/drawingml/2006/main">
                  <a:graphicData uri="http://schemas.microsoft.com/office/word/2010/wordprocessingShape">
                    <wps:wsp>
                      <wps:cNvSpPr txBox="1"/>
                      <wps:spPr>
                        <a:xfrm>
                          <a:off x="0" y="0"/>
                          <a:ext cx="2047875" cy="389890"/>
                        </a:xfrm>
                        <a:prstGeom prst="rect">
                          <a:avLst/>
                        </a:prstGeom>
                        <a:noFill/>
                        <a:ln w="6350">
                          <a:noFill/>
                        </a:ln>
                      </wps:spPr>
                      <wps:txbx>
                        <w:txbxContent>
                          <w:p w14:paraId="3B17B765" w14:textId="7B1F2F36" w:rsidR="000F108B" w:rsidRDefault="000F108B" w:rsidP="002B6F55">
                            <w:pPr>
                              <w:pStyle w:val="Subtitle"/>
                            </w:pPr>
                            <w:r w:rsidRPr="00262BED">
                              <w:t xml:space="preserve">By </w:t>
                            </w:r>
                            <w:r w:rsidR="002B6F55">
                              <w:t>Zaniel Rayan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A1C0EEE" id="_x0000_s1033" type="#_x0000_t202" style="position:absolute;margin-left:-47.15pt;margin-top:676.75pt;width:161.25pt;height:30.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" filled="f" stroked="f" strokeweight=".5pt">
                <v:textbox>
                  <w:txbxContent>
                    <w:p w14:paraId="3B17B765" w14:textId="7B1F2F36" w:rsidR="000F108B" w:rsidRDefault="000F108B" w:rsidP="002B6F55">
                      <w:pPr>
                        <w:pStyle w:val="Subtitle"/>
                      </w:pPr>
                      <w:r w:rsidRPr="00262BED">
                        <w:t xml:space="preserve">By </w:t>
                      </w:r>
                      <w:proofErr w:type="spellStart"/>
                      <w:r w:rsidR="002B6F55">
                        <w:t>Zaniel</w:t>
                      </w:r>
                      <w:proofErr w:type="spellEnd"/>
                      <w:r w:rsidR="002B6F55">
                        <w:t xml:space="preserve"> Rayan</w:t>
                      </w:r>
                    </w:p>
                  </w:txbxContent>
                </v:textbox>
              </v:shape>
            </w:pict>
          </mc:Fallback>
        </mc:AlternateContent>
      </w:r>
      <w:r w:rsidR="007A4BF8">
        <w:rPr>
          <w:noProof/>
        </w:rPr>
        <mc:AlternateContent>
          <mc:Choice Requires="wps">
            <w:drawing>
              <wp:anchor distT="0" distB="0" distL="114300" distR="114300" simplePos="0" relativeHeight="251667456" behindDoc="0" locked="0" layoutInCell="1" allowOverlap="1" wp14:anchorId="7760C708" wp14:editId="15B218CC">
                <wp:simplePos x="0" y="0"/>
                <wp:positionH relativeFrom="column">
                  <wp:posOffset>-746760</wp:posOffset>
                </wp:positionH>
                <wp:positionV relativeFrom="paragraph">
                  <wp:posOffset>-914400</wp:posOffset>
                </wp:positionV>
                <wp:extent cx="7107428" cy="0"/>
                <wp:effectExtent l="0" t="12700" r="17780" b="12700"/>
                <wp:wrapNone/>
                <wp:docPr id="38297992" name="Straight Connector 27"/>
                <wp:cNvGraphicFramePr/>
                <a:graphic xmlns:a="http://schemas.openxmlformats.org/drawingml/2006/main">
                  <a:graphicData uri="http://schemas.microsoft.com/office/word/2010/wordprocessingShape">
                    <wps:wsp>
                      <wps:cNvCnPr/>
                      <wps:spPr>
                        <a:xfrm>
                          <a:off x="0" y="0"/>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7C26F7FF" id="Straight Connector 27"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8.8pt,-1in" to="500.85pt,-1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" strokecolor="white [3212]" strokeweight="2pt">
                <v:stroke joinstyle="miter"/>
              </v:line>
            </w:pict>
          </mc:Fallback>
        </mc:AlternateContent>
      </w:r>
      <w:r w:rsidR="000F108B">
        <w:br w:type="page"/>
      </w:r>
    </w:p>
    <w:p w14:paraId="631531B2" w14:textId="4E59D56F" w:rsidR="00A34A7D" w:rsidRPr="00F57B14" w:rsidRDefault="001F059D" w:rsidP="00F57B14">
      <w:pPr>
        <w:pStyle w:val="Heading1"/>
      </w:pPr>
      <w:r w:rsidRPr="00E23ACE">
        <w:lastRenderedPageBreak/>
        <w:t xml:space="preserve">I </w:t>
      </w:r>
      <w:r w:rsidR="00F57B14">
        <w:t>INTRODUCTION</w:t>
      </w:r>
    </w:p>
    <w:p w14:paraId="3F206D47" w14:textId="77777777" w:rsidR="00A34A7D" w:rsidRPr="00A34A7D" w:rsidRDefault="00A34A7D" w:rsidP="00A34A7D">
      <w:pPr>
        <w:spacing w:after="160"/>
        <w:rPr>
          <w:kern w:val="2"/>
          <w14:ligatures w14:val="standardContextual"/>
        </w:rPr>
      </w:pPr>
      <w:r w:rsidRPr="00A34A7D">
        <w:rPr>
          <w:kern w:val="2"/>
          <w14:ligatures w14:val="standardContextual"/>
        </w:rPr>
        <w:t xml:space="preserve">For centuries, the justice system has been centred around one constant: the human intellect. The ability of humans to reason, advocate, analyse and make judgements could not be replaced. Historically, the legal profession has integrated several generations of technological change without altering the fundamental nature of legal work. From quills to typewriters, typewriters to laptops, and the establishment of Westlaw and LexisNexis, each shift improved efficiency without challenging human legal reasoning. Artificial intelligence reflects a qualitative shift from this pattern. AI can produce outputs which require cognitive capacity, rather than only assisting it. AI is now integrated into the day-to-day operations of many firms, assisting with research, analysis, drafting and summarising documents. The efficiency benefits are undeniable, but so are the risks. This article examines the professional responsibility consequences of uncritical AI use through </w:t>
      </w:r>
      <w:r w:rsidRPr="00A34A7D">
        <w:rPr>
          <w:i/>
          <w:iCs/>
          <w:kern w:val="2"/>
          <w14:ligatures w14:val="standardContextual"/>
        </w:rPr>
        <w:t xml:space="preserve">Dayal </w:t>
      </w:r>
      <w:r w:rsidRPr="00A34A7D">
        <w:rPr>
          <w:kern w:val="2"/>
          <w14:ligatures w14:val="standardContextual"/>
        </w:rPr>
        <w:t>[2024]</w:t>
      </w:r>
      <w:r w:rsidRPr="00A34A7D">
        <w:rPr>
          <w:kern w:val="2"/>
          <w:vertAlign w:val="superscript"/>
          <w14:ligatures w14:val="standardContextual"/>
        </w:rPr>
        <w:footnoteReference w:id="1"/>
      </w:r>
      <w:r w:rsidRPr="00A34A7D">
        <w:rPr>
          <w:kern w:val="2"/>
          <w14:ligatures w14:val="standardContextual"/>
        </w:rPr>
        <w:t xml:space="preserve">, </w:t>
      </w:r>
      <w:r w:rsidRPr="00A34A7D">
        <w:rPr>
          <w:i/>
          <w:iCs/>
          <w:kern w:val="2"/>
          <w14:ligatures w14:val="standardContextual"/>
        </w:rPr>
        <w:t xml:space="preserve">Valu v MIMA </w:t>
      </w:r>
      <w:r w:rsidRPr="00A34A7D">
        <w:rPr>
          <w:kern w:val="2"/>
          <w14:ligatures w14:val="standardContextual"/>
        </w:rPr>
        <w:t>[2025]</w:t>
      </w:r>
      <w:r w:rsidRPr="00A34A7D">
        <w:rPr>
          <w:kern w:val="2"/>
          <w:vertAlign w:val="superscript"/>
          <w14:ligatures w14:val="standardContextual"/>
        </w:rPr>
        <w:footnoteReference w:id="2"/>
      </w:r>
      <w:r w:rsidRPr="00A34A7D">
        <w:rPr>
          <w:kern w:val="2"/>
          <w14:ligatures w14:val="standardContextual"/>
        </w:rPr>
        <w:t xml:space="preserve"> and how courts have since responded to define acceptable AI use in legal practice.</w:t>
      </w:r>
    </w:p>
    <w:p w14:paraId="5A0D210C" w14:textId="1477597F" w:rsidR="00A34A7D" w:rsidRPr="00F57B14" w:rsidRDefault="00F57B14" w:rsidP="00F57B14">
      <w:pPr>
        <w:jc w:val="center"/>
        <w:outlineLvl w:val="0"/>
        <w:rPr>
          <w:b/>
          <w:bCs/>
          <w:color w:val="000000" w:themeColor="text1"/>
          <w:sz w:val="28"/>
          <w:szCs w:val="28"/>
        </w:rPr>
      </w:pPr>
      <w:r w:rsidRPr="00F57B14">
        <w:rPr>
          <w:b/>
          <w:bCs/>
          <w:color w:val="000000" w:themeColor="text1"/>
          <w:sz w:val="28"/>
          <w:szCs w:val="28"/>
        </w:rPr>
        <w:t>I</w:t>
      </w:r>
      <w:r>
        <w:rPr>
          <w:b/>
          <w:bCs/>
          <w:color w:val="000000" w:themeColor="text1"/>
          <w:sz w:val="28"/>
          <w:szCs w:val="28"/>
        </w:rPr>
        <w:t>I THE HALLUCINATION PROBLEM</w:t>
      </w:r>
    </w:p>
    <w:p w14:paraId="20EA6AE0" w14:textId="77777777" w:rsidR="00A34A7D" w:rsidRPr="00A34A7D" w:rsidRDefault="00A34A7D" w:rsidP="00A34A7D">
      <w:pPr>
        <w:spacing w:after="160"/>
        <w:rPr>
          <w:kern w:val="2"/>
          <w14:ligatures w14:val="standardContextual"/>
        </w:rPr>
      </w:pPr>
      <w:r w:rsidRPr="00A34A7D">
        <w:rPr>
          <w:kern w:val="2"/>
          <w14:ligatures w14:val="standardContextual"/>
        </w:rPr>
        <w:t xml:space="preserve">The consequences of negligent overreliance on AI first drew worldwide attention in the 2023 case of </w:t>
      </w:r>
      <w:r w:rsidRPr="00A34A7D">
        <w:rPr>
          <w:i/>
          <w:iCs/>
          <w:kern w:val="2"/>
          <w14:ligatures w14:val="standardContextual"/>
        </w:rPr>
        <w:t>Mata v. Avianca, Inc</w:t>
      </w:r>
      <w:r w:rsidRPr="00A34A7D">
        <w:rPr>
          <w:i/>
          <w:iCs/>
          <w:kern w:val="2"/>
          <w:vertAlign w:val="superscript"/>
          <w14:ligatures w14:val="standardContextual"/>
        </w:rPr>
        <w:footnoteReference w:id="3"/>
      </w:r>
      <w:r w:rsidRPr="00A34A7D">
        <w:rPr>
          <w:kern w:val="2"/>
          <w14:ligatures w14:val="standardContextual"/>
        </w:rPr>
        <w:t>. A New York attorney represented a client in a personal injury claim brought against an airline for an alleged injury caused by a serving cart during an international flight. The plaintiff’s lawyers had filed non-existent judicial authorities, fake quotes and citations that were prepared using ChatGPT, a generative AI (Gen AI) tool. The court sanctioned the attorneys and the law firm for the breach of Federal Rule of Civil Procedure Rule 11.</w:t>
      </w:r>
    </w:p>
    <w:p w14:paraId="5C12C8F3" w14:textId="77777777" w:rsidR="00A34A7D" w:rsidRPr="00A34A7D" w:rsidRDefault="00A34A7D" w:rsidP="00A34A7D">
      <w:pPr>
        <w:spacing w:after="160"/>
        <w:rPr>
          <w:kern w:val="2"/>
          <w14:ligatures w14:val="standardContextual"/>
        </w:rPr>
      </w:pPr>
      <w:r w:rsidRPr="00A34A7D">
        <w:rPr>
          <w:kern w:val="2"/>
          <w14:ligatures w14:val="standardContextual"/>
        </w:rPr>
        <w:t xml:space="preserve">This case was considered by Judge A. Humphreys in </w:t>
      </w:r>
      <w:r w:rsidRPr="00A34A7D">
        <w:rPr>
          <w:i/>
          <w:iCs/>
          <w:kern w:val="2"/>
          <w14:ligatures w14:val="standardContextual"/>
        </w:rPr>
        <w:t xml:space="preserve">Dayal </w:t>
      </w:r>
      <w:r w:rsidRPr="00A34A7D">
        <w:rPr>
          <w:kern w:val="2"/>
          <w14:ligatures w14:val="standardContextual"/>
        </w:rPr>
        <w:t>[2024], confirming that the potential harms of reliance on non-existent authorities identified by the US District Court such as resource wastage and reputational damage were relevant within the Federal Circuit and Family Court of Australia.</w:t>
      </w:r>
      <w:r w:rsidRPr="00A34A7D">
        <w:rPr>
          <w:kern w:val="2"/>
          <w:vertAlign w:val="superscript"/>
          <w14:ligatures w14:val="standardContextual"/>
        </w:rPr>
        <w:footnoteReference w:id="4"/>
      </w:r>
      <w:r w:rsidRPr="00A34A7D">
        <w:rPr>
          <w:kern w:val="2"/>
          <w14:ligatures w14:val="standardContextual"/>
        </w:rPr>
        <w:t xml:space="preserve"> In </w:t>
      </w:r>
      <w:r w:rsidRPr="00A34A7D">
        <w:rPr>
          <w:i/>
          <w:iCs/>
          <w:kern w:val="2"/>
          <w14:ligatures w14:val="standardContextual"/>
        </w:rPr>
        <w:t>Dayal</w:t>
      </w:r>
      <w:r w:rsidRPr="00A34A7D">
        <w:rPr>
          <w:kern w:val="2"/>
          <w14:ligatures w14:val="standardContextual"/>
        </w:rPr>
        <w:t xml:space="preserve">, the solicitor submitted an unreviewed list of authorities and accompanying case summaries to the court which were prepared using an AI tool within a legal management software. </w:t>
      </w:r>
      <w:r w:rsidRPr="00A34A7D">
        <w:rPr>
          <w:kern w:val="2"/>
          <w14:ligatures w14:val="standardContextual"/>
        </w:rPr>
        <w:lastRenderedPageBreak/>
        <w:t xml:space="preserve">Much like in </w:t>
      </w:r>
      <w:r w:rsidRPr="00A34A7D">
        <w:rPr>
          <w:i/>
          <w:iCs/>
          <w:kern w:val="2"/>
          <w14:ligatures w14:val="standardContextual"/>
        </w:rPr>
        <w:t>Mata</w:t>
      </w:r>
      <w:r w:rsidRPr="00A34A7D">
        <w:rPr>
          <w:kern w:val="2"/>
          <w14:ligatures w14:val="standardContextual"/>
        </w:rPr>
        <w:t>,</w:t>
      </w:r>
      <w:r w:rsidRPr="00A34A7D">
        <w:rPr>
          <w:i/>
          <w:iCs/>
          <w:kern w:val="2"/>
          <w14:ligatures w14:val="standardContextual"/>
        </w:rPr>
        <w:t xml:space="preserve"> </w:t>
      </w:r>
      <w:r w:rsidRPr="00A34A7D">
        <w:rPr>
          <w:kern w:val="2"/>
          <w14:ligatures w14:val="standardContextual"/>
        </w:rPr>
        <w:t>the authorities generated by the AI tool were non-existent.</w:t>
      </w:r>
      <w:r w:rsidRPr="00A34A7D">
        <w:rPr>
          <w:kern w:val="2"/>
          <w:vertAlign w:val="superscript"/>
          <w14:ligatures w14:val="standardContextual"/>
        </w:rPr>
        <w:footnoteReference w:id="5"/>
      </w:r>
      <w:r w:rsidRPr="00A34A7D">
        <w:rPr>
          <w:kern w:val="2"/>
          <w14:ligatures w14:val="standardContextual"/>
        </w:rPr>
        <w:t xml:space="preserve"> The solicitor was referred to the Office of the Victorian Legal Services Board and Commissioner (VLSB+C).</w:t>
      </w:r>
      <w:r w:rsidRPr="00A34A7D">
        <w:rPr>
          <w:kern w:val="2"/>
          <w:vertAlign w:val="superscript"/>
          <w14:ligatures w14:val="standardContextual"/>
        </w:rPr>
        <w:footnoteReference w:id="6"/>
      </w:r>
    </w:p>
    <w:p w14:paraId="57B3E73F" w14:textId="77777777" w:rsidR="00A34A7D" w:rsidRPr="00A34A7D" w:rsidRDefault="00A34A7D" w:rsidP="00A34A7D">
      <w:pPr>
        <w:spacing w:after="160"/>
        <w:rPr>
          <w:kern w:val="2"/>
          <w14:ligatures w14:val="standardContextual"/>
        </w:rPr>
      </w:pPr>
      <w:r w:rsidRPr="00A34A7D">
        <w:rPr>
          <w:kern w:val="2"/>
          <w14:ligatures w14:val="standardContextual"/>
        </w:rPr>
        <w:t xml:space="preserve">Five months later, in January 2025, a similar case arose in NSW of </w:t>
      </w:r>
      <w:r w:rsidRPr="00A34A7D">
        <w:rPr>
          <w:i/>
          <w:iCs/>
          <w:kern w:val="2"/>
          <w14:ligatures w14:val="standardContextual"/>
        </w:rPr>
        <w:t>Valu v MIMA</w:t>
      </w:r>
      <w:r w:rsidRPr="00A34A7D">
        <w:rPr>
          <w:kern w:val="2"/>
          <w14:ligatures w14:val="standardContextual"/>
        </w:rPr>
        <w:t xml:space="preserve"> [2025]. The applicant sought judicial review in the Federal Circuit and Family Court of Australia of a decision of the Administrative Appeals Tribunal regarding a migration matter.</w:t>
      </w:r>
      <w:r w:rsidRPr="00A34A7D">
        <w:rPr>
          <w:kern w:val="2"/>
          <w:vertAlign w:val="superscript"/>
          <w14:ligatures w14:val="standardContextual"/>
        </w:rPr>
        <w:footnoteReference w:id="7"/>
      </w:r>
      <w:r w:rsidRPr="00A34A7D">
        <w:rPr>
          <w:kern w:val="2"/>
          <w14:ligatures w14:val="standardContextual"/>
        </w:rPr>
        <w:t xml:space="preserve"> The applicant’s legal representative (ALR) submitted seventeen Federal Court decisions with plausible citations and names as well as quotations. Each one was non-existent.</w:t>
      </w:r>
      <w:r w:rsidRPr="00A34A7D">
        <w:rPr>
          <w:kern w:val="2"/>
          <w:vertAlign w:val="superscript"/>
          <w14:ligatures w14:val="standardContextual"/>
        </w:rPr>
        <w:footnoteReference w:id="8"/>
      </w:r>
      <w:r w:rsidRPr="00A34A7D">
        <w:rPr>
          <w:kern w:val="2"/>
          <w14:ligatures w14:val="standardContextual"/>
        </w:rPr>
        <w:t xml:space="preserve"> The solicitor had prepared their submission with ChatGPT, which had once again fabricated the citations. The solicitor explained that due to health issues and time constraints, they relied on ChatGPT, which was promoted by reputable legal software companies.</w:t>
      </w:r>
      <w:r w:rsidRPr="00A34A7D">
        <w:rPr>
          <w:kern w:val="2"/>
          <w:vertAlign w:val="superscript"/>
          <w14:ligatures w14:val="standardContextual"/>
        </w:rPr>
        <w:footnoteReference w:id="9"/>
      </w:r>
      <w:r w:rsidRPr="00A34A7D">
        <w:rPr>
          <w:kern w:val="2"/>
          <w14:ligatures w14:val="standardContextual"/>
        </w:rPr>
        <w:t xml:space="preserve"> Judge Skaros noted that a considerable amount of the Court’s time was spent attempting to locate the authorities.</w:t>
      </w:r>
      <w:r w:rsidRPr="00A34A7D">
        <w:rPr>
          <w:kern w:val="2"/>
          <w:vertAlign w:val="superscript"/>
          <w14:ligatures w14:val="standardContextual"/>
        </w:rPr>
        <w:footnoteReference w:id="10"/>
      </w:r>
      <w:r w:rsidRPr="00A34A7D">
        <w:rPr>
          <w:kern w:val="2"/>
          <w14:ligatures w14:val="standardContextual"/>
        </w:rPr>
        <w:t xml:space="preserve"> The solicitor was referred to the Office of the NSW Legal Services Commissioner (OLSC), the court noted that AI misuse is an increasing concern and there is public interest in the OLSC being aware of such conduct.</w:t>
      </w:r>
      <w:r w:rsidRPr="00A34A7D">
        <w:rPr>
          <w:kern w:val="2"/>
          <w:vertAlign w:val="superscript"/>
          <w14:ligatures w14:val="standardContextual"/>
        </w:rPr>
        <w:footnoteReference w:id="11"/>
      </w:r>
    </w:p>
    <w:p w14:paraId="2BBB34FA" w14:textId="77777777" w:rsidR="00A34A7D" w:rsidRPr="00A34A7D" w:rsidRDefault="00A34A7D" w:rsidP="00A34A7D">
      <w:pPr>
        <w:spacing w:after="160"/>
        <w:rPr>
          <w:kern w:val="2"/>
          <w14:ligatures w14:val="standardContextual"/>
        </w:rPr>
      </w:pPr>
      <w:r w:rsidRPr="00A34A7D">
        <w:rPr>
          <w:kern w:val="2"/>
          <w14:ligatures w14:val="standardContextual"/>
        </w:rPr>
        <w:t xml:space="preserve">What these cases collectively demonstrate is that blind trust cannot be placed in a generative AI output; the output must be verified. In each case, the practitioner received an output which appeared genuine, the citations and case names appeared legitimate. This is not incidental; it is how generative AI operates. AI models are trained on data, and they learn to make predictions by finding patterns within it. When AI models struggle to find real and </w:t>
      </w:r>
      <w:proofErr w:type="gramStart"/>
      <w:r w:rsidRPr="00A34A7D">
        <w:rPr>
          <w:kern w:val="2"/>
          <w14:ligatures w14:val="standardContextual"/>
        </w:rPr>
        <w:t>factual information</w:t>
      </w:r>
      <w:proofErr w:type="gramEnd"/>
      <w:r w:rsidRPr="00A34A7D">
        <w:rPr>
          <w:kern w:val="2"/>
          <w14:ligatures w14:val="standardContextual"/>
        </w:rPr>
        <w:t>, they may generate outputs that are factually incorrect but read as legitimate outputs.</w:t>
      </w:r>
      <w:r w:rsidRPr="00A34A7D">
        <w:rPr>
          <w:kern w:val="2"/>
          <w:vertAlign w:val="superscript"/>
          <w14:ligatures w14:val="standardContextual"/>
        </w:rPr>
        <w:footnoteReference w:id="12"/>
      </w:r>
    </w:p>
    <w:p w14:paraId="52217634" w14:textId="46460F58" w:rsidR="00A34A7D" w:rsidRPr="00F57B14" w:rsidRDefault="00F57B14" w:rsidP="00F57B14">
      <w:pPr>
        <w:jc w:val="center"/>
        <w:outlineLvl w:val="0"/>
        <w:rPr>
          <w:b/>
          <w:bCs/>
          <w:color w:val="000000" w:themeColor="text1"/>
          <w:sz w:val="28"/>
          <w:szCs w:val="28"/>
        </w:rPr>
      </w:pPr>
      <w:r w:rsidRPr="00F57B14">
        <w:rPr>
          <w:b/>
          <w:bCs/>
          <w:color w:val="000000" w:themeColor="text1"/>
          <w:sz w:val="28"/>
          <w:szCs w:val="28"/>
        </w:rPr>
        <w:t>I</w:t>
      </w:r>
      <w:r>
        <w:rPr>
          <w:b/>
          <w:bCs/>
          <w:color w:val="000000" w:themeColor="text1"/>
          <w:sz w:val="28"/>
          <w:szCs w:val="28"/>
        </w:rPr>
        <w:t>II DISCIPLINARY CONSEQUENCES</w:t>
      </w:r>
    </w:p>
    <w:p w14:paraId="3F8EAD23" w14:textId="77777777" w:rsidR="00A34A7D" w:rsidRPr="00A34A7D" w:rsidRDefault="00A34A7D" w:rsidP="00A34A7D">
      <w:pPr>
        <w:spacing w:after="160"/>
        <w:rPr>
          <w:kern w:val="2"/>
          <w14:ligatures w14:val="standardContextual"/>
        </w:rPr>
      </w:pPr>
      <w:r w:rsidRPr="00A34A7D">
        <w:rPr>
          <w:kern w:val="2"/>
          <w14:ligatures w14:val="standardContextual"/>
        </w:rPr>
        <w:t xml:space="preserve">A court referral of a practitioner to the legal services commissioner or board is just the beginning. The OLSC and VLSB+C may impose professional consequences including but not limited to a reprimand, an order for training, counselling or supervision, or an order recommending restrictions to practising certificate (VLSB+C may impose directly). In cases possibly amounting to professional misconduct, proceedings in the NSW Civil and Administrative Tribunal (NCAT) may ensue, possibly </w:t>
      </w:r>
      <w:r w:rsidRPr="00A34A7D">
        <w:rPr>
          <w:kern w:val="2"/>
          <w14:ligatures w14:val="standardContextual"/>
        </w:rPr>
        <w:lastRenderedPageBreak/>
        <w:t>resulting in an order recommending the Supreme Court to remove the lawyer from the roll</w:t>
      </w:r>
      <w:r w:rsidRPr="00A34A7D">
        <w:rPr>
          <w:kern w:val="2"/>
          <w:vertAlign w:val="superscript"/>
          <w14:ligatures w14:val="standardContextual"/>
        </w:rPr>
        <w:footnoteReference w:id="13"/>
      </w:r>
      <w:r w:rsidRPr="00A34A7D">
        <w:rPr>
          <w:kern w:val="2"/>
          <w14:ligatures w14:val="standardContextual"/>
        </w:rPr>
        <w:t xml:space="preserve"> (VLSB+C applies directly)</w:t>
      </w:r>
      <w:r w:rsidRPr="00A34A7D">
        <w:rPr>
          <w:kern w:val="2"/>
          <w:vertAlign w:val="superscript"/>
          <w14:ligatures w14:val="standardContextual"/>
        </w:rPr>
        <w:footnoteReference w:id="14"/>
      </w:r>
      <w:r w:rsidRPr="00A34A7D">
        <w:rPr>
          <w:kern w:val="2"/>
          <w14:ligatures w14:val="standardContextual"/>
        </w:rPr>
        <w:t>.</w:t>
      </w:r>
    </w:p>
    <w:p w14:paraId="5F94E5DD" w14:textId="77777777" w:rsidR="00A34A7D" w:rsidRPr="00A34A7D" w:rsidRDefault="00A34A7D" w:rsidP="00A34A7D">
      <w:pPr>
        <w:spacing w:after="160"/>
        <w:rPr>
          <w:kern w:val="2"/>
          <w14:ligatures w14:val="standardContextual"/>
        </w:rPr>
      </w:pPr>
      <w:r w:rsidRPr="00A34A7D">
        <w:rPr>
          <w:kern w:val="2"/>
          <w14:ligatures w14:val="standardContextual"/>
        </w:rPr>
        <w:t xml:space="preserve">On 19 August 2025, the VLSB+C altered the practising certificate of ‘Mr Dayal’ as identified by the Federal Circuit and Family Court in </w:t>
      </w:r>
      <w:r w:rsidRPr="00A34A7D">
        <w:rPr>
          <w:i/>
          <w:iCs/>
          <w:kern w:val="2"/>
          <w14:ligatures w14:val="standardContextual"/>
        </w:rPr>
        <w:t>Dayal</w:t>
      </w:r>
      <w:r w:rsidRPr="00A34A7D">
        <w:rPr>
          <w:kern w:val="2"/>
          <w14:ligatures w14:val="standardContextual"/>
        </w:rPr>
        <w:t xml:space="preserve"> [2024]. Mr Dayal was no longer allowed to operate his own law practice, no longer allowed to practice as a principal lawyer, no longer authorised to handle trust money, only permitted to practise as an employee solicitor and was required to undertake a two-year period of supervised legal practice with quarterly reporting to the Victorian Legal Services Board.</w:t>
      </w:r>
      <w:r w:rsidRPr="00A34A7D">
        <w:rPr>
          <w:kern w:val="2"/>
          <w:vertAlign w:val="superscript"/>
          <w14:ligatures w14:val="standardContextual"/>
        </w:rPr>
        <w:footnoteReference w:id="15"/>
      </w:r>
    </w:p>
    <w:p w14:paraId="5C4C09D2" w14:textId="77777777" w:rsidR="00F57B14" w:rsidRDefault="00A34A7D" w:rsidP="00F57B14">
      <w:pPr>
        <w:spacing w:after="160"/>
        <w:rPr>
          <w:kern w:val="2"/>
          <w14:ligatures w14:val="standardContextual"/>
        </w:rPr>
      </w:pPr>
      <w:r w:rsidRPr="00A34A7D">
        <w:rPr>
          <w:kern w:val="2"/>
          <w14:ligatures w14:val="standardContextual"/>
        </w:rPr>
        <w:t>The VLSB+C described their regulatory action as a demonstration of their commitment to ensuring legal practitioners only use AI in a way consistent with their professional obligations.</w:t>
      </w:r>
      <w:r w:rsidRPr="00A34A7D">
        <w:rPr>
          <w:kern w:val="2"/>
          <w:vertAlign w:val="superscript"/>
          <w14:ligatures w14:val="standardContextual"/>
        </w:rPr>
        <w:footnoteReference w:id="16"/>
      </w:r>
      <w:r w:rsidRPr="00A34A7D">
        <w:rPr>
          <w:kern w:val="2"/>
          <w14:ligatures w14:val="standardContextual"/>
        </w:rPr>
        <w:t xml:space="preserve"> It is important to note how this statement was framed, the VLSB+C noted that the summary of authorities was generated with AI, it was not framed as a technological failure; it was a matter of professional responsibility and a message to practitioners to inform themselves on AI if they intend on using it.</w:t>
      </w:r>
      <w:r w:rsidRPr="00A34A7D">
        <w:rPr>
          <w:kern w:val="2"/>
          <w:vertAlign w:val="superscript"/>
          <w14:ligatures w14:val="standardContextual"/>
        </w:rPr>
        <w:footnoteReference w:id="17"/>
      </w:r>
    </w:p>
    <w:p w14:paraId="4B8209E4" w14:textId="48E32FFF" w:rsidR="00F06AEE" w:rsidRPr="00F06AEE" w:rsidRDefault="00F06AEE" w:rsidP="00F06AEE">
      <w:pPr>
        <w:jc w:val="center"/>
        <w:outlineLvl w:val="0"/>
        <w:rPr>
          <w:b/>
          <w:bCs/>
          <w:color w:val="000000" w:themeColor="text1"/>
          <w:sz w:val="28"/>
          <w:szCs w:val="28"/>
        </w:rPr>
      </w:pPr>
      <w:r w:rsidRPr="00F06AEE">
        <w:rPr>
          <w:b/>
          <w:bCs/>
          <w:color w:val="000000" w:themeColor="text1"/>
          <w:sz w:val="28"/>
          <w:szCs w:val="28"/>
        </w:rPr>
        <w:t>I</w:t>
      </w:r>
      <w:r>
        <w:rPr>
          <w:b/>
          <w:bCs/>
          <w:color w:val="000000" w:themeColor="text1"/>
          <w:sz w:val="28"/>
          <w:szCs w:val="28"/>
        </w:rPr>
        <w:t>V THE COURTS RESPOND: PRACTICE NOTES AND PROCEDURAL GUIDANCE</w:t>
      </w:r>
    </w:p>
    <w:p w14:paraId="54DD47EF" w14:textId="0C12D836" w:rsidR="00A34A7D" w:rsidRPr="00A34A7D" w:rsidRDefault="00A34A7D" w:rsidP="00A34A7D">
      <w:pPr>
        <w:spacing w:after="160"/>
        <w:rPr>
          <w:kern w:val="2"/>
          <w14:ligatures w14:val="standardContextual"/>
        </w:rPr>
      </w:pPr>
      <w:r w:rsidRPr="00A34A7D">
        <w:rPr>
          <w:kern w:val="2"/>
          <w14:ligatures w14:val="standardContextual"/>
        </w:rPr>
        <w:t>The judicial referrals, along with the consistent expansion of AI into legal practice have prompted the courts to respond. On 28 January 2025, the Supreme Court of NSW issued Practice Note</w:t>
      </w:r>
      <w:r w:rsidRPr="00A34A7D">
        <w:rPr>
          <w:rFonts w:ascii="Arial" w:eastAsia="Times New Roman" w:hAnsi="Arial" w:cs="Arial"/>
          <w:color w:val="000000"/>
          <w:sz w:val="20"/>
          <w:szCs w:val="20"/>
          <w:lang w:eastAsia="en-GB"/>
        </w:rPr>
        <w:t xml:space="preserve"> </w:t>
      </w:r>
      <w:r w:rsidRPr="00A34A7D">
        <w:rPr>
          <w:kern w:val="2"/>
          <w14:ligatures w14:val="standardContextual"/>
        </w:rPr>
        <w:t xml:space="preserve">SC GEN 23 which sets out what use is and is not permitted as well as the risks of AI. The practice </w:t>
      </w:r>
      <w:proofErr w:type="gramStart"/>
      <w:r w:rsidRPr="00A34A7D">
        <w:rPr>
          <w:kern w:val="2"/>
          <w14:ligatures w14:val="standardContextual"/>
        </w:rPr>
        <w:t>note</w:t>
      </w:r>
      <w:proofErr w:type="gramEnd"/>
      <w:r w:rsidRPr="00A34A7D">
        <w:rPr>
          <w:kern w:val="2"/>
          <w14:ligatures w14:val="standardContextual"/>
        </w:rPr>
        <w:t xml:space="preserve"> states that any material that is the subject of a statutory prohibition upon publication must not be used to train the LLM or Gen AI model. Generative AI must not be used in the creation of affidavits, witness statements, character references or any material intended to reflect the deponent or witness’ evidence/opinion and a declaration that GenAI was not used in generating its content must be present. If AI is used in preparation of written submissions or summaries, then the Author must </w:t>
      </w:r>
      <w:r w:rsidRPr="00A34A7D">
        <w:rPr>
          <w:kern w:val="2"/>
          <w14:ligatures w14:val="standardContextual"/>
        </w:rPr>
        <w:lastRenderedPageBreak/>
        <w:t>verify its contents, ensuring that citations and authorities exist, are accurate, and relevant. Use of AI to prepare submissions does not absolve the author of their professional obligations.</w:t>
      </w:r>
      <w:r w:rsidRPr="00A34A7D">
        <w:rPr>
          <w:kern w:val="2"/>
          <w:vertAlign w:val="superscript"/>
          <w14:ligatures w14:val="standardContextual"/>
        </w:rPr>
        <w:footnoteReference w:id="18"/>
      </w:r>
      <w:r w:rsidRPr="00A34A7D">
        <w:rPr>
          <w:kern w:val="2"/>
          <w14:ligatures w14:val="standardContextual"/>
        </w:rPr>
        <w:t xml:space="preserve"> </w:t>
      </w:r>
    </w:p>
    <w:p w14:paraId="481D81F4" w14:textId="77777777" w:rsidR="00A34A7D" w:rsidRPr="00A34A7D" w:rsidRDefault="00A34A7D" w:rsidP="00A34A7D">
      <w:pPr>
        <w:spacing w:after="160"/>
        <w:rPr>
          <w:kern w:val="2"/>
          <w14:ligatures w14:val="standardContextual"/>
        </w:rPr>
      </w:pPr>
      <w:r w:rsidRPr="00A34A7D">
        <w:rPr>
          <w:i/>
          <w:iCs/>
          <w:kern w:val="2"/>
          <w14:ligatures w14:val="standardContextual"/>
        </w:rPr>
        <w:t>Practice Note SC Gen 23</w:t>
      </w:r>
      <w:r w:rsidRPr="00A34A7D">
        <w:rPr>
          <w:kern w:val="2"/>
          <w14:ligatures w14:val="standardContextual"/>
        </w:rPr>
        <w:t xml:space="preserve"> states that its application excludes the use of dedicated legal research software. The Victorian Law Reform Commission, ‘</w:t>
      </w:r>
      <w:r w:rsidRPr="00A34A7D">
        <w:rPr>
          <w:i/>
          <w:iCs/>
          <w:kern w:val="2"/>
          <w14:ligatures w14:val="standardContextual"/>
        </w:rPr>
        <w:t>Artificial Intelligence in Victoria’s Courts and Tribunals’</w:t>
      </w:r>
      <w:r w:rsidRPr="00A34A7D">
        <w:rPr>
          <w:kern w:val="2"/>
          <w14:ligatures w14:val="standardContextual"/>
        </w:rPr>
        <w:t xml:space="preserve"> Report raises a concern that studies have shown that the hallucination problem persists at significant levels for specialised legal research tools.</w:t>
      </w:r>
      <w:r w:rsidRPr="00A34A7D">
        <w:rPr>
          <w:kern w:val="2"/>
          <w:vertAlign w:val="superscript"/>
          <w14:ligatures w14:val="standardContextual"/>
        </w:rPr>
        <w:footnoteReference w:id="19"/>
      </w:r>
    </w:p>
    <w:p w14:paraId="2F0F3739" w14:textId="77777777" w:rsidR="00A34A7D" w:rsidRPr="00A34A7D" w:rsidRDefault="00A34A7D" w:rsidP="00A34A7D">
      <w:pPr>
        <w:spacing w:after="160"/>
        <w:rPr>
          <w:kern w:val="2"/>
          <w14:ligatures w14:val="standardContextual"/>
        </w:rPr>
      </w:pPr>
      <w:r w:rsidRPr="00A34A7D">
        <w:rPr>
          <w:kern w:val="2"/>
          <w14:ligatures w14:val="standardContextual"/>
        </w:rPr>
        <w:t>The Federal Court of Australia, on 16 April 2026, introduced its ‘</w:t>
      </w:r>
      <w:r w:rsidRPr="00A34A7D">
        <w:rPr>
          <w:i/>
          <w:iCs/>
          <w:kern w:val="2"/>
          <w14:ligatures w14:val="standardContextual"/>
        </w:rPr>
        <w:t>Use of Generative Artificial Intelligence Practice Note</w:t>
      </w:r>
      <w:r w:rsidRPr="00A34A7D">
        <w:rPr>
          <w:kern w:val="2"/>
          <w14:ligatures w14:val="standardContextual"/>
        </w:rPr>
        <w:t xml:space="preserve">’ (GPN-AI). The practice </w:t>
      </w:r>
      <w:proofErr w:type="gramStart"/>
      <w:r w:rsidRPr="00A34A7D">
        <w:rPr>
          <w:kern w:val="2"/>
          <w14:ligatures w14:val="standardContextual"/>
        </w:rPr>
        <w:t>note</w:t>
      </w:r>
      <w:proofErr w:type="gramEnd"/>
      <w:r w:rsidRPr="00A34A7D">
        <w:rPr>
          <w:kern w:val="2"/>
          <w14:ligatures w14:val="standardContextual"/>
        </w:rPr>
        <w:t xml:space="preserve"> cautions that information provided to generally accessible AI tools may become available to other people and that users do not know where the information is stored and who can access it. The practice note also states that privileged and confidential information must not be entered into a Gen AI tool.</w:t>
      </w:r>
      <w:r w:rsidRPr="00A34A7D">
        <w:rPr>
          <w:kern w:val="2"/>
          <w:vertAlign w:val="superscript"/>
          <w14:ligatures w14:val="standardContextual"/>
        </w:rPr>
        <w:footnoteReference w:id="20"/>
      </w:r>
      <w:r w:rsidRPr="00A34A7D">
        <w:rPr>
          <w:kern w:val="2"/>
          <w14:ligatures w14:val="standardContextual"/>
        </w:rPr>
        <w:t xml:space="preserve"> This was observed in </w:t>
      </w:r>
      <w:r w:rsidRPr="00A34A7D">
        <w:rPr>
          <w:i/>
          <w:iCs/>
          <w:kern w:val="2"/>
          <w14:ligatures w14:val="standardContextual"/>
        </w:rPr>
        <w:t>Helmold &amp; Mariya</w:t>
      </w:r>
      <w:r w:rsidRPr="00A34A7D">
        <w:rPr>
          <w:kern w:val="2"/>
          <w:vertAlign w:val="superscript"/>
          <w14:ligatures w14:val="standardContextual"/>
        </w:rPr>
        <w:footnoteReference w:id="21"/>
      </w:r>
      <w:r w:rsidRPr="00A34A7D">
        <w:rPr>
          <w:i/>
          <w:iCs/>
          <w:kern w:val="2"/>
          <w14:ligatures w14:val="standardContextual"/>
        </w:rPr>
        <w:t xml:space="preserve"> </w:t>
      </w:r>
      <w:r w:rsidRPr="00A34A7D">
        <w:rPr>
          <w:kern w:val="2"/>
          <w14:ligatures w14:val="standardContextual"/>
        </w:rPr>
        <w:t xml:space="preserve">where the court noted that input of confidential documents into a Gen AI tool which stores and replicates data, may constitute breach of privilege. The practice note addresses the </w:t>
      </w:r>
      <w:r w:rsidRPr="00A34A7D">
        <w:rPr>
          <w:i/>
          <w:iCs/>
          <w:kern w:val="2"/>
          <w14:ligatures w14:val="standardContextual"/>
        </w:rPr>
        <w:t>VLRC AI Report</w:t>
      </w:r>
      <w:r w:rsidRPr="00A34A7D">
        <w:rPr>
          <w:i/>
          <w:iCs/>
          <w:kern w:val="2"/>
          <w:vertAlign w:val="superscript"/>
          <w14:ligatures w14:val="standardContextual"/>
        </w:rPr>
        <w:footnoteReference w:id="22"/>
      </w:r>
      <w:r w:rsidRPr="00A34A7D">
        <w:rPr>
          <w:i/>
          <w:iCs/>
          <w:kern w:val="2"/>
          <w14:ligatures w14:val="standardContextual"/>
        </w:rPr>
        <w:t xml:space="preserve">, </w:t>
      </w:r>
      <w:r w:rsidRPr="00A34A7D">
        <w:rPr>
          <w:kern w:val="2"/>
          <w14:ligatures w14:val="standardContextual"/>
        </w:rPr>
        <w:t>it offered guidance that AI tools which are ‘closed’ and operate within a controlled environment where data and prompts are not remembered offer lower risk compared to ‘public’ AI tools. The practice note aligns with this, stating that its guidance is directed at use of ‘public’ AI tools. Lawyers who use ‘closed’ AI tools are expected to preserve the integrity and confidentiality of information obtained by compulsory processes in proceedings.</w:t>
      </w:r>
      <w:r w:rsidRPr="00A34A7D">
        <w:rPr>
          <w:kern w:val="2"/>
          <w:vertAlign w:val="superscript"/>
          <w14:ligatures w14:val="standardContextual"/>
        </w:rPr>
        <w:footnoteReference w:id="23"/>
      </w:r>
    </w:p>
    <w:p w14:paraId="75C6476B" w14:textId="77777777" w:rsidR="00A34A7D" w:rsidRPr="00A34A7D" w:rsidRDefault="00A34A7D" w:rsidP="00A34A7D">
      <w:pPr>
        <w:spacing w:after="160"/>
        <w:rPr>
          <w:kern w:val="2"/>
          <w14:ligatures w14:val="standardContextual"/>
        </w:rPr>
      </w:pPr>
      <w:r w:rsidRPr="00A34A7D">
        <w:rPr>
          <w:kern w:val="2"/>
          <w14:ligatures w14:val="standardContextual"/>
        </w:rPr>
        <w:t>The most recent of the three, issued on 14 May 2026, Victorian Supreme Court Practice Note SC Gen 25</w:t>
      </w:r>
      <w:r w:rsidRPr="00A34A7D">
        <w:rPr>
          <w:kern w:val="2"/>
          <w:vertAlign w:val="superscript"/>
          <w14:ligatures w14:val="standardContextual"/>
        </w:rPr>
        <w:footnoteReference w:id="24"/>
      </w:r>
      <w:r w:rsidRPr="00A34A7D">
        <w:rPr>
          <w:kern w:val="2"/>
          <w14:ligatures w14:val="standardContextual"/>
        </w:rPr>
        <w:t xml:space="preserve"> which outlines that the court may direct users to provide further information about court documents produced with AI assistance, users must be prepared to ‘identify specific portions of Court documents which were produced using AI and be able to explain how the output was verified’.</w:t>
      </w:r>
    </w:p>
    <w:p w14:paraId="1402BD01" w14:textId="78050099" w:rsidR="00A34A7D" w:rsidRPr="00A34A7D" w:rsidRDefault="00A34A7D" w:rsidP="00A34A7D">
      <w:pPr>
        <w:spacing w:after="160"/>
        <w:rPr>
          <w:kern w:val="2"/>
          <w14:ligatures w14:val="standardContextual"/>
        </w:rPr>
      </w:pPr>
      <w:r w:rsidRPr="00A34A7D">
        <w:rPr>
          <w:kern w:val="2"/>
          <w14:ligatures w14:val="standardContextual"/>
        </w:rPr>
        <w:t>These three practice notes reflect that AI use in legal practice operates in a window between prohibition and non-constraint, and each practice note demands human verification and transparency.</w:t>
      </w:r>
    </w:p>
    <w:p w14:paraId="14F31E51" w14:textId="0237C1D3" w:rsidR="00F06AEE" w:rsidRPr="00F06AEE" w:rsidRDefault="00F06AEE" w:rsidP="00F06AEE">
      <w:pPr>
        <w:jc w:val="center"/>
        <w:outlineLvl w:val="0"/>
        <w:rPr>
          <w:b/>
          <w:bCs/>
          <w:color w:val="000000" w:themeColor="text1"/>
          <w:sz w:val="28"/>
          <w:szCs w:val="28"/>
        </w:rPr>
      </w:pPr>
      <w:r>
        <w:rPr>
          <w:b/>
          <w:bCs/>
          <w:color w:val="000000" w:themeColor="text1"/>
          <w:sz w:val="28"/>
          <w:szCs w:val="28"/>
        </w:rPr>
        <w:lastRenderedPageBreak/>
        <w:t>V CONCLUSION</w:t>
      </w:r>
    </w:p>
    <w:p w14:paraId="18EABF2E" w14:textId="77777777" w:rsidR="00A34A7D" w:rsidRPr="00A34A7D" w:rsidRDefault="00A34A7D" w:rsidP="00A34A7D">
      <w:pPr>
        <w:spacing w:after="160"/>
        <w:rPr>
          <w:kern w:val="2"/>
          <w14:ligatures w14:val="standardContextual"/>
        </w:rPr>
      </w:pPr>
      <w:r w:rsidRPr="00A34A7D">
        <w:rPr>
          <w:kern w:val="2"/>
          <w14:ligatures w14:val="standardContextual"/>
        </w:rPr>
        <w:t xml:space="preserve">The cases examined, alongside the wave of responses provided by the Courts, convey a coherent message that the legal profession is not being told to abandon AI entirely, but to take accountability for it and to engage in responsible use. The Federal Court of Australia acknowledged the potential benefits of Gen AI in </w:t>
      </w:r>
      <w:r w:rsidRPr="00A34A7D">
        <w:rPr>
          <w:i/>
          <w:iCs/>
          <w:kern w:val="2"/>
          <w14:ligatures w14:val="standardContextual"/>
        </w:rPr>
        <w:t>GPN-AI</w:t>
      </w:r>
      <w:r w:rsidRPr="00A34A7D">
        <w:rPr>
          <w:kern w:val="2"/>
          <w14:ligatures w14:val="standardContextual"/>
        </w:rPr>
        <w:t>, stating that Gen AI has the potential to improve efficiency in dispute resolution, reducing costs, improving access to justice and the quality of the administration of justice.</w:t>
      </w:r>
      <w:r w:rsidRPr="00A34A7D">
        <w:rPr>
          <w:kern w:val="2"/>
          <w:vertAlign w:val="superscript"/>
          <w14:ligatures w14:val="standardContextual"/>
        </w:rPr>
        <w:footnoteReference w:id="25"/>
      </w:r>
      <w:r w:rsidRPr="00A34A7D">
        <w:rPr>
          <w:kern w:val="2"/>
          <w14:ligatures w14:val="standardContextual"/>
        </w:rPr>
        <w:t xml:space="preserve"> In the cases previously observed, the practitioners had mistaken the fluency and confidence of the AI output for accuracy, each case had plausible citations and quotations and seemed complete at face value. This is why reliance without review is so dangerous.</w:t>
      </w:r>
    </w:p>
    <w:p w14:paraId="00B511BF" w14:textId="77777777" w:rsidR="00A34A7D" w:rsidRPr="00A34A7D" w:rsidRDefault="00A34A7D" w:rsidP="00A34A7D">
      <w:pPr>
        <w:spacing w:after="160"/>
        <w:rPr>
          <w:kern w:val="2"/>
          <w14:ligatures w14:val="standardContextual"/>
        </w:rPr>
      </w:pPr>
      <w:r w:rsidRPr="00A34A7D">
        <w:rPr>
          <w:kern w:val="2"/>
          <w14:ligatures w14:val="standardContextual"/>
        </w:rPr>
        <w:t xml:space="preserve">The court response clearly outlines what entails responsible use. As stated in </w:t>
      </w:r>
      <w:r w:rsidRPr="00A34A7D">
        <w:rPr>
          <w:i/>
          <w:iCs/>
          <w:kern w:val="2"/>
          <w14:ligatures w14:val="standardContextual"/>
        </w:rPr>
        <w:t>Practice Note SC Gen 23</w:t>
      </w:r>
      <w:r w:rsidRPr="00A34A7D">
        <w:rPr>
          <w:kern w:val="2"/>
          <w14:ligatures w14:val="standardContextual"/>
        </w:rPr>
        <w:t xml:space="preserve">, AI may be used for generating chronologies, indexes and witness </w:t>
      </w:r>
      <w:proofErr w:type="gramStart"/>
      <w:r w:rsidRPr="00A34A7D">
        <w:rPr>
          <w:kern w:val="2"/>
          <w14:ligatures w14:val="standardContextual"/>
        </w:rPr>
        <w:t>lists;</w:t>
      </w:r>
      <w:proofErr w:type="gramEnd"/>
      <w:r w:rsidRPr="00A34A7D">
        <w:rPr>
          <w:kern w:val="2"/>
          <w14:ligatures w14:val="standardContextual"/>
        </w:rPr>
        <w:t xml:space="preserve"> preparing briefs or drafting Crown case statements, summarising or reviewing documents and preparing written submissions or summaries of argument. When preparing argument summaries or written submissions, the author must verify that the information is accurate, relevant and that authorities exist.</w:t>
      </w:r>
      <w:r w:rsidRPr="00A34A7D">
        <w:rPr>
          <w:kern w:val="2"/>
          <w:vertAlign w:val="superscript"/>
          <w14:ligatures w14:val="standardContextual"/>
        </w:rPr>
        <w:footnoteReference w:id="26"/>
      </w:r>
      <w:r w:rsidRPr="00A34A7D">
        <w:rPr>
          <w:kern w:val="2"/>
          <w14:ligatures w14:val="standardContextual"/>
        </w:rPr>
        <w:t xml:space="preserve"> Practitioners must also act with care and diligence to ensure that confidential and privileged information is kept private, meaning that this information should not be uploaded to a ‘generally accessible’ AI tool and should use ‘closed’ AI tools to preserve the integrity of the information. However, if outputs from closed AI tools are used for different purposes, it may constitute breach of obligations.</w:t>
      </w:r>
      <w:r w:rsidRPr="00A34A7D">
        <w:rPr>
          <w:kern w:val="2"/>
          <w:vertAlign w:val="superscript"/>
          <w14:ligatures w14:val="standardContextual"/>
        </w:rPr>
        <w:footnoteReference w:id="27"/>
      </w:r>
    </w:p>
    <w:p w14:paraId="54B204E1" w14:textId="08A039A5" w:rsidR="000F108B" w:rsidRPr="00BD77CC" w:rsidRDefault="00A34A7D" w:rsidP="00BD77CC">
      <w:pPr>
        <w:spacing w:after="160"/>
        <w:rPr>
          <w:kern w:val="2"/>
          <w14:ligatures w14:val="standardContextual"/>
        </w:rPr>
      </w:pPr>
      <w:r w:rsidRPr="00A34A7D">
        <w:rPr>
          <w:kern w:val="2"/>
          <w14:ligatures w14:val="standardContextual"/>
        </w:rPr>
        <w:t xml:space="preserve">The cases discussed covered the risks for solicitors when there is uncritical reliance on AI, however, there is a deeper issue to acknowledge. In </w:t>
      </w:r>
      <w:r w:rsidRPr="00A34A7D">
        <w:rPr>
          <w:i/>
          <w:iCs/>
          <w:kern w:val="2"/>
          <w14:ligatures w14:val="standardContextual"/>
        </w:rPr>
        <w:t xml:space="preserve">Valu v MIMA </w:t>
      </w:r>
      <w:r w:rsidRPr="00A34A7D">
        <w:rPr>
          <w:kern w:val="2"/>
          <w14:ligatures w14:val="standardContextual"/>
        </w:rPr>
        <w:t>as noted before, a considerable amount of the Court’s and associates’ time was spent trying to locate the non-existent cases.</w:t>
      </w:r>
      <w:r w:rsidRPr="00A34A7D">
        <w:rPr>
          <w:kern w:val="2"/>
          <w:vertAlign w:val="superscript"/>
          <w14:ligatures w14:val="standardContextual"/>
        </w:rPr>
        <w:footnoteReference w:id="28"/>
      </w:r>
      <w:r w:rsidRPr="00A34A7D">
        <w:rPr>
          <w:kern w:val="2"/>
          <w14:ligatures w14:val="standardContextual"/>
        </w:rPr>
        <w:t xml:space="preserve"> This time should have been spent on other matters. The message here is that responsible use of AI is not only about individual compliance, but about maintaining the integrity and reliability of the justice system.</w:t>
      </w:r>
    </w:p>
    <w:p w14:paraId="698F75F1" w14:textId="1ED3DC73" w:rsidR="000F108B" w:rsidRDefault="001C6A9D" w:rsidP="00235853">
      <w:r>
        <w:rPr>
          <w:noProof/>
        </w:rPr>
        <mc:AlternateContent>
          <mc:Choice Requires="wpg">
            <w:drawing>
              <wp:anchor distT="0" distB="0" distL="114300" distR="114300" simplePos="0" relativeHeight="251681792" behindDoc="0" locked="0" layoutInCell="1" allowOverlap="1" wp14:anchorId="121B674F" wp14:editId="1C551674">
                <wp:simplePos x="0" y="0"/>
                <wp:positionH relativeFrom="column">
                  <wp:posOffset>-685800</wp:posOffset>
                </wp:positionH>
                <wp:positionV relativeFrom="paragraph">
                  <wp:posOffset>1902460</wp:posOffset>
                </wp:positionV>
                <wp:extent cx="7546340" cy="1084580"/>
                <wp:effectExtent l="0" t="12700" r="0" b="7620"/>
                <wp:wrapNone/>
                <wp:docPr id="168221322" name="Group 31"/>
                <wp:cNvGraphicFramePr/>
                <a:graphic xmlns:a="http://schemas.openxmlformats.org/drawingml/2006/main">
                  <a:graphicData uri="http://schemas.microsoft.com/office/word/2010/wordprocessingGroup">
                    <wpg:wgp>
                      <wpg:cNvGrpSpPr/>
                      <wpg:grpSpPr>
                        <a:xfrm>
                          <a:off x="0" y="0"/>
                          <a:ext cx="7546340" cy="1084580"/>
                          <a:chOff x="35306" y="1597660"/>
                          <a:chExt cx="7546340" cy="1085088"/>
                        </a:xfrm>
                      </wpg:grpSpPr>
                      <wps:wsp>
                        <wps:cNvPr id="1493187613" name="Text Box 27"/>
                        <wps:cNvSpPr txBox="1"/>
                        <wps:spPr>
                          <a:xfrm>
                            <a:off x="35306" y="1914008"/>
                            <a:ext cx="7546340" cy="488193"/>
                          </a:xfrm>
                          <a:prstGeom prst="rect">
                            <a:avLst/>
                          </a:prstGeom>
                          <a:noFill/>
                          <a:ln w="6350">
                            <a:noFill/>
                          </a:ln>
                        </wps:spPr>
                        <wps:txbx>
                          <w:txbxContent>
                            <w:p w14:paraId="2AEBA7A0" w14:textId="4F439EFE" w:rsidR="009470FA" w:rsidRPr="001C6A9D" w:rsidRDefault="009470FA" w:rsidP="001C6A9D">
                              <w:pPr>
                                <w:pStyle w:val="Title"/>
                                <w:rPr>
                                  <w:rStyle w:val="Strong"/>
                                </w:rPr>
                              </w:pPr>
                              <w:r w:rsidRPr="001C6A9D">
                                <w:rPr>
                                  <w:rStyle w:val="Strong"/>
                                </w:rPr>
                                <w:t>LAW STUDENT REVIEW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86141420" name="Straight Connector 27"/>
                        <wps:cNvCnPr/>
                        <wps:spPr>
                          <a:xfrm>
                            <a:off x="256032" y="1597660"/>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2089456829" name="Straight Connector 27"/>
                        <wps:cNvCnPr/>
                        <wps:spPr>
                          <a:xfrm>
                            <a:off x="256032" y="2682748"/>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21B674F" id="_x0000_s1034" style="position:absolute;margin-left:-54pt;margin-top:149.8pt;width:594.2pt;height:85.4pt;z-index:251681792;mso-width-relative:margin;mso-height-relative:margin" coordorigin="353,15976" coordsize="75463,108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">
                <v:shape id="_x0000_s1035" type="#_x0000_t202" style="position:absolute;left:353;top:19140;width:75463;height:48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" filled="f" stroked="f" strokeweight=".5pt">
                  <v:textbox>
                    <w:txbxContent>
                      <w:p w14:paraId="2AEBA7A0" w14:textId="4F439EFE" w:rsidR="009470FA" w:rsidRPr="001C6A9D" w:rsidRDefault="009470FA" w:rsidP="001C6A9D">
                        <w:pPr>
                          <w:pStyle w:val="Title"/>
                          <w:rPr>
                            <w:rStyle w:val="Strong"/>
                          </w:rPr>
                        </w:pPr>
                        <w:r w:rsidRPr="001C6A9D">
                          <w:rPr>
                            <w:rStyle w:val="Strong"/>
                          </w:rPr>
                          <w:t>LAW STUDENT REVIEW</w:t>
                        </w:r>
                      </w:p>
                    </w:txbxContent>
                  </v:textbox>
                </v:shape>
                <v:line id="Straight Connector 27" o:spid="_x0000_s1036" style="position:absolute;visibility:visible;mso-wrap-style:square" from="2560,15976" to="73634,1597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" strokecolor="white [3212]" strokeweight="2pt">
                  <v:stroke joinstyle="miter"/>
                </v:line>
                <v:line id="Straight Connector 27" o:spid="_x0000_s1037" style="position:absolute;visibility:visible;mso-wrap-style:square" from="2560,26827" to="73634,2682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" strokecolor="white [3212]" strokeweight="2pt">
                  <v:stroke joinstyle="miter"/>
                </v:line>
              </v:group>
            </w:pict>
          </mc:Fallback>
        </mc:AlternateContent>
      </w:r>
      <w:r w:rsidR="0095632F">
        <w:rPr>
          <w:noProof/>
        </w:rPr>
        <mc:AlternateContent>
          <mc:Choice Requires="wps">
            <w:drawing>
              <wp:anchor distT="0" distB="0" distL="114300" distR="114300" simplePos="0" relativeHeight="251683840" behindDoc="0" locked="0" layoutInCell="1" allowOverlap="1" wp14:anchorId="2BE59E55" wp14:editId="40BCEAFD">
                <wp:simplePos x="0" y="0"/>
                <wp:positionH relativeFrom="column">
                  <wp:posOffset>-161544</wp:posOffset>
                </wp:positionH>
                <wp:positionV relativeFrom="paragraph">
                  <wp:posOffset>3340608</wp:posOffset>
                </wp:positionV>
                <wp:extent cx="6449568" cy="560832"/>
                <wp:effectExtent l="0" t="0" r="0" b="0"/>
                <wp:wrapNone/>
                <wp:docPr id="1144751722" name="Text Box 27"/>
                <wp:cNvGraphicFramePr/>
                <a:graphic xmlns:a="http://schemas.openxmlformats.org/drawingml/2006/main">
                  <a:graphicData uri="http://schemas.microsoft.com/office/word/2010/wordprocessingShape">
                    <wps:wsp>
                      <wps:cNvSpPr txBox="1"/>
                      <wps:spPr>
                        <a:xfrm>
                          <a:off x="0" y="0"/>
                          <a:ext cx="6449568" cy="560832"/>
                        </a:xfrm>
                        <a:prstGeom prst="rect">
                          <a:avLst/>
                        </a:prstGeom>
                        <a:noFill/>
                        <a:ln w="6350">
                          <a:noFill/>
                        </a:ln>
                      </wps:spPr>
                      <wps:txbx>
                        <w:txbxContent>
                          <w:p w14:paraId="2D52EFFE" w14:textId="2A439BF2" w:rsidR="0095632F" w:rsidRPr="00E23ACE" w:rsidRDefault="0095632F" w:rsidP="00235853">
                            <w:pPr>
                              <w:pStyle w:val="Subtitle"/>
                              <w:rPr>
                                <w:rStyle w:val="SubtleEmphasis"/>
                              </w:rPr>
                            </w:pPr>
                            <w:r w:rsidRPr="00E23ACE">
                              <w:rPr>
                                <w:rStyle w:val="SubtleEmphasis"/>
                              </w:rPr>
                              <w:t xml:space="preserve">Disclaimer: The views expressed herein are solely those of the author and do not necessarily reflect </w:t>
                            </w:r>
                            <w:r w:rsidR="00E0232C" w:rsidRPr="00E23ACE">
                              <w:rPr>
                                <w:rStyle w:val="SubtleEmphasis"/>
                              </w:rPr>
                              <w:t>other authors or the Law Student Review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BE59E55" id="Text Box 27" o:spid="_x0000_s1038" type="#_x0000_t202" style="position:absolute;margin-left:-12.7pt;margin-top:263.05pt;width:507.85pt;height:44.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" filled="f" stroked="f" strokeweight=".5pt">
                <v:textbox>
                  <w:txbxContent>
                    <w:p w14:paraId="2D52EFFE" w14:textId="2A439BF2" w:rsidR="0095632F" w:rsidRPr="00E23ACE" w:rsidRDefault="0095632F" w:rsidP="00235853">
                      <w:pPr>
                        <w:pStyle w:val="Subtitle"/>
                        <w:rPr>
                          <w:rStyle w:val="SubtleEmphasis"/>
                        </w:rPr>
                      </w:pPr>
                      <w:r w:rsidRPr="00E23ACE">
                        <w:rPr>
                          <w:rStyle w:val="SubtleEmphasis"/>
                        </w:rPr>
                        <w:t xml:space="preserve">Disclaimer: The views expressed herein are solely those of the author and do not necessarily reflect </w:t>
                      </w:r>
                      <w:r w:rsidR="00E0232C" w:rsidRPr="00E23ACE">
                        <w:rPr>
                          <w:rStyle w:val="SubtleEmphasis"/>
                        </w:rPr>
                        <w:t>other authors or the Law Student Review</w:t>
                      </w:r>
                    </w:p>
                  </w:txbxContent>
                </v:textbox>
              </v:shape>
            </w:pict>
          </mc:Fallback>
        </mc:AlternateContent>
      </w:r>
      <w:r w:rsidR="008A391C">
        <w:rPr>
          <w:noProof/>
        </w:rPr>
        <mc:AlternateContent>
          <mc:Choice Requires="wps">
            <w:drawing>
              <wp:anchor distT="0" distB="0" distL="114300" distR="114300" simplePos="0" relativeHeight="251646972" behindDoc="0" locked="0" layoutInCell="1" allowOverlap="1" wp14:anchorId="2CEEBA33" wp14:editId="685847FB">
                <wp:simplePos x="0" y="0"/>
                <wp:positionH relativeFrom="column">
                  <wp:posOffset>-685165</wp:posOffset>
                </wp:positionH>
                <wp:positionV relativeFrom="paragraph">
                  <wp:posOffset>-926465</wp:posOffset>
                </wp:positionV>
                <wp:extent cx="7545720" cy="10668000"/>
                <wp:effectExtent l="0" t="0" r="10795" b="12700"/>
                <wp:wrapNone/>
                <wp:docPr id="1958028090" name="Rectangle 32"/>
                <wp:cNvGraphicFramePr/>
                <a:graphic xmlns:a="http://schemas.openxmlformats.org/drawingml/2006/main">
                  <a:graphicData uri="http://schemas.microsoft.com/office/word/2010/wordprocessingShape">
                    <wps:wsp>
                      <wps:cNvSpPr/>
                      <wps:spPr>
                        <a:xfrm>
                          <a:off x="0" y="0"/>
                          <a:ext cx="7545720" cy="10668000"/>
                        </a:xfrm>
                        <a:prstGeom prst="rect">
                          <a:avLst/>
                        </a:prstGeom>
                        <a:solidFill>
                          <a:schemeClr val="tx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3D01373" id="Rectangle 32" o:spid="_x0000_s1026" style="position:absolute;margin-left:-53.95pt;margin-top:-72.95pt;width:594.15pt;height:840pt;z-index:2516469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" fillcolor="#0e2841 [3215]" strokecolor="#030e13 [484]" strokeweight="1pt"/>
            </w:pict>
          </mc:Fallback>
        </mc:AlternateContent>
      </w:r>
      <w:r w:rsidR="00EF6D7D">
        <w:rPr>
          <w:noProof/>
        </w:rPr>
        <mc:AlternateContent>
          <mc:Choice Requires="wps">
            <w:drawing>
              <wp:anchor distT="0" distB="0" distL="114300" distR="114300" simplePos="0" relativeHeight="251662336" behindDoc="0" locked="0" layoutInCell="1" allowOverlap="1" wp14:anchorId="0C3EA4BA" wp14:editId="6ACC2562">
                <wp:simplePos x="0" y="0"/>
                <wp:positionH relativeFrom="column">
                  <wp:posOffset>-685800</wp:posOffset>
                </wp:positionH>
                <wp:positionV relativeFrom="paragraph">
                  <wp:posOffset>-926592</wp:posOffset>
                </wp:positionV>
                <wp:extent cx="6668770" cy="0"/>
                <wp:effectExtent l="0" t="0" r="11430" b="12700"/>
                <wp:wrapNone/>
                <wp:docPr id="1913028425" name="Straight Connector 22"/>
                <wp:cNvGraphicFramePr/>
                <a:graphic xmlns:a="http://schemas.openxmlformats.org/drawingml/2006/main">
                  <a:graphicData uri="http://schemas.microsoft.com/office/word/2010/wordprocessingShape">
                    <wps:wsp>
                      <wps:cNvCnPr/>
                      <wps:spPr>
                        <a:xfrm>
                          <a:off x="0" y="0"/>
                          <a:ext cx="666877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0482638F" id="Straight Connector 22"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pt,-72.95pt" to="471.1pt,-7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" strokecolor="white [3212]" strokeweight=".5pt">
                <v:stroke joinstyle="miter"/>
              </v:line>
            </w:pict>
          </mc:Fallback>
        </mc:AlternateContent>
      </w:r>
    </w:p>
    <w:sectPr w:rsidR="000F108B" w:rsidSect="00334ADB">
      <w:footerReference w:type="even" r:id="rId8"/>
      <w:footerReference w:type="default" r:id="rId9"/>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C328B" w14:textId="77777777" w:rsidR="00A54425" w:rsidRDefault="00A54425" w:rsidP="00235853">
      <w:r>
        <w:separator/>
      </w:r>
    </w:p>
  </w:endnote>
  <w:endnote w:type="continuationSeparator" w:id="0">
    <w:p w14:paraId="6135AD60" w14:textId="77777777" w:rsidR="00A54425" w:rsidRDefault="00A54425" w:rsidP="00235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31162930"/>
      <w:docPartObj>
        <w:docPartGallery w:val="Page Numbers (Bottom of Page)"/>
        <w:docPartUnique/>
      </w:docPartObj>
    </w:sdtPr>
    <w:sdtContent>
      <w:p w14:paraId="4E6ABFC8" w14:textId="3653FED2" w:rsidR="00334ADB" w:rsidRDefault="00334ADB" w:rsidP="00235853">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D0A742B" w14:textId="77777777" w:rsidR="00334ADB" w:rsidRDefault="00334ADB" w:rsidP="002358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0F5DF" w14:textId="32A2F460" w:rsidR="00334ADB" w:rsidRDefault="00000000" w:rsidP="00235853">
    <w:pPr>
      <w:pStyle w:val="Footer"/>
      <w:jc w:val="right"/>
    </w:pPr>
    <w:sdt>
      <w:sdtPr>
        <w:rPr>
          <w:rStyle w:val="PageNumber"/>
        </w:rPr>
        <w:id w:val="1063142190"/>
        <w:docPartObj>
          <w:docPartGallery w:val="Page Numbers (Bottom of Page)"/>
          <w:docPartUnique/>
        </w:docPartObj>
      </w:sdtPr>
      <w:sdtContent>
        <w:r w:rsidR="00334ADB">
          <w:rPr>
            <w:rStyle w:val="PageNumber"/>
          </w:rPr>
          <w:fldChar w:fldCharType="begin"/>
        </w:r>
        <w:r w:rsidR="00334ADB">
          <w:rPr>
            <w:rStyle w:val="PageNumber"/>
          </w:rPr>
          <w:instrText xml:space="preserve"> PAGE </w:instrText>
        </w:r>
        <w:r w:rsidR="00334ADB">
          <w:rPr>
            <w:rStyle w:val="PageNumber"/>
          </w:rPr>
          <w:fldChar w:fldCharType="separate"/>
        </w:r>
        <w:r w:rsidR="00334ADB">
          <w:rPr>
            <w:rStyle w:val="PageNumber"/>
            <w:noProof/>
          </w:rPr>
          <w:t>3</w:t>
        </w:r>
        <w:r w:rsidR="00334ADB">
          <w:rPr>
            <w:rStyle w:val="PageNumber"/>
          </w:rPr>
          <w:fldChar w:fldCharType="end"/>
        </w:r>
      </w:sdtContent>
    </w:sdt>
    <w:r w:rsidR="00235853">
      <w:rPr>
        <w:rStyle w:val="PageNumber"/>
      </w:rPr>
      <w:t xml:space="preserve"> </w:t>
    </w:r>
    <w:r w:rsidR="00334ADB">
      <w:t>| 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086E0" w14:textId="77777777" w:rsidR="00A54425" w:rsidRDefault="00A54425" w:rsidP="00235853">
      <w:r>
        <w:separator/>
      </w:r>
    </w:p>
  </w:footnote>
  <w:footnote w:type="continuationSeparator" w:id="0">
    <w:p w14:paraId="536FE57C" w14:textId="77777777" w:rsidR="00A54425" w:rsidRDefault="00A54425" w:rsidP="00235853">
      <w:r>
        <w:continuationSeparator/>
      </w:r>
    </w:p>
  </w:footnote>
  <w:footnote w:id="1">
    <w:p w14:paraId="2C2D2C41" w14:textId="77777777" w:rsidR="00A34A7D" w:rsidRPr="00F935B3" w:rsidRDefault="00A34A7D">
      <w:pPr>
        <w:pStyle w:val="FootnoteText"/>
        <w:rPr>
          <w:rFonts w:ascii="Times New Roman" w:hAnsi="Times New Roman" w:cs="Times New Roman"/>
        </w:rPr>
      </w:pPr>
      <w:r w:rsidRPr="00F935B3">
        <w:rPr>
          <w:rStyle w:val="FootnoteReference"/>
          <w:rFonts w:ascii="Times New Roman" w:hAnsi="Times New Roman" w:cs="Times New Roman"/>
        </w:rPr>
        <w:footnoteRef/>
      </w:r>
      <w:r w:rsidRPr="00F935B3">
        <w:rPr>
          <w:rFonts w:ascii="Times New Roman" w:hAnsi="Times New Roman" w:cs="Times New Roman"/>
        </w:rPr>
        <w:t xml:space="preserve"> </w:t>
      </w:r>
      <w:r w:rsidRPr="00F935B3">
        <w:rPr>
          <w:rFonts w:ascii="Times New Roman" w:hAnsi="Times New Roman" w:cs="Times New Roman"/>
          <w:i/>
          <w:iCs/>
        </w:rPr>
        <w:t xml:space="preserve">Dayal </w:t>
      </w:r>
      <w:r w:rsidRPr="00F935B3">
        <w:rPr>
          <w:rFonts w:ascii="Times New Roman" w:hAnsi="Times New Roman" w:cs="Times New Roman"/>
        </w:rPr>
        <w:t>[2024] FedCFamC2F 1166 (‘</w:t>
      </w:r>
      <w:r w:rsidRPr="00F935B3">
        <w:rPr>
          <w:rFonts w:ascii="Times New Roman" w:hAnsi="Times New Roman" w:cs="Times New Roman"/>
          <w:i/>
          <w:iCs/>
        </w:rPr>
        <w:t>Dayal</w:t>
      </w:r>
      <w:r w:rsidRPr="00F935B3">
        <w:rPr>
          <w:rFonts w:ascii="Times New Roman" w:hAnsi="Times New Roman" w:cs="Times New Roman"/>
        </w:rPr>
        <w:t>’).</w:t>
      </w:r>
    </w:p>
  </w:footnote>
  <w:footnote w:id="2">
    <w:p w14:paraId="5C078379" w14:textId="77777777" w:rsidR="00A34A7D" w:rsidRPr="00F935B3" w:rsidRDefault="00A34A7D">
      <w:pPr>
        <w:pStyle w:val="FootnoteText"/>
        <w:rPr>
          <w:rFonts w:ascii="Times New Roman" w:hAnsi="Times New Roman" w:cs="Times New Roman"/>
        </w:rPr>
      </w:pPr>
      <w:r w:rsidRPr="00F935B3">
        <w:rPr>
          <w:rStyle w:val="FootnoteReference"/>
          <w:rFonts w:ascii="Times New Roman" w:hAnsi="Times New Roman" w:cs="Times New Roman"/>
        </w:rPr>
        <w:footnoteRef/>
      </w:r>
      <w:r w:rsidRPr="00F935B3">
        <w:rPr>
          <w:rFonts w:ascii="Times New Roman" w:hAnsi="Times New Roman" w:cs="Times New Roman"/>
        </w:rPr>
        <w:t xml:space="preserve"> </w:t>
      </w:r>
      <w:r w:rsidRPr="00F935B3">
        <w:rPr>
          <w:rFonts w:ascii="Times New Roman" w:hAnsi="Times New Roman" w:cs="Times New Roman"/>
          <w:i/>
          <w:iCs/>
        </w:rPr>
        <w:t>Valu v Minister for Immigration and Multicultural Affairs (No 2)</w:t>
      </w:r>
      <w:r w:rsidRPr="00F935B3">
        <w:rPr>
          <w:rFonts w:ascii="Times New Roman" w:hAnsi="Times New Roman" w:cs="Times New Roman"/>
        </w:rPr>
        <w:t xml:space="preserve"> [2025] FedCFamC2G 95 (‘</w:t>
      </w:r>
      <w:r w:rsidRPr="00F935B3">
        <w:rPr>
          <w:rFonts w:ascii="Times New Roman" w:hAnsi="Times New Roman" w:cs="Times New Roman"/>
          <w:i/>
          <w:iCs/>
        </w:rPr>
        <w:t>Valu v MIMA’).</w:t>
      </w:r>
    </w:p>
  </w:footnote>
  <w:footnote w:id="3">
    <w:p w14:paraId="274B9E69" w14:textId="77777777" w:rsidR="00A34A7D" w:rsidRPr="00F935B3" w:rsidRDefault="00A34A7D">
      <w:pPr>
        <w:pStyle w:val="FootnoteText"/>
        <w:rPr>
          <w:rFonts w:ascii="Times New Roman" w:hAnsi="Times New Roman" w:cs="Times New Roman"/>
        </w:rPr>
      </w:pPr>
      <w:r w:rsidRPr="00F935B3">
        <w:rPr>
          <w:rStyle w:val="FootnoteReference"/>
          <w:rFonts w:ascii="Times New Roman" w:hAnsi="Times New Roman" w:cs="Times New Roman"/>
        </w:rPr>
        <w:footnoteRef/>
      </w:r>
      <w:r w:rsidRPr="00F935B3">
        <w:rPr>
          <w:rFonts w:ascii="Times New Roman" w:hAnsi="Times New Roman" w:cs="Times New Roman"/>
        </w:rPr>
        <w:t xml:space="preserve"> </w:t>
      </w:r>
      <w:r w:rsidRPr="00F935B3">
        <w:rPr>
          <w:rFonts w:ascii="Times New Roman" w:hAnsi="Times New Roman" w:cs="Times New Roman"/>
          <w:i/>
          <w:iCs/>
        </w:rPr>
        <w:t>Mata v. Avianca, Inc, </w:t>
      </w:r>
      <w:r w:rsidRPr="00F935B3">
        <w:rPr>
          <w:rFonts w:ascii="Times New Roman" w:hAnsi="Times New Roman" w:cs="Times New Roman"/>
        </w:rPr>
        <w:t>678 F.Supp.3d 443 (S.D.N.Y. 2023) (</w:t>
      </w:r>
      <w:r w:rsidRPr="00F935B3">
        <w:rPr>
          <w:rFonts w:ascii="Times New Roman" w:hAnsi="Times New Roman" w:cs="Times New Roman"/>
          <w:i/>
          <w:iCs/>
        </w:rPr>
        <w:t>Mata v. Avianca</w:t>
      </w:r>
      <w:r w:rsidRPr="00F935B3">
        <w:rPr>
          <w:rFonts w:ascii="Times New Roman" w:hAnsi="Times New Roman" w:cs="Times New Roman"/>
        </w:rPr>
        <w:t>).</w:t>
      </w:r>
    </w:p>
  </w:footnote>
  <w:footnote w:id="4">
    <w:p w14:paraId="1B08F9BD" w14:textId="77777777" w:rsidR="00A34A7D" w:rsidRPr="00F935B3" w:rsidRDefault="00A34A7D" w:rsidP="00A0260B">
      <w:pPr>
        <w:pStyle w:val="FootnoteText"/>
        <w:rPr>
          <w:rFonts w:ascii="Times New Roman" w:hAnsi="Times New Roman" w:cs="Times New Roman"/>
        </w:rPr>
      </w:pPr>
      <w:r w:rsidRPr="00F935B3">
        <w:rPr>
          <w:rStyle w:val="FootnoteReference"/>
          <w:rFonts w:ascii="Times New Roman" w:hAnsi="Times New Roman" w:cs="Times New Roman"/>
        </w:rPr>
        <w:footnoteRef/>
      </w:r>
      <w:r w:rsidRPr="00F935B3">
        <w:rPr>
          <w:rFonts w:ascii="Times New Roman" w:hAnsi="Times New Roman" w:cs="Times New Roman"/>
        </w:rPr>
        <w:t xml:space="preserve"> Dayal (n 1), [11]-[12].</w:t>
      </w:r>
    </w:p>
  </w:footnote>
  <w:footnote w:id="5">
    <w:p w14:paraId="42618819" w14:textId="77777777" w:rsidR="00A34A7D" w:rsidRPr="00F935B3" w:rsidRDefault="00A34A7D">
      <w:pPr>
        <w:pStyle w:val="FootnoteText"/>
        <w:rPr>
          <w:rFonts w:ascii="Times New Roman" w:hAnsi="Times New Roman" w:cs="Times New Roman"/>
        </w:rPr>
      </w:pPr>
      <w:r w:rsidRPr="00F935B3">
        <w:rPr>
          <w:rStyle w:val="FootnoteReference"/>
          <w:rFonts w:ascii="Times New Roman" w:hAnsi="Times New Roman" w:cs="Times New Roman"/>
        </w:rPr>
        <w:footnoteRef/>
      </w:r>
      <w:r w:rsidRPr="00F935B3">
        <w:rPr>
          <w:rFonts w:ascii="Times New Roman" w:hAnsi="Times New Roman" w:cs="Times New Roman"/>
        </w:rPr>
        <w:t xml:space="preserve"> Ibid [1]-[5].</w:t>
      </w:r>
    </w:p>
  </w:footnote>
  <w:footnote w:id="6">
    <w:p w14:paraId="32AF0904" w14:textId="77777777" w:rsidR="00A34A7D" w:rsidRPr="00F935B3" w:rsidRDefault="00A34A7D">
      <w:pPr>
        <w:pStyle w:val="FootnoteText"/>
        <w:rPr>
          <w:rFonts w:ascii="Times New Roman" w:hAnsi="Times New Roman" w:cs="Times New Roman"/>
        </w:rPr>
      </w:pPr>
      <w:r w:rsidRPr="00F935B3">
        <w:rPr>
          <w:rStyle w:val="FootnoteReference"/>
          <w:rFonts w:ascii="Times New Roman" w:hAnsi="Times New Roman" w:cs="Times New Roman"/>
        </w:rPr>
        <w:footnoteRef/>
      </w:r>
      <w:r w:rsidRPr="00F935B3">
        <w:rPr>
          <w:rFonts w:ascii="Times New Roman" w:hAnsi="Times New Roman" w:cs="Times New Roman"/>
        </w:rPr>
        <w:t xml:space="preserve"> Ibid [21]-[22].</w:t>
      </w:r>
    </w:p>
  </w:footnote>
  <w:footnote w:id="7">
    <w:p w14:paraId="7FF9A16F" w14:textId="77777777" w:rsidR="00A34A7D" w:rsidRPr="00F935B3" w:rsidRDefault="00A34A7D">
      <w:pPr>
        <w:pStyle w:val="FootnoteText"/>
        <w:rPr>
          <w:rFonts w:ascii="Times New Roman" w:hAnsi="Times New Roman" w:cs="Times New Roman"/>
        </w:rPr>
      </w:pPr>
      <w:r w:rsidRPr="00F935B3">
        <w:rPr>
          <w:rStyle w:val="FootnoteReference"/>
          <w:rFonts w:ascii="Times New Roman" w:hAnsi="Times New Roman" w:cs="Times New Roman"/>
        </w:rPr>
        <w:footnoteRef/>
      </w:r>
      <w:r w:rsidRPr="00F935B3">
        <w:rPr>
          <w:rFonts w:ascii="Times New Roman" w:hAnsi="Times New Roman" w:cs="Times New Roman"/>
        </w:rPr>
        <w:t xml:space="preserve"> </w:t>
      </w:r>
      <w:r w:rsidRPr="00F935B3">
        <w:rPr>
          <w:rFonts w:ascii="Times New Roman" w:hAnsi="Times New Roman" w:cs="Times New Roman"/>
          <w:i/>
          <w:iCs/>
        </w:rPr>
        <w:t xml:space="preserve">Valu v MIMA </w:t>
      </w:r>
      <w:r w:rsidRPr="00F935B3">
        <w:rPr>
          <w:rFonts w:ascii="Times New Roman" w:hAnsi="Times New Roman" w:cs="Times New Roman"/>
        </w:rPr>
        <w:t>(n 2), [1]-[3].</w:t>
      </w:r>
    </w:p>
  </w:footnote>
  <w:footnote w:id="8">
    <w:p w14:paraId="26B32E5D" w14:textId="77777777" w:rsidR="00A34A7D" w:rsidRPr="00F935B3" w:rsidRDefault="00A34A7D">
      <w:pPr>
        <w:pStyle w:val="FootnoteText"/>
        <w:rPr>
          <w:rFonts w:ascii="Times New Roman" w:hAnsi="Times New Roman" w:cs="Times New Roman"/>
        </w:rPr>
      </w:pPr>
      <w:r w:rsidRPr="00F935B3">
        <w:rPr>
          <w:rStyle w:val="FootnoteReference"/>
          <w:rFonts w:ascii="Times New Roman" w:hAnsi="Times New Roman" w:cs="Times New Roman"/>
        </w:rPr>
        <w:footnoteRef/>
      </w:r>
      <w:r w:rsidRPr="00F935B3">
        <w:rPr>
          <w:rFonts w:ascii="Times New Roman" w:hAnsi="Times New Roman" w:cs="Times New Roman"/>
        </w:rPr>
        <w:t xml:space="preserve"> Ibid [4].</w:t>
      </w:r>
    </w:p>
  </w:footnote>
  <w:footnote w:id="9">
    <w:p w14:paraId="4306762F" w14:textId="77777777" w:rsidR="00A34A7D" w:rsidRPr="00F935B3" w:rsidRDefault="00A34A7D">
      <w:pPr>
        <w:pStyle w:val="FootnoteText"/>
        <w:rPr>
          <w:rFonts w:ascii="Times New Roman" w:hAnsi="Times New Roman" w:cs="Times New Roman"/>
        </w:rPr>
      </w:pPr>
      <w:r w:rsidRPr="00F935B3">
        <w:rPr>
          <w:rStyle w:val="FootnoteReference"/>
          <w:rFonts w:ascii="Times New Roman" w:hAnsi="Times New Roman" w:cs="Times New Roman"/>
        </w:rPr>
        <w:footnoteRef/>
      </w:r>
      <w:r w:rsidRPr="00F935B3">
        <w:rPr>
          <w:rFonts w:ascii="Times New Roman" w:hAnsi="Times New Roman" w:cs="Times New Roman"/>
        </w:rPr>
        <w:t xml:space="preserve"> Ibid [22].</w:t>
      </w:r>
    </w:p>
  </w:footnote>
  <w:footnote w:id="10">
    <w:p w14:paraId="69F0BF17" w14:textId="77777777" w:rsidR="00A34A7D" w:rsidRPr="00F935B3" w:rsidRDefault="00A34A7D">
      <w:pPr>
        <w:pStyle w:val="FootnoteText"/>
        <w:rPr>
          <w:rFonts w:ascii="Times New Roman" w:hAnsi="Times New Roman" w:cs="Times New Roman"/>
        </w:rPr>
      </w:pPr>
      <w:r w:rsidRPr="00F935B3">
        <w:rPr>
          <w:rStyle w:val="FootnoteReference"/>
          <w:rFonts w:ascii="Times New Roman" w:hAnsi="Times New Roman" w:cs="Times New Roman"/>
        </w:rPr>
        <w:footnoteRef/>
      </w:r>
      <w:r w:rsidRPr="00F935B3">
        <w:rPr>
          <w:rFonts w:ascii="Times New Roman" w:hAnsi="Times New Roman" w:cs="Times New Roman"/>
        </w:rPr>
        <w:t xml:space="preserve"> Ibid [10].</w:t>
      </w:r>
    </w:p>
  </w:footnote>
  <w:footnote w:id="11">
    <w:p w14:paraId="53DFC346" w14:textId="77777777" w:rsidR="00A34A7D" w:rsidRPr="00F935B3" w:rsidRDefault="00A34A7D">
      <w:pPr>
        <w:pStyle w:val="FootnoteText"/>
        <w:rPr>
          <w:rFonts w:ascii="Times New Roman" w:hAnsi="Times New Roman" w:cs="Times New Roman"/>
        </w:rPr>
      </w:pPr>
      <w:r w:rsidRPr="00F935B3">
        <w:rPr>
          <w:rStyle w:val="FootnoteReference"/>
          <w:rFonts w:ascii="Times New Roman" w:hAnsi="Times New Roman" w:cs="Times New Roman"/>
        </w:rPr>
        <w:footnoteRef/>
      </w:r>
      <w:r w:rsidRPr="00F935B3">
        <w:rPr>
          <w:rFonts w:ascii="Times New Roman" w:hAnsi="Times New Roman" w:cs="Times New Roman"/>
        </w:rPr>
        <w:t xml:space="preserve"> Ibid [37]-[38].</w:t>
      </w:r>
    </w:p>
  </w:footnote>
  <w:footnote w:id="12">
    <w:p w14:paraId="4A53402D" w14:textId="77777777" w:rsidR="00A34A7D" w:rsidRPr="00F935B3" w:rsidRDefault="00A34A7D">
      <w:pPr>
        <w:pStyle w:val="FootnoteText"/>
        <w:rPr>
          <w:rFonts w:ascii="Times New Roman" w:hAnsi="Times New Roman" w:cs="Times New Roman"/>
        </w:rPr>
      </w:pPr>
      <w:r w:rsidRPr="00F935B3">
        <w:rPr>
          <w:rStyle w:val="FootnoteReference"/>
          <w:rFonts w:ascii="Times New Roman" w:hAnsi="Times New Roman" w:cs="Times New Roman"/>
        </w:rPr>
        <w:footnoteRef/>
      </w:r>
      <w:r w:rsidRPr="00F935B3">
        <w:rPr>
          <w:rFonts w:ascii="Times New Roman" w:hAnsi="Times New Roman" w:cs="Times New Roman"/>
        </w:rPr>
        <w:t xml:space="preserve"> ‘What Are AI Hallucinations?’ </w:t>
      </w:r>
      <w:r w:rsidRPr="00F935B3">
        <w:rPr>
          <w:rFonts w:ascii="Times New Roman" w:hAnsi="Times New Roman" w:cs="Times New Roman"/>
          <w:i/>
          <w:iCs/>
        </w:rPr>
        <w:t>Google Cloud</w:t>
      </w:r>
      <w:r w:rsidRPr="00F935B3">
        <w:rPr>
          <w:rFonts w:ascii="Times New Roman" w:hAnsi="Times New Roman" w:cs="Times New Roman"/>
        </w:rPr>
        <w:t> (Web Page) &lt;</w:t>
      </w:r>
      <w:hyperlink r:id="rId1" w:history="1">
        <w:r w:rsidRPr="00F935B3">
          <w:rPr>
            <w:rStyle w:val="Hyperlink"/>
            <w:rFonts w:ascii="Times New Roman" w:hAnsi="Times New Roman" w:cs="Times New Roman"/>
          </w:rPr>
          <w:t>https://cloud.google.com/discover/what-are-ai-hallucinations</w:t>
        </w:r>
      </w:hyperlink>
      <w:r w:rsidRPr="00F935B3">
        <w:rPr>
          <w:rFonts w:ascii="Times New Roman" w:hAnsi="Times New Roman" w:cs="Times New Roman"/>
        </w:rPr>
        <w:t>&gt;.</w:t>
      </w:r>
    </w:p>
  </w:footnote>
  <w:footnote w:id="13">
    <w:p w14:paraId="76D1DFD4" w14:textId="77777777" w:rsidR="00A34A7D" w:rsidRPr="00F935B3" w:rsidRDefault="00A34A7D">
      <w:pPr>
        <w:pStyle w:val="FootnoteText"/>
        <w:rPr>
          <w:rFonts w:ascii="Times New Roman" w:hAnsi="Times New Roman" w:cs="Times New Roman"/>
        </w:rPr>
      </w:pPr>
      <w:r w:rsidRPr="00F935B3">
        <w:rPr>
          <w:rStyle w:val="FootnoteReference"/>
          <w:rFonts w:ascii="Times New Roman" w:hAnsi="Times New Roman" w:cs="Times New Roman"/>
        </w:rPr>
        <w:footnoteRef/>
      </w:r>
      <w:r w:rsidRPr="00F935B3">
        <w:rPr>
          <w:rFonts w:ascii="Times New Roman" w:hAnsi="Times New Roman" w:cs="Times New Roman"/>
        </w:rPr>
        <w:t xml:space="preserve"> ‘Disciplinary Action’ </w:t>
      </w:r>
      <w:r w:rsidRPr="00F935B3">
        <w:rPr>
          <w:rFonts w:ascii="Times New Roman" w:hAnsi="Times New Roman" w:cs="Times New Roman"/>
          <w:i/>
          <w:iCs/>
        </w:rPr>
        <w:t>Office of the NSW Legal Services Commissioner</w:t>
      </w:r>
      <w:r w:rsidRPr="00F935B3">
        <w:rPr>
          <w:rFonts w:ascii="Times New Roman" w:hAnsi="Times New Roman" w:cs="Times New Roman"/>
        </w:rPr>
        <w:t> (Web Page, 04 December 2023) &lt;</w:t>
      </w:r>
      <w:hyperlink r:id="rId2" w:history="1">
        <w:r w:rsidRPr="00F935B3">
          <w:rPr>
            <w:rStyle w:val="Hyperlink"/>
            <w:rFonts w:ascii="Times New Roman" w:hAnsi="Times New Roman" w:cs="Times New Roman"/>
          </w:rPr>
          <w:t>https://olsc.nsw.gov.au/complaints/information-about-complaints-for-the-profession/disciplinary-action.html</w:t>
        </w:r>
      </w:hyperlink>
      <w:r w:rsidRPr="00F935B3">
        <w:rPr>
          <w:rFonts w:ascii="Times New Roman" w:hAnsi="Times New Roman" w:cs="Times New Roman"/>
        </w:rPr>
        <w:t>&gt;.</w:t>
      </w:r>
    </w:p>
  </w:footnote>
  <w:footnote w:id="14">
    <w:p w14:paraId="6C84ADEA" w14:textId="77777777" w:rsidR="00A34A7D" w:rsidRPr="00F935B3" w:rsidRDefault="00A34A7D">
      <w:pPr>
        <w:pStyle w:val="FootnoteText"/>
        <w:rPr>
          <w:rFonts w:ascii="Times New Roman" w:hAnsi="Times New Roman" w:cs="Times New Roman"/>
        </w:rPr>
      </w:pPr>
      <w:r w:rsidRPr="00F935B3">
        <w:rPr>
          <w:rStyle w:val="FootnoteReference"/>
          <w:rFonts w:ascii="Times New Roman" w:hAnsi="Times New Roman" w:cs="Times New Roman"/>
        </w:rPr>
        <w:footnoteRef/>
      </w:r>
      <w:r w:rsidRPr="00F935B3">
        <w:rPr>
          <w:rFonts w:ascii="Times New Roman" w:hAnsi="Times New Roman" w:cs="Times New Roman"/>
        </w:rPr>
        <w:t xml:space="preserve"> ‘Our Powers’ </w:t>
      </w:r>
      <w:r w:rsidRPr="00F935B3">
        <w:rPr>
          <w:rFonts w:ascii="Times New Roman" w:hAnsi="Times New Roman" w:cs="Times New Roman"/>
          <w:i/>
          <w:iCs/>
        </w:rPr>
        <w:t>Victorian Legal Services Board + Commissioner</w:t>
      </w:r>
      <w:r w:rsidRPr="00F935B3">
        <w:rPr>
          <w:rFonts w:ascii="Times New Roman" w:hAnsi="Times New Roman" w:cs="Times New Roman"/>
        </w:rPr>
        <w:t> (Web Page, 05 June 2021) &lt;</w:t>
      </w:r>
      <w:hyperlink r:id="rId3" w:history="1">
        <w:r w:rsidRPr="00F935B3">
          <w:rPr>
            <w:rStyle w:val="Hyperlink"/>
            <w:rFonts w:ascii="Times New Roman" w:hAnsi="Times New Roman" w:cs="Times New Roman"/>
          </w:rPr>
          <w:t>https://lsbc.vic.gov.au/about-us/board-and-commissioner/our-powers</w:t>
        </w:r>
      </w:hyperlink>
      <w:r w:rsidRPr="00F935B3">
        <w:rPr>
          <w:rFonts w:ascii="Times New Roman" w:hAnsi="Times New Roman" w:cs="Times New Roman"/>
        </w:rPr>
        <w:t>&gt;.</w:t>
      </w:r>
    </w:p>
  </w:footnote>
  <w:footnote w:id="15">
    <w:p w14:paraId="3910EB69" w14:textId="77777777" w:rsidR="00A34A7D" w:rsidRPr="00F935B3" w:rsidRDefault="00A34A7D">
      <w:pPr>
        <w:pStyle w:val="FootnoteText"/>
        <w:rPr>
          <w:rFonts w:ascii="Times New Roman" w:hAnsi="Times New Roman" w:cs="Times New Roman"/>
        </w:rPr>
      </w:pPr>
      <w:r w:rsidRPr="00F935B3">
        <w:rPr>
          <w:rStyle w:val="FootnoteReference"/>
          <w:rFonts w:ascii="Times New Roman" w:hAnsi="Times New Roman" w:cs="Times New Roman"/>
        </w:rPr>
        <w:footnoteRef/>
      </w:r>
      <w:r w:rsidRPr="00F935B3">
        <w:rPr>
          <w:rFonts w:ascii="Times New Roman" w:hAnsi="Times New Roman" w:cs="Times New Roman"/>
        </w:rPr>
        <w:t xml:space="preserve"> ‘Statement on Mr Dayal Matter’ </w:t>
      </w:r>
      <w:r w:rsidRPr="00F935B3">
        <w:rPr>
          <w:rFonts w:ascii="Times New Roman" w:hAnsi="Times New Roman" w:cs="Times New Roman"/>
          <w:i/>
          <w:iCs/>
        </w:rPr>
        <w:t>Victorian Legal Services Board + Commissioner</w:t>
      </w:r>
      <w:r w:rsidRPr="00F935B3">
        <w:rPr>
          <w:rFonts w:ascii="Times New Roman" w:hAnsi="Times New Roman" w:cs="Times New Roman"/>
        </w:rPr>
        <w:t> (Web Page, 02 September 2025) &lt;</w:t>
      </w:r>
      <w:hyperlink r:id="rId4" w:history="1">
        <w:r w:rsidRPr="00F935B3">
          <w:rPr>
            <w:rStyle w:val="Hyperlink"/>
            <w:rFonts w:ascii="Times New Roman" w:hAnsi="Times New Roman" w:cs="Times New Roman"/>
          </w:rPr>
          <w:t>https://lsbc.vic.gov.au/news-updates/news/statement-mr-dayal-matter</w:t>
        </w:r>
      </w:hyperlink>
      <w:r w:rsidRPr="00F935B3">
        <w:rPr>
          <w:rFonts w:ascii="Times New Roman" w:hAnsi="Times New Roman" w:cs="Times New Roman"/>
        </w:rPr>
        <w:t>&gt;.</w:t>
      </w:r>
    </w:p>
  </w:footnote>
  <w:footnote w:id="16">
    <w:p w14:paraId="5923E94B" w14:textId="77777777" w:rsidR="00A34A7D" w:rsidRPr="00F935B3" w:rsidRDefault="00A34A7D">
      <w:pPr>
        <w:pStyle w:val="FootnoteText"/>
        <w:rPr>
          <w:rFonts w:ascii="Times New Roman" w:hAnsi="Times New Roman" w:cs="Times New Roman"/>
        </w:rPr>
      </w:pPr>
      <w:r w:rsidRPr="00F935B3">
        <w:rPr>
          <w:rStyle w:val="FootnoteReference"/>
          <w:rFonts w:ascii="Times New Roman" w:hAnsi="Times New Roman" w:cs="Times New Roman"/>
        </w:rPr>
        <w:footnoteRef/>
      </w:r>
      <w:r w:rsidRPr="00F935B3">
        <w:rPr>
          <w:rFonts w:ascii="Times New Roman" w:hAnsi="Times New Roman" w:cs="Times New Roman"/>
        </w:rPr>
        <w:t xml:space="preserve"> Ibid.</w:t>
      </w:r>
    </w:p>
  </w:footnote>
  <w:footnote w:id="17">
    <w:p w14:paraId="51B9CD65" w14:textId="77777777" w:rsidR="00A34A7D" w:rsidRPr="00F935B3" w:rsidRDefault="00A34A7D">
      <w:pPr>
        <w:pStyle w:val="FootnoteText"/>
        <w:rPr>
          <w:rFonts w:ascii="Times New Roman" w:hAnsi="Times New Roman" w:cs="Times New Roman"/>
        </w:rPr>
      </w:pPr>
      <w:r w:rsidRPr="00F935B3">
        <w:rPr>
          <w:rStyle w:val="FootnoteReference"/>
          <w:rFonts w:ascii="Times New Roman" w:hAnsi="Times New Roman" w:cs="Times New Roman"/>
        </w:rPr>
        <w:footnoteRef/>
      </w:r>
      <w:r w:rsidRPr="00F935B3">
        <w:rPr>
          <w:rFonts w:ascii="Times New Roman" w:hAnsi="Times New Roman" w:cs="Times New Roman"/>
        </w:rPr>
        <w:t xml:space="preserve"> Ibid.</w:t>
      </w:r>
    </w:p>
  </w:footnote>
  <w:footnote w:id="18">
    <w:p w14:paraId="60096BCA" w14:textId="77777777" w:rsidR="00A34A7D" w:rsidRPr="00F935B3" w:rsidRDefault="00A34A7D">
      <w:pPr>
        <w:pStyle w:val="FootnoteText"/>
        <w:rPr>
          <w:rFonts w:ascii="Times New Roman" w:hAnsi="Times New Roman" w:cs="Times New Roman"/>
        </w:rPr>
      </w:pPr>
      <w:r w:rsidRPr="00F935B3">
        <w:rPr>
          <w:rStyle w:val="FootnoteReference"/>
          <w:rFonts w:ascii="Times New Roman" w:hAnsi="Times New Roman" w:cs="Times New Roman"/>
        </w:rPr>
        <w:footnoteRef/>
      </w:r>
      <w:r w:rsidRPr="00F935B3">
        <w:rPr>
          <w:rFonts w:ascii="Times New Roman" w:hAnsi="Times New Roman" w:cs="Times New Roman"/>
        </w:rPr>
        <w:t xml:space="preserve"> Supreme Court of New South Wales, </w:t>
      </w:r>
      <w:r w:rsidRPr="00F935B3">
        <w:rPr>
          <w:rFonts w:ascii="Times New Roman" w:hAnsi="Times New Roman" w:cs="Times New Roman"/>
          <w:i/>
          <w:iCs/>
        </w:rPr>
        <w:t>Practice Note SC Gen 23: Use of Generative Artificial Intelligence (Gen AI)</w:t>
      </w:r>
      <w:r w:rsidRPr="00F935B3">
        <w:rPr>
          <w:rFonts w:ascii="Times New Roman" w:hAnsi="Times New Roman" w:cs="Times New Roman"/>
        </w:rPr>
        <w:t>, 28 January 2025 (‘</w:t>
      </w:r>
      <w:r w:rsidRPr="00F935B3">
        <w:rPr>
          <w:rFonts w:ascii="Times New Roman" w:hAnsi="Times New Roman" w:cs="Times New Roman"/>
          <w:i/>
          <w:iCs/>
        </w:rPr>
        <w:t>Practice Note SC Gen 23</w:t>
      </w:r>
      <w:r w:rsidRPr="00F935B3">
        <w:rPr>
          <w:rFonts w:ascii="Times New Roman" w:hAnsi="Times New Roman" w:cs="Times New Roman"/>
        </w:rPr>
        <w:t>’).</w:t>
      </w:r>
    </w:p>
  </w:footnote>
  <w:footnote w:id="19">
    <w:p w14:paraId="647904E3" w14:textId="77777777" w:rsidR="00A34A7D" w:rsidRPr="00F935B3" w:rsidRDefault="00A34A7D">
      <w:pPr>
        <w:pStyle w:val="FootnoteText"/>
        <w:rPr>
          <w:rFonts w:ascii="Times New Roman" w:hAnsi="Times New Roman" w:cs="Times New Roman"/>
          <w:i/>
          <w:iCs/>
        </w:rPr>
      </w:pPr>
      <w:r w:rsidRPr="00F935B3">
        <w:rPr>
          <w:rStyle w:val="FootnoteReference"/>
          <w:rFonts w:ascii="Times New Roman" w:hAnsi="Times New Roman" w:cs="Times New Roman"/>
        </w:rPr>
        <w:footnoteRef/>
      </w:r>
      <w:r w:rsidRPr="00F935B3">
        <w:rPr>
          <w:rFonts w:ascii="Times New Roman" w:hAnsi="Times New Roman" w:cs="Times New Roman"/>
        </w:rPr>
        <w:t xml:space="preserve"> Victorian Law Reform Commission, </w:t>
      </w:r>
      <w:r w:rsidRPr="00F935B3">
        <w:rPr>
          <w:rFonts w:ascii="Times New Roman" w:hAnsi="Times New Roman" w:cs="Times New Roman"/>
          <w:i/>
          <w:iCs/>
        </w:rPr>
        <w:t>Artificial Intelligence in Victoria’s Courts and Tribunals</w:t>
      </w:r>
      <w:r w:rsidRPr="00F935B3">
        <w:rPr>
          <w:rFonts w:ascii="Times New Roman" w:hAnsi="Times New Roman" w:cs="Times New Roman"/>
        </w:rPr>
        <w:t> (Report, October 2025) (‘</w:t>
      </w:r>
      <w:r w:rsidRPr="00F935B3">
        <w:rPr>
          <w:rFonts w:ascii="Times New Roman" w:hAnsi="Times New Roman" w:cs="Times New Roman"/>
          <w:i/>
          <w:iCs/>
        </w:rPr>
        <w:t>VLRC AI Report</w:t>
      </w:r>
      <w:r w:rsidRPr="00F935B3">
        <w:rPr>
          <w:rFonts w:ascii="Times New Roman" w:hAnsi="Times New Roman" w:cs="Times New Roman"/>
        </w:rPr>
        <w:t>’).</w:t>
      </w:r>
    </w:p>
  </w:footnote>
  <w:footnote w:id="20">
    <w:p w14:paraId="11BD76DF" w14:textId="77777777" w:rsidR="00A34A7D" w:rsidRPr="00F935B3" w:rsidRDefault="00A34A7D">
      <w:pPr>
        <w:pStyle w:val="FootnoteText"/>
        <w:rPr>
          <w:rFonts w:ascii="Times New Roman" w:hAnsi="Times New Roman" w:cs="Times New Roman"/>
          <w:i/>
          <w:iCs/>
        </w:rPr>
      </w:pPr>
      <w:r w:rsidRPr="00F935B3">
        <w:rPr>
          <w:rStyle w:val="FootnoteReference"/>
          <w:rFonts w:ascii="Times New Roman" w:hAnsi="Times New Roman" w:cs="Times New Roman"/>
        </w:rPr>
        <w:footnoteRef/>
      </w:r>
      <w:r w:rsidRPr="00F935B3">
        <w:rPr>
          <w:rFonts w:ascii="Times New Roman" w:hAnsi="Times New Roman" w:cs="Times New Roman"/>
        </w:rPr>
        <w:t xml:space="preserve"> Federal Court of Australia, </w:t>
      </w:r>
      <w:r w:rsidRPr="00F935B3">
        <w:rPr>
          <w:rFonts w:ascii="Times New Roman" w:hAnsi="Times New Roman" w:cs="Times New Roman"/>
          <w:i/>
          <w:iCs/>
        </w:rPr>
        <w:t xml:space="preserve">Use of Generative Artificial Intelligence Practice Note (GPN-AI), </w:t>
      </w:r>
      <w:r w:rsidRPr="00F935B3">
        <w:rPr>
          <w:rFonts w:ascii="Times New Roman" w:hAnsi="Times New Roman" w:cs="Times New Roman"/>
        </w:rPr>
        <w:t>16 April 2026 (‘GPN-AI’).</w:t>
      </w:r>
    </w:p>
  </w:footnote>
  <w:footnote w:id="21">
    <w:p w14:paraId="2C860CE6" w14:textId="77777777" w:rsidR="00A34A7D" w:rsidRPr="00F935B3" w:rsidRDefault="00A34A7D">
      <w:pPr>
        <w:pStyle w:val="FootnoteText"/>
        <w:rPr>
          <w:rFonts w:ascii="Times New Roman" w:hAnsi="Times New Roman" w:cs="Times New Roman"/>
        </w:rPr>
      </w:pPr>
      <w:r w:rsidRPr="00F935B3">
        <w:rPr>
          <w:rStyle w:val="FootnoteReference"/>
          <w:rFonts w:ascii="Times New Roman" w:hAnsi="Times New Roman" w:cs="Times New Roman"/>
        </w:rPr>
        <w:footnoteRef/>
      </w:r>
      <w:r w:rsidRPr="00F935B3">
        <w:rPr>
          <w:rFonts w:ascii="Times New Roman" w:hAnsi="Times New Roman" w:cs="Times New Roman"/>
        </w:rPr>
        <w:t xml:space="preserve"> </w:t>
      </w:r>
      <w:r w:rsidRPr="00F935B3">
        <w:rPr>
          <w:rFonts w:ascii="Times New Roman" w:hAnsi="Times New Roman" w:cs="Times New Roman"/>
          <w:i/>
          <w:iCs/>
        </w:rPr>
        <w:t>Helmold &amp; Mariya (no 2)</w:t>
      </w:r>
      <w:r w:rsidRPr="00F935B3">
        <w:rPr>
          <w:rFonts w:ascii="Times New Roman" w:hAnsi="Times New Roman" w:cs="Times New Roman"/>
        </w:rPr>
        <w:t xml:space="preserve"> [2025] FedCFamC1A 163 (‘</w:t>
      </w:r>
      <w:r w:rsidRPr="00F935B3">
        <w:rPr>
          <w:rFonts w:ascii="Times New Roman" w:hAnsi="Times New Roman" w:cs="Times New Roman"/>
          <w:i/>
          <w:iCs/>
        </w:rPr>
        <w:t>Helmold &amp; Mariya</w:t>
      </w:r>
      <w:r w:rsidRPr="00F935B3">
        <w:rPr>
          <w:rFonts w:ascii="Times New Roman" w:hAnsi="Times New Roman" w:cs="Times New Roman"/>
        </w:rPr>
        <w:t>’).</w:t>
      </w:r>
    </w:p>
  </w:footnote>
  <w:footnote w:id="22">
    <w:p w14:paraId="2DA99CC3" w14:textId="77777777" w:rsidR="00A34A7D" w:rsidRPr="00F935B3" w:rsidRDefault="00A34A7D">
      <w:pPr>
        <w:pStyle w:val="FootnoteText"/>
        <w:rPr>
          <w:rFonts w:ascii="Times New Roman" w:hAnsi="Times New Roman" w:cs="Times New Roman"/>
        </w:rPr>
      </w:pPr>
      <w:r w:rsidRPr="00F935B3">
        <w:rPr>
          <w:rStyle w:val="FootnoteReference"/>
          <w:rFonts w:ascii="Times New Roman" w:hAnsi="Times New Roman" w:cs="Times New Roman"/>
        </w:rPr>
        <w:footnoteRef/>
      </w:r>
      <w:r w:rsidRPr="00F935B3">
        <w:rPr>
          <w:rFonts w:ascii="Times New Roman" w:hAnsi="Times New Roman" w:cs="Times New Roman"/>
        </w:rPr>
        <w:t xml:space="preserve"> </w:t>
      </w:r>
      <w:r w:rsidRPr="00F935B3">
        <w:rPr>
          <w:rFonts w:ascii="Times New Roman" w:hAnsi="Times New Roman" w:cs="Times New Roman"/>
          <w:i/>
          <w:iCs/>
        </w:rPr>
        <w:t xml:space="preserve">VLRC AI Report </w:t>
      </w:r>
      <w:r w:rsidRPr="00F935B3">
        <w:rPr>
          <w:rFonts w:ascii="Times New Roman" w:hAnsi="Times New Roman" w:cs="Times New Roman"/>
        </w:rPr>
        <w:t>(n 19).</w:t>
      </w:r>
    </w:p>
  </w:footnote>
  <w:footnote w:id="23">
    <w:p w14:paraId="5EEFAA12" w14:textId="77777777" w:rsidR="00A34A7D" w:rsidRPr="00F935B3" w:rsidRDefault="00A34A7D">
      <w:pPr>
        <w:pStyle w:val="FootnoteText"/>
        <w:rPr>
          <w:rFonts w:ascii="Times New Roman" w:hAnsi="Times New Roman" w:cs="Times New Roman"/>
        </w:rPr>
      </w:pPr>
      <w:r w:rsidRPr="00F935B3">
        <w:rPr>
          <w:rStyle w:val="FootnoteReference"/>
          <w:rFonts w:ascii="Times New Roman" w:hAnsi="Times New Roman" w:cs="Times New Roman"/>
        </w:rPr>
        <w:footnoteRef/>
      </w:r>
      <w:r w:rsidRPr="00F935B3">
        <w:rPr>
          <w:rFonts w:ascii="Times New Roman" w:hAnsi="Times New Roman" w:cs="Times New Roman"/>
        </w:rPr>
        <w:t xml:space="preserve"> </w:t>
      </w:r>
      <w:r w:rsidRPr="00F935B3">
        <w:rPr>
          <w:rFonts w:ascii="Times New Roman" w:hAnsi="Times New Roman" w:cs="Times New Roman"/>
          <w:i/>
          <w:iCs/>
        </w:rPr>
        <w:t xml:space="preserve">GPN-AI </w:t>
      </w:r>
      <w:r w:rsidRPr="00F935B3">
        <w:rPr>
          <w:rFonts w:ascii="Times New Roman" w:hAnsi="Times New Roman" w:cs="Times New Roman"/>
        </w:rPr>
        <w:t>(n 20).</w:t>
      </w:r>
    </w:p>
  </w:footnote>
  <w:footnote w:id="24">
    <w:p w14:paraId="2B5C6E73" w14:textId="77777777" w:rsidR="00A34A7D" w:rsidRPr="00F935B3" w:rsidRDefault="00A34A7D">
      <w:pPr>
        <w:pStyle w:val="FootnoteText"/>
        <w:rPr>
          <w:rFonts w:ascii="Times New Roman" w:hAnsi="Times New Roman" w:cs="Times New Roman"/>
        </w:rPr>
      </w:pPr>
      <w:r w:rsidRPr="00F935B3">
        <w:rPr>
          <w:rStyle w:val="FootnoteReference"/>
          <w:rFonts w:ascii="Times New Roman" w:hAnsi="Times New Roman" w:cs="Times New Roman"/>
        </w:rPr>
        <w:footnoteRef/>
      </w:r>
      <w:r w:rsidRPr="00F935B3">
        <w:rPr>
          <w:rFonts w:ascii="Times New Roman" w:hAnsi="Times New Roman" w:cs="Times New Roman"/>
        </w:rPr>
        <w:t xml:space="preserve"> Supreme Court of Victoria, Practice Note SC Gen 25: The Use of Artificial Intelligence by Court Users, 14 May 2026.</w:t>
      </w:r>
    </w:p>
  </w:footnote>
  <w:footnote w:id="25">
    <w:p w14:paraId="1405F990" w14:textId="77777777" w:rsidR="00A34A7D" w:rsidRPr="00F935B3" w:rsidRDefault="00A34A7D">
      <w:pPr>
        <w:pStyle w:val="FootnoteText"/>
        <w:rPr>
          <w:rFonts w:ascii="Times New Roman" w:hAnsi="Times New Roman" w:cs="Times New Roman"/>
        </w:rPr>
      </w:pPr>
      <w:r w:rsidRPr="00F935B3">
        <w:rPr>
          <w:rStyle w:val="FootnoteReference"/>
          <w:rFonts w:ascii="Times New Roman" w:hAnsi="Times New Roman" w:cs="Times New Roman"/>
        </w:rPr>
        <w:footnoteRef/>
      </w:r>
      <w:r w:rsidRPr="00F935B3">
        <w:rPr>
          <w:rFonts w:ascii="Times New Roman" w:hAnsi="Times New Roman" w:cs="Times New Roman"/>
        </w:rPr>
        <w:t xml:space="preserve"> </w:t>
      </w:r>
      <w:r w:rsidRPr="00F935B3">
        <w:rPr>
          <w:rFonts w:ascii="Times New Roman" w:hAnsi="Times New Roman" w:cs="Times New Roman"/>
          <w:i/>
          <w:iCs/>
        </w:rPr>
        <w:t xml:space="preserve">GPN-AI </w:t>
      </w:r>
      <w:r w:rsidRPr="00F935B3">
        <w:rPr>
          <w:rFonts w:ascii="Times New Roman" w:hAnsi="Times New Roman" w:cs="Times New Roman"/>
        </w:rPr>
        <w:t>(n 20) para 1.3.</w:t>
      </w:r>
    </w:p>
  </w:footnote>
  <w:footnote w:id="26">
    <w:p w14:paraId="4443BD3D" w14:textId="77777777" w:rsidR="00A34A7D" w:rsidRPr="00F935B3" w:rsidRDefault="00A34A7D">
      <w:pPr>
        <w:pStyle w:val="FootnoteText"/>
        <w:rPr>
          <w:rFonts w:ascii="Times New Roman" w:hAnsi="Times New Roman" w:cs="Times New Roman"/>
        </w:rPr>
      </w:pPr>
      <w:r w:rsidRPr="00F935B3">
        <w:rPr>
          <w:rStyle w:val="FootnoteReference"/>
          <w:rFonts w:ascii="Times New Roman" w:hAnsi="Times New Roman" w:cs="Times New Roman"/>
        </w:rPr>
        <w:footnoteRef/>
      </w:r>
      <w:r w:rsidRPr="00F935B3">
        <w:rPr>
          <w:rFonts w:ascii="Times New Roman" w:hAnsi="Times New Roman" w:cs="Times New Roman"/>
        </w:rPr>
        <w:t xml:space="preserve"> </w:t>
      </w:r>
      <w:r w:rsidRPr="00F935B3">
        <w:rPr>
          <w:rFonts w:ascii="Times New Roman" w:hAnsi="Times New Roman" w:cs="Times New Roman"/>
          <w:i/>
          <w:iCs/>
        </w:rPr>
        <w:t xml:space="preserve">Practice Note SC Gen 23 </w:t>
      </w:r>
      <w:r w:rsidRPr="00F935B3">
        <w:rPr>
          <w:rFonts w:ascii="Times New Roman" w:hAnsi="Times New Roman" w:cs="Times New Roman"/>
        </w:rPr>
        <w:t>(n 18) para 9B, 16-18.</w:t>
      </w:r>
    </w:p>
  </w:footnote>
  <w:footnote w:id="27">
    <w:p w14:paraId="75BFA247" w14:textId="77777777" w:rsidR="00A34A7D" w:rsidRPr="00F935B3" w:rsidRDefault="00A34A7D">
      <w:pPr>
        <w:pStyle w:val="FootnoteText"/>
        <w:rPr>
          <w:rFonts w:ascii="Times New Roman" w:hAnsi="Times New Roman" w:cs="Times New Roman"/>
        </w:rPr>
      </w:pPr>
      <w:r w:rsidRPr="00F935B3">
        <w:rPr>
          <w:rStyle w:val="FootnoteReference"/>
          <w:rFonts w:ascii="Times New Roman" w:hAnsi="Times New Roman" w:cs="Times New Roman"/>
        </w:rPr>
        <w:footnoteRef/>
      </w:r>
      <w:r w:rsidRPr="00F935B3">
        <w:rPr>
          <w:rFonts w:ascii="Times New Roman" w:hAnsi="Times New Roman" w:cs="Times New Roman"/>
        </w:rPr>
        <w:t xml:space="preserve"> </w:t>
      </w:r>
      <w:r w:rsidRPr="00F935B3">
        <w:rPr>
          <w:rFonts w:ascii="Times New Roman" w:hAnsi="Times New Roman" w:cs="Times New Roman"/>
          <w:i/>
          <w:iCs/>
        </w:rPr>
        <w:t xml:space="preserve">GPN-AI </w:t>
      </w:r>
      <w:r w:rsidRPr="00F935B3">
        <w:rPr>
          <w:rFonts w:ascii="Times New Roman" w:hAnsi="Times New Roman" w:cs="Times New Roman"/>
        </w:rPr>
        <w:t>(n 20) para 4.13-4.15.</w:t>
      </w:r>
    </w:p>
  </w:footnote>
  <w:footnote w:id="28">
    <w:p w14:paraId="53C164D2" w14:textId="77777777" w:rsidR="00A34A7D" w:rsidRPr="00F935B3" w:rsidRDefault="00A34A7D" w:rsidP="0047382E">
      <w:pPr>
        <w:pStyle w:val="FootnoteText"/>
        <w:rPr>
          <w:rFonts w:ascii="Times New Roman" w:hAnsi="Times New Roman" w:cs="Times New Roman"/>
        </w:rPr>
      </w:pPr>
      <w:r w:rsidRPr="00F935B3">
        <w:rPr>
          <w:rStyle w:val="FootnoteReference"/>
          <w:rFonts w:ascii="Times New Roman" w:hAnsi="Times New Roman" w:cs="Times New Roman"/>
        </w:rPr>
        <w:footnoteRef/>
      </w:r>
      <w:r w:rsidRPr="00F935B3">
        <w:rPr>
          <w:rFonts w:ascii="Times New Roman" w:hAnsi="Times New Roman" w:cs="Times New Roman"/>
        </w:rPr>
        <w:t xml:space="preserve"> </w:t>
      </w:r>
      <w:r w:rsidRPr="00F935B3">
        <w:rPr>
          <w:rFonts w:ascii="Times New Roman" w:hAnsi="Times New Roman" w:cs="Times New Roman"/>
          <w:i/>
          <w:iCs/>
        </w:rPr>
        <w:t xml:space="preserve">Valu v MIMA </w:t>
      </w:r>
      <w:r w:rsidRPr="00F935B3">
        <w:rPr>
          <w:rFonts w:ascii="Times New Roman" w:hAnsi="Times New Roman" w:cs="Times New Roman"/>
        </w:rPr>
        <w:t>(n 2), [10].</w:t>
      </w:r>
    </w:p>
    <w:p w14:paraId="3D459CD6" w14:textId="77777777" w:rsidR="00A34A7D" w:rsidRDefault="00A34A7D">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08B"/>
    <w:rsid w:val="0007301A"/>
    <w:rsid w:val="0008172E"/>
    <w:rsid w:val="000A4193"/>
    <w:rsid w:val="000A7F76"/>
    <w:rsid w:val="000B2023"/>
    <w:rsid w:val="000D128E"/>
    <w:rsid w:val="000F108B"/>
    <w:rsid w:val="00111C95"/>
    <w:rsid w:val="00134090"/>
    <w:rsid w:val="00137E3E"/>
    <w:rsid w:val="00147DC9"/>
    <w:rsid w:val="00166E10"/>
    <w:rsid w:val="00175486"/>
    <w:rsid w:val="001A3BD0"/>
    <w:rsid w:val="001B7DFD"/>
    <w:rsid w:val="001C6A9D"/>
    <w:rsid w:val="001F059D"/>
    <w:rsid w:val="001F21E4"/>
    <w:rsid w:val="001F7F8C"/>
    <w:rsid w:val="0021596B"/>
    <w:rsid w:val="00220042"/>
    <w:rsid w:val="0023078B"/>
    <w:rsid w:val="00235853"/>
    <w:rsid w:val="00240E95"/>
    <w:rsid w:val="00262BED"/>
    <w:rsid w:val="0027444B"/>
    <w:rsid w:val="00285268"/>
    <w:rsid w:val="00294CA4"/>
    <w:rsid w:val="002B6F55"/>
    <w:rsid w:val="002D6AA4"/>
    <w:rsid w:val="002F23C0"/>
    <w:rsid w:val="00300E0C"/>
    <w:rsid w:val="0032017D"/>
    <w:rsid w:val="00334ADB"/>
    <w:rsid w:val="00341B1E"/>
    <w:rsid w:val="00344A17"/>
    <w:rsid w:val="0035303A"/>
    <w:rsid w:val="00356093"/>
    <w:rsid w:val="00360F1A"/>
    <w:rsid w:val="003A02E1"/>
    <w:rsid w:val="003A1CFB"/>
    <w:rsid w:val="003A761E"/>
    <w:rsid w:val="003B7C76"/>
    <w:rsid w:val="003C2E5F"/>
    <w:rsid w:val="003E43B4"/>
    <w:rsid w:val="003E7BC4"/>
    <w:rsid w:val="00404131"/>
    <w:rsid w:val="00405FCE"/>
    <w:rsid w:val="004428B7"/>
    <w:rsid w:val="00454AE5"/>
    <w:rsid w:val="0046317F"/>
    <w:rsid w:val="00464656"/>
    <w:rsid w:val="0046610A"/>
    <w:rsid w:val="00480B5D"/>
    <w:rsid w:val="00482078"/>
    <w:rsid w:val="00483774"/>
    <w:rsid w:val="00483FDC"/>
    <w:rsid w:val="004D2AC4"/>
    <w:rsid w:val="004D4240"/>
    <w:rsid w:val="004E3D64"/>
    <w:rsid w:val="004E66C5"/>
    <w:rsid w:val="004F4891"/>
    <w:rsid w:val="00531BB6"/>
    <w:rsid w:val="00537E2D"/>
    <w:rsid w:val="00553DD0"/>
    <w:rsid w:val="00564DFA"/>
    <w:rsid w:val="00571DCD"/>
    <w:rsid w:val="00580005"/>
    <w:rsid w:val="00580B86"/>
    <w:rsid w:val="0058507A"/>
    <w:rsid w:val="00596E11"/>
    <w:rsid w:val="005A2FB7"/>
    <w:rsid w:val="005A6F4D"/>
    <w:rsid w:val="005D092F"/>
    <w:rsid w:val="005E1FFE"/>
    <w:rsid w:val="00601F4E"/>
    <w:rsid w:val="00602F53"/>
    <w:rsid w:val="006059CA"/>
    <w:rsid w:val="00610E85"/>
    <w:rsid w:val="00613015"/>
    <w:rsid w:val="006137B4"/>
    <w:rsid w:val="00621706"/>
    <w:rsid w:val="00630EB4"/>
    <w:rsid w:val="006314C1"/>
    <w:rsid w:val="00634D86"/>
    <w:rsid w:val="00691C4F"/>
    <w:rsid w:val="006B0791"/>
    <w:rsid w:val="006B7BEF"/>
    <w:rsid w:val="006C0C11"/>
    <w:rsid w:val="006C458F"/>
    <w:rsid w:val="006F60E7"/>
    <w:rsid w:val="006F651C"/>
    <w:rsid w:val="00714231"/>
    <w:rsid w:val="00727A61"/>
    <w:rsid w:val="0076135F"/>
    <w:rsid w:val="0076785F"/>
    <w:rsid w:val="007769FF"/>
    <w:rsid w:val="007969BD"/>
    <w:rsid w:val="007A4BF8"/>
    <w:rsid w:val="007B1D20"/>
    <w:rsid w:val="007B71B0"/>
    <w:rsid w:val="007C4F96"/>
    <w:rsid w:val="007D2217"/>
    <w:rsid w:val="007F17E8"/>
    <w:rsid w:val="00805941"/>
    <w:rsid w:val="00806120"/>
    <w:rsid w:val="0080654C"/>
    <w:rsid w:val="008132C3"/>
    <w:rsid w:val="008215DC"/>
    <w:rsid w:val="00840943"/>
    <w:rsid w:val="00843BE6"/>
    <w:rsid w:val="0085433B"/>
    <w:rsid w:val="00893441"/>
    <w:rsid w:val="008A391C"/>
    <w:rsid w:val="008B0CF6"/>
    <w:rsid w:val="008B7194"/>
    <w:rsid w:val="008B7902"/>
    <w:rsid w:val="008F57CF"/>
    <w:rsid w:val="009035F2"/>
    <w:rsid w:val="009142C9"/>
    <w:rsid w:val="00924A66"/>
    <w:rsid w:val="00930211"/>
    <w:rsid w:val="0093046D"/>
    <w:rsid w:val="00944B71"/>
    <w:rsid w:val="009470FA"/>
    <w:rsid w:val="0095632F"/>
    <w:rsid w:val="00962EBB"/>
    <w:rsid w:val="009929D2"/>
    <w:rsid w:val="00997C34"/>
    <w:rsid w:val="009C531C"/>
    <w:rsid w:val="009D06C6"/>
    <w:rsid w:val="009E1A7D"/>
    <w:rsid w:val="00A01517"/>
    <w:rsid w:val="00A03A12"/>
    <w:rsid w:val="00A0638E"/>
    <w:rsid w:val="00A10843"/>
    <w:rsid w:val="00A34A7D"/>
    <w:rsid w:val="00A502FB"/>
    <w:rsid w:val="00A540EA"/>
    <w:rsid w:val="00A54425"/>
    <w:rsid w:val="00A830C0"/>
    <w:rsid w:val="00A97FC9"/>
    <w:rsid w:val="00AA3760"/>
    <w:rsid w:val="00AA67FB"/>
    <w:rsid w:val="00AD2504"/>
    <w:rsid w:val="00B02D14"/>
    <w:rsid w:val="00B15DDE"/>
    <w:rsid w:val="00B33213"/>
    <w:rsid w:val="00B46C49"/>
    <w:rsid w:val="00B832BA"/>
    <w:rsid w:val="00B868C3"/>
    <w:rsid w:val="00B97C02"/>
    <w:rsid w:val="00BA00F7"/>
    <w:rsid w:val="00BA6609"/>
    <w:rsid w:val="00BB66EB"/>
    <w:rsid w:val="00BC443F"/>
    <w:rsid w:val="00BC6547"/>
    <w:rsid w:val="00BD62C4"/>
    <w:rsid w:val="00BD77CC"/>
    <w:rsid w:val="00BE5553"/>
    <w:rsid w:val="00C00C1E"/>
    <w:rsid w:val="00C41993"/>
    <w:rsid w:val="00C63EA7"/>
    <w:rsid w:val="00C65049"/>
    <w:rsid w:val="00C8782D"/>
    <w:rsid w:val="00C94C21"/>
    <w:rsid w:val="00CB7B0F"/>
    <w:rsid w:val="00CE2659"/>
    <w:rsid w:val="00D1061C"/>
    <w:rsid w:val="00D30760"/>
    <w:rsid w:val="00D32577"/>
    <w:rsid w:val="00D5782C"/>
    <w:rsid w:val="00D67988"/>
    <w:rsid w:val="00D74462"/>
    <w:rsid w:val="00D75D0F"/>
    <w:rsid w:val="00D774EF"/>
    <w:rsid w:val="00D94C07"/>
    <w:rsid w:val="00DC1F28"/>
    <w:rsid w:val="00DE365C"/>
    <w:rsid w:val="00DE7698"/>
    <w:rsid w:val="00DF314C"/>
    <w:rsid w:val="00E00CF1"/>
    <w:rsid w:val="00E0232C"/>
    <w:rsid w:val="00E030D6"/>
    <w:rsid w:val="00E160C6"/>
    <w:rsid w:val="00E179B4"/>
    <w:rsid w:val="00E23ACE"/>
    <w:rsid w:val="00E35F81"/>
    <w:rsid w:val="00E45958"/>
    <w:rsid w:val="00E6116E"/>
    <w:rsid w:val="00E6236F"/>
    <w:rsid w:val="00E660C7"/>
    <w:rsid w:val="00E95486"/>
    <w:rsid w:val="00EC40F3"/>
    <w:rsid w:val="00EF6D7D"/>
    <w:rsid w:val="00EF7F99"/>
    <w:rsid w:val="00F05EA0"/>
    <w:rsid w:val="00F06AEE"/>
    <w:rsid w:val="00F10638"/>
    <w:rsid w:val="00F1081F"/>
    <w:rsid w:val="00F15FF2"/>
    <w:rsid w:val="00F166DC"/>
    <w:rsid w:val="00F22977"/>
    <w:rsid w:val="00F3602A"/>
    <w:rsid w:val="00F52A96"/>
    <w:rsid w:val="00F57B14"/>
    <w:rsid w:val="00F6794E"/>
    <w:rsid w:val="00F73151"/>
    <w:rsid w:val="00F74AD5"/>
    <w:rsid w:val="00F76D99"/>
    <w:rsid w:val="00F772BB"/>
    <w:rsid w:val="00F81255"/>
    <w:rsid w:val="00F84D64"/>
    <w:rsid w:val="00F935B3"/>
    <w:rsid w:val="00F972AD"/>
    <w:rsid w:val="00FA4988"/>
    <w:rsid w:val="00FA4E12"/>
    <w:rsid w:val="00FB2581"/>
    <w:rsid w:val="00FB5B18"/>
    <w:rsid w:val="00FD42E0"/>
    <w:rsid w:val="00FD531E"/>
    <w:rsid w:val="00FE034A"/>
    <w:rsid w:val="00FE62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47C0F"/>
  <w15:chartTrackingRefBased/>
  <w15:docId w15:val="{5B7C685B-599E-F249-9F2E-FA1E023E8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853"/>
    <w:pPr>
      <w:spacing w:after="240" w:line="360" w:lineRule="auto"/>
    </w:pPr>
    <w:rPr>
      <w:rFonts w:ascii="Times New Roman" w:hAnsi="Times New Roman" w:cs="Times New Roman"/>
    </w:rPr>
  </w:style>
  <w:style w:type="paragraph" w:styleId="Heading1">
    <w:name w:val="heading 1"/>
    <w:basedOn w:val="Normal"/>
    <w:next w:val="Normal"/>
    <w:link w:val="Heading1Char"/>
    <w:uiPriority w:val="9"/>
    <w:qFormat/>
    <w:rsid w:val="00E23ACE"/>
    <w:pPr>
      <w:jc w:val="center"/>
      <w:outlineLvl w:val="0"/>
    </w:pPr>
    <w:rPr>
      <w:b/>
      <w:bCs/>
      <w:color w:val="000000" w:themeColor="text1"/>
      <w:sz w:val="28"/>
      <w:szCs w:val="28"/>
    </w:rPr>
  </w:style>
  <w:style w:type="paragraph" w:styleId="Heading2">
    <w:name w:val="heading 2"/>
    <w:basedOn w:val="Normal"/>
    <w:next w:val="Normal"/>
    <w:link w:val="Heading2Char"/>
    <w:uiPriority w:val="9"/>
    <w:unhideWhenUsed/>
    <w:qFormat/>
    <w:rsid w:val="00235853"/>
    <w:pPr>
      <w:outlineLvl w:val="1"/>
    </w:pPr>
    <w:rPr>
      <w:u w:val="single"/>
    </w:rPr>
  </w:style>
  <w:style w:type="paragraph" w:styleId="Heading3">
    <w:name w:val="heading 3"/>
    <w:basedOn w:val="Normal"/>
    <w:next w:val="Normal"/>
    <w:link w:val="Heading3Char"/>
    <w:uiPriority w:val="9"/>
    <w:semiHidden/>
    <w:unhideWhenUsed/>
    <w:qFormat/>
    <w:rsid w:val="000F10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10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10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108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0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0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0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3ACE"/>
    <w:rPr>
      <w:rFonts w:ascii="Times New Roman" w:hAnsi="Times New Roman" w:cs="Times New Roman"/>
      <w:b/>
      <w:bCs/>
      <w:color w:val="000000" w:themeColor="text1"/>
      <w:sz w:val="28"/>
      <w:szCs w:val="28"/>
    </w:rPr>
  </w:style>
  <w:style w:type="character" w:customStyle="1" w:styleId="Heading2Char">
    <w:name w:val="Heading 2 Char"/>
    <w:basedOn w:val="DefaultParagraphFont"/>
    <w:link w:val="Heading2"/>
    <w:uiPriority w:val="9"/>
    <w:rsid w:val="00235853"/>
    <w:rPr>
      <w:rFonts w:ascii="Times New Roman" w:hAnsi="Times New Roman" w:cs="Times New Roman"/>
      <w:u w:val="single"/>
    </w:rPr>
  </w:style>
  <w:style w:type="character" w:customStyle="1" w:styleId="Heading3Char">
    <w:name w:val="Heading 3 Char"/>
    <w:basedOn w:val="DefaultParagraphFont"/>
    <w:link w:val="Heading3"/>
    <w:uiPriority w:val="9"/>
    <w:semiHidden/>
    <w:rsid w:val="000F10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10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10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10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0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0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08B"/>
    <w:rPr>
      <w:rFonts w:eastAsiaTheme="majorEastAsia" w:cstheme="majorBidi"/>
      <w:color w:val="272727" w:themeColor="text1" w:themeTint="D8"/>
    </w:rPr>
  </w:style>
  <w:style w:type="paragraph" w:styleId="Title">
    <w:name w:val="Title"/>
    <w:basedOn w:val="Normal"/>
    <w:next w:val="Normal"/>
    <w:link w:val="TitleChar"/>
    <w:uiPriority w:val="10"/>
    <w:qFormat/>
    <w:rsid w:val="001C6A9D"/>
    <w:pPr>
      <w:jc w:val="center"/>
    </w:pPr>
    <w:rPr>
      <w:color w:val="FFFFFF" w:themeColor="background1"/>
      <w:sz w:val="48"/>
      <w:szCs w:val="48"/>
    </w:rPr>
  </w:style>
  <w:style w:type="character" w:customStyle="1" w:styleId="TitleChar">
    <w:name w:val="Title Char"/>
    <w:basedOn w:val="DefaultParagraphFont"/>
    <w:link w:val="Title"/>
    <w:uiPriority w:val="10"/>
    <w:rsid w:val="001C6A9D"/>
    <w:rPr>
      <w:rFonts w:ascii="Times New Roman" w:hAnsi="Times New Roman" w:cs="Times New Roman"/>
      <w:color w:val="FFFFFF" w:themeColor="background1"/>
      <w:sz w:val="48"/>
      <w:szCs w:val="48"/>
    </w:rPr>
  </w:style>
  <w:style w:type="paragraph" w:styleId="Subtitle">
    <w:name w:val="Subtitle"/>
    <w:basedOn w:val="Normal"/>
    <w:next w:val="Normal"/>
    <w:link w:val="SubtitleChar"/>
    <w:uiPriority w:val="11"/>
    <w:qFormat/>
    <w:rsid w:val="00262BED"/>
    <w:pPr>
      <w:spacing w:after="0"/>
      <w:jc w:val="center"/>
    </w:pPr>
    <w:rPr>
      <w:i/>
      <w:iCs/>
      <w:color w:val="FFFFFF" w:themeColor="background1"/>
      <w:sz w:val="36"/>
      <w:szCs w:val="36"/>
    </w:rPr>
  </w:style>
  <w:style w:type="character" w:customStyle="1" w:styleId="SubtitleChar">
    <w:name w:val="Subtitle Char"/>
    <w:basedOn w:val="DefaultParagraphFont"/>
    <w:link w:val="Subtitle"/>
    <w:uiPriority w:val="11"/>
    <w:rsid w:val="00262BED"/>
    <w:rPr>
      <w:rFonts w:ascii="Times New Roman" w:hAnsi="Times New Roman" w:cs="Times New Roman"/>
      <w:i/>
      <w:iCs/>
      <w:color w:val="FFFFFF" w:themeColor="background1"/>
      <w:sz w:val="36"/>
      <w:szCs w:val="36"/>
    </w:rPr>
  </w:style>
  <w:style w:type="paragraph" w:styleId="Quote">
    <w:name w:val="Quote"/>
    <w:basedOn w:val="Normal"/>
    <w:next w:val="Normal"/>
    <w:link w:val="QuoteChar"/>
    <w:uiPriority w:val="29"/>
    <w:qFormat/>
    <w:rsid w:val="000F108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F108B"/>
    <w:rPr>
      <w:i/>
      <w:iCs/>
      <w:color w:val="404040" w:themeColor="text1" w:themeTint="BF"/>
    </w:rPr>
  </w:style>
  <w:style w:type="paragraph" w:styleId="ListParagraph">
    <w:name w:val="List Paragraph"/>
    <w:basedOn w:val="Normal"/>
    <w:uiPriority w:val="34"/>
    <w:qFormat/>
    <w:rsid w:val="000F108B"/>
    <w:pPr>
      <w:ind w:left="720"/>
      <w:contextualSpacing/>
    </w:pPr>
  </w:style>
  <w:style w:type="character" w:styleId="IntenseEmphasis">
    <w:name w:val="Intense Emphasis"/>
    <w:basedOn w:val="DefaultParagraphFont"/>
    <w:uiPriority w:val="21"/>
    <w:qFormat/>
    <w:rsid w:val="000F108B"/>
    <w:rPr>
      <w:i/>
      <w:iCs/>
      <w:color w:val="0F4761" w:themeColor="accent1" w:themeShade="BF"/>
    </w:rPr>
  </w:style>
  <w:style w:type="paragraph" w:styleId="IntenseQuote">
    <w:name w:val="Intense Quote"/>
    <w:basedOn w:val="Normal"/>
    <w:next w:val="Normal"/>
    <w:link w:val="IntenseQuoteChar"/>
    <w:uiPriority w:val="30"/>
    <w:qFormat/>
    <w:rsid w:val="000F10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108B"/>
    <w:rPr>
      <w:i/>
      <w:iCs/>
      <w:color w:val="0F4761" w:themeColor="accent1" w:themeShade="BF"/>
    </w:rPr>
  </w:style>
  <w:style w:type="character" w:styleId="IntenseReference">
    <w:name w:val="Intense Reference"/>
    <w:basedOn w:val="DefaultParagraphFont"/>
    <w:uiPriority w:val="32"/>
    <w:qFormat/>
    <w:rsid w:val="000F108B"/>
    <w:rPr>
      <w:b/>
      <w:bCs/>
      <w:smallCaps/>
      <w:color w:val="0F4761" w:themeColor="accent1" w:themeShade="BF"/>
      <w:spacing w:val="5"/>
    </w:rPr>
  </w:style>
  <w:style w:type="paragraph" w:styleId="Header">
    <w:name w:val="header"/>
    <w:basedOn w:val="Normal"/>
    <w:link w:val="HeaderChar"/>
    <w:uiPriority w:val="99"/>
    <w:unhideWhenUsed/>
    <w:rsid w:val="00334A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4ADB"/>
    <w:rPr>
      <w:rFonts w:ascii="Times New Roman" w:hAnsi="Times New Roman" w:cs="Times New Roman"/>
      <w:sz w:val="22"/>
      <w:szCs w:val="22"/>
    </w:rPr>
  </w:style>
  <w:style w:type="paragraph" w:styleId="Footer">
    <w:name w:val="footer"/>
    <w:basedOn w:val="Normal"/>
    <w:link w:val="FooterChar"/>
    <w:uiPriority w:val="99"/>
    <w:unhideWhenUsed/>
    <w:rsid w:val="00334A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4ADB"/>
    <w:rPr>
      <w:rFonts w:ascii="Times New Roman" w:hAnsi="Times New Roman" w:cs="Times New Roman"/>
      <w:sz w:val="22"/>
      <w:szCs w:val="22"/>
    </w:rPr>
  </w:style>
  <w:style w:type="character" w:styleId="PageNumber">
    <w:name w:val="page number"/>
    <w:basedOn w:val="DefaultParagraphFont"/>
    <w:uiPriority w:val="99"/>
    <w:semiHidden/>
    <w:unhideWhenUsed/>
    <w:rsid w:val="00334ADB"/>
  </w:style>
  <w:style w:type="character" w:styleId="SubtleEmphasis">
    <w:name w:val="Subtle Emphasis"/>
    <w:uiPriority w:val="19"/>
    <w:qFormat/>
    <w:rsid w:val="00E23ACE"/>
    <w:rPr>
      <w:sz w:val="24"/>
      <w:szCs w:val="24"/>
    </w:rPr>
  </w:style>
  <w:style w:type="character" w:styleId="Strong">
    <w:name w:val="Strong"/>
    <w:uiPriority w:val="22"/>
    <w:qFormat/>
    <w:rsid w:val="001C6A9D"/>
  </w:style>
  <w:style w:type="paragraph" w:styleId="FootnoteText">
    <w:name w:val="footnote text"/>
    <w:basedOn w:val="Normal"/>
    <w:link w:val="FootnoteTextChar"/>
    <w:uiPriority w:val="99"/>
    <w:semiHidden/>
    <w:unhideWhenUsed/>
    <w:rsid w:val="00A34A7D"/>
    <w:pPr>
      <w:spacing w:after="0" w:line="240" w:lineRule="auto"/>
    </w:pPr>
    <w:rPr>
      <w:rFonts w:asciiTheme="minorHAnsi" w:hAnsiTheme="minorHAnsi" w:cstheme="minorBidi"/>
      <w:kern w:val="2"/>
      <w:sz w:val="20"/>
      <w:szCs w:val="20"/>
      <w14:ligatures w14:val="standardContextual"/>
    </w:rPr>
  </w:style>
  <w:style w:type="character" w:customStyle="1" w:styleId="FootnoteTextChar">
    <w:name w:val="Footnote Text Char"/>
    <w:basedOn w:val="DefaultParagraphFont"/>
    <w:link w:val="FootnoteText"/>
    <w:uiPriority w:val="99"/>
    <w:semiHidden/>
    <w:rsid w:val="00A34A7D"/>
    <w:rPr>
      <w:kern w:val="2"/>
      <w:sz w:val="20"/>
      <w:szCs w:val="20"/>
      <w14:ligatures w14:val="standardContextual"/>
    </w:rPr>
  </w:style>
  <w:style w:type="character" w:styleId="FootnoteReference">
    <w:name w:val="footnote reference"/>
    <w:basedOn w:val="DefaultParagraphFont"/>
    <w:uiPriority w:val="99"/>
    <w:semiHidden/>
    <w:unhideWhenUsed/>
    <w:rsid w:val="00A34A7D"/>
    <w:rPr>
      <w:vertAlign w:val="superscript"/>
    </w:rPr>
  </w:style>
  <w:style w:type="character" w:styleId="Hyperlink">
    <w:name w:val="Hyperlink"/>
    <w:basedOn w:val="DefaultParagraphFont"/>
    <w:uiPriority w:val="99"/>
    <w:unhideWhenUsed/>
    <w:rsid w:val="00A34A7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lsbc.vic.gov.au/about-us/board-and-commissioner/our-powers" TargetMode="External"/><Relationship Id="rId2" Type="http://schemas.openxmlformats.org/officeDocument/2006/relationships/hyperlink" Target="https://olsc.nsw.gov.au/complaints/information-about-complaints-for-the-profession/disciplinary-action.html" TargetMode="External"/><Relationship Id="rId1" Type="http://schemas.openxmlformats.org/officeDocument/2006/relationships/hyperlink" Target="https://cloud.google.com/discover/what-are-ai-hallucinations" TargetMode="External"/><Relationship Id="rId4" Type="http://schemas.openxmlformats.org/officeDocument/2006/relationships/hyperlink" Target="https://lsbc.vic.gov.au/news-updates/news/statement-mr-dayal-mat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A8C12E-0CC6-9048-B462-92C22EB89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1622</Words>
  <Characters>9250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Macvean</dc:creator>
  <cp:keywords/>
  <dc:description/>
  <cp:lastModifiedBy>Monica Danielle Arucan</cp:lastModifiedBy>
  <cp:revision>3</cp:revision>
  <dcterms:created xsi:type="dcterms:W3CDTF">2026-07-29T03:48:00Z</dcterms:created>
  <dcterms:modified xsi:type="dcterms:W3CDTF">2026-08-15T08:47:00Z</dcterms:modified>
</cp:coreProperties>
</file>