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48E22361" w:rsidR="000F108B" w:rsidRPr="008B4E82" w:rsidRDefault="00433031" w:rsidP="001F059D">
      <w:r w:rsidRPr="008B4E82">
        <w:rPr>
          <w:noProof/>
        </w:rPr>
        <mc:AlternateContent>
          <mc:Choice Requires="wpg">
            <w:drawing>
              <wp:anchor distT="0" distB="0" distL="114300" distR="114300" simplePos="0" relativeHeight="251659264" behindDoc="0" locked="0" layoutInCell="1" allowOverlap="1" wp14:anchorId="2B6E4E9D" wp14:editId="2DBA9BCA">
                <wp:simplePos x="0" y="0"/>
                <wp:positionH relativeFrom="column">
                  <wp:posOffset>-736152</wp:posOffset>
                </wp:positionH>
                <wp:positionV relativeFrom="paragraph">
                  <wp:posOffset>-915258</wp:posOffset>
                </wp:positionV>
                <wp:extent cx="7769860" cy="10930890"/>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860" cy="10930890"/>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69" y="12698"/>
                            <a:ext cx="3620995" cy="6779909"/>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16FC2B08" id="Group 23" o:spid="_x0000_s1026" style="position:absolute;margin-left:-57.95pt;margin-top:-72.05pt;width:611.8pt;height:860.7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W0A/KAYAAJwpAAAOAAAAZHJzL2Uyb0RvYy54bWzsWltv2zYUfh+w/yDovbVIkboYdYogXbsB&#13;&#10;vaHp1mdGlmwNkqhRSpzs1+8jqYuTOHYuaLG2erF1OTwkjz5+PBe+eHlZFs5FqppcVguXPPdcJ60S&#13;&#10;ucyr1cL98/PrZ5HrNK2olqKQVbpwr9LGfXn06y8vNvU8pXIti2WqHCipmvmmXrjrtq3ns1mTrNNS&#13;&#10;NM9lnVZ4mUlViha3ajVbKrGB9rKYUc8LZhuplrWSSdo0ePrKvnSPjP4sS5P2Q5Y1aesUCxdja82v&#13;&#10;Mr9n+nd29ELMV0rU6zzphiEeMYpS5BU6HVS9Eq1wzlV+S1WZJ0o2MmufJ7KcySzLk9TMAbMh3o3Z&#13;&#10;vFHyvDZzWc03q3owE0x7w06PVpu8v3ij6tP6o4IlNvUKtjB3ei6XmSr1P0bpXBqTXQ0mSy9bJ8HD&#13;&#10;MAziKIBlE7wjXux7UdxZNVnD9GPDZ5x4lFuDJ+vfttrHhPftQ59H3NdCs77/2bVRbWrgpBlN0TzN&#13;&#10;FKdrUafGws0cpvionHyJebCQcsIDTlynEiVg+wlAEtWqSB2M1VjKyA92a+YNTHin0bbnvmW5gPpb&#13;&#10;M6c0ItdmLua1ato3qSwdfbFwFUZhUCYu3jatNVIv0oFv+TovCnPdQMReOLWEmTzT0iys9KRQzoXA&#13;&#10;kmgviVVY1GthH1EsK/MF8QUGafM9Vs22PgIxCOpHg9idSgO2Tyl6Wtnh6islhkkUlVEvi3x4dKOv&#13;&#10;s1Vvs2aUghbdEsjpv4u5aq+KVOsrqk9phg8N+NrZ39ApkiSt2l6vkdbNMlh2aOjvmvj1hp28bpoa&#13;&#10;Jhoa08ONhxamZ1m1Q+Myr6TapaAYhpxZ+d4Cdt7aBGdyeQWMK2l5sKmT1zmQ9VY07UehQHxYyCDz&#13;&#10;9gN+skJuFq7srlxnLdW/u55reSxCvHWdDYh04Tb/nAuVuk7xRwXcxYQxzbzmhvGQ4kZtvznbflOd&#13;&#10;lycSwMTKw+jMpZZvi/4yU7L8As4/1r3ilagS9L1wk1b1NyetJXjsGkl6fGzEwLa1aN9Wp3XSf3W9&#13;&#10;cj5ffhGq7pZXi6X5XvaUIOY3VpmV1d+jksfnrcxyswRHu3b2Bj1pKv0mPOXROPRJiE3W8tRnlXc0&#13;&#10;FTyIpmjAaMhBRmDxgFCPMtMeyO14msWg+Z6nGQ8Yj+h+smq7oRioGlNq062W3UjF8m/XycoCoAMT&#13;&#10;OdzzfdYp7ISxiu9NbsEdVKTpQXdbnJfv5NLSU8Q7LsIXHmmPaD7rBjDwwYNob1df8c6+aLyvrwNs&#13;&#10;WElN8Zb8J5ZLs4nlfnSW4ywklIQjy522SuSrdeucyKqCTySVQ8ItvjupOne23/6tL+lkRV7/3tN/&#13;&#10;59VSUF0IttPMR2hoOWDkPc6pdml7/zQIuO8fIL4ir7RLeWv/0I6c4aKv7dTcw73Y7dTs9Obu69Tc&#13;&#10;w5V6hFOjHVTLdQecGi3UbbrfaPdlvh/EiHgADrv57oJldBiWGhMdGBEiMb31ajBy4nNGTPsRjhQA&#13;&#10;DIIOjiz2WRyYeAR7Rh+t9Xtm59RMaByjnetQ/rHQSFhMfOYTD07c03xBgCokBBgDCENojW76gsC9&#13;&#10;x2PfcqIPaibsesg+Om69Z33LF3xg8Pp9+Xf8KdHu5N/dj/CnKNY4Gd9/FEsJI0EYc8YexVzGq/vr&#13;&#10;hlcHT85nARRqr87zY+NEjNsoj3kIYrMMxqOQR17coe6ObXSKZpGUmaLZITNgUwlPdiimnF2XwPt5&#13;&#10;cnYhjYKIEwL/6e6wwbCRDmdQlDgYze5kQCTrEJ50YS1qNJreRgL0A+rFcVd8CMIwRiCznwCnOOLn&#13;&#10;iCNogJQlkr20h+eDUso7oUi9KECC2WCxqw0OaWXkrwMe2o2YkZCh7rYfh7c34q8YSuze8Ei0L32r&#13;&#10;a1m24nZ3haxPFW/ln9nestuUE0axbqp8TZWvvkKPFEVEkIYAdTwi22FjRxOmI+G7k7QYggbC8RIR&#13;&#10;BON+6NtE27iFonVAwy4VR6gfU6SJLRfdO4aYqAu11KmcZcqMB/LbU7rjB0l3EJSTIkJItC8AwCEJ&#13;&#10;cMOTAgBLXWHEw8g3xbGRuvwgikFXXVErYlNBC1VkmOf6KZ3/U0HLHILDEUB7IMEeV9RnDLfvTQFs&#13;&#10;PFR59B8AAAD//wMAUEsDBBQABgAIAAAAIQAAGFAS5wAAABQBAAAPAAAAZHJzL2Rvd25yZXYueG1s&#13;&#10;TE/LTsMwELwj8Q/WInFrHdOGQBqnqsrjVCHRIiFubrxNosbrKHaT9O9xTnBZzWpn55GtR9OwHjtX&#13;&#10;W5Ig5hEwpMLqmkoJX4e32RMw5xVp1VhCCVd0sM5vbzKVajvQJ/Z7X7IgQi5VEirv25RzV1RolJvb&#13;&#10;FincTrYzyoe1K7nu1BDETcMfouiRG1VTcKhUi9sKi/P+YiS8D2rYLMRrvzufttefQ/zxvRMo5f3d&#13;&#10;+LIKY7MC5nH0fx8wdQj5IQ/BjvZC2rFGwkyI+DlwJ7RcCmATR0RJAuwYUJwkC+B5xv+XyX8BAAD/&#13;&#10;/wMAUEsBAi0AFAAGAAgAAAAhALaDOJL+AAAA4QEAABMAAAAAAAAAAAAAAAAAAAAAAFtDb250ZW50&#13;&#10;X1R5cGVzXS54bWxQSwECLQAUAAYACAAAACEAOP0h/9YAAACUAQAACwAAAAAAAAAAAAAAAAAvAQAA&#13;&#10;X3JlbHMvLnJlbHNQSwECLQAUAAYACAAAACEA7ltAPygGAACcKQAADgAAAAAAAAAAAAAAAAAuAgAA&#13;&#10;ZHJzL2Uyb0RvYy54bWxQSwECLQAUAAYACAAAACEAABhQEucAAAAUAQAADwAAAAAAAAAAAAAAAACC&#13;&#10;CAAAZHJzL2Rvd25yZXYueG1sUEsFBgAAAAAEAAQA8wAAAJYJA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6" to="42363,679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08D30D18" wp14:editId="15132926">
            <wp:simplePos x="0" y="0"/>
            <wp:positionH relativeFrom="column">
              <wp:posOffset>-747395</wp:posOffset>
            </wp:positionH>
            <wp:positionV relativeFrom="paragraph">
              <wp:posOffset>-914212</wp:posOffset>
            </wp:positionV>
            <wp:extent cx="7641316" cy="11384001"/>
            <wp:effectExtent l="0" t="0" r="4445" b="0"/>
            <wp:wrapNone/>
            <wp:docPr id="1070830579" name="Picture 23" descr="A gavel and a book in front of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830579" name="Picture 23" descr="A gavel and a book in front of a flag&#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7641316" cy="11384001"/>
                    </a:xfrm>
                    <a:prstGeom prst="rect">
                      <a:avLst/>
                    </a:prstGeom>
                  </pic:spPr>
                </pic:pic>
              </a:graphicData>
            </a:graphic>
            <wp14:sizeRelH relativeFrom="page">
              <wp14:pctWidth>0</wp14:pctWidth>
            </wp14:sizeRelH>
            <wp14:sizeRelV relativeFrom="page">
              <wp14:pctHeight>0</wp14:pctHeight>
            </wp14:sizeRelV>
          </wp:anchor>
        </w:drawing>
      </w:r>
      <w:r w:rsidRPr="008B4E82">
        <w:rPr>
          <w:noProof/>
        </w:rPr>
        <mc:AlternateContent>
          <mc:Choice Requires="wps">
            <w:drawing>
              <wp:anchor distT="0" distB="0" distL="114300" distR="114300" simplePos="0" relativeHeight="251661312" behindDoc="0" locked="0" layoutInCell="1" allowOverlap="1" wp14:anchorId="4BE7ACF9" wp14:editId="121D7DBA">
                <wp:simplePos x="0" y="0"/>
                <wp:positionH relativeFrom="column">
                  <wp:posOffset>-547370</wp:posOffset>
                </wp:positionH>
                <wp:positionV relativeFrom="paragraph">
                  <wp:posOffset>5493247</wp:posOffset>
                </wp:positionV>
                <wp:extent cx="3827721" cy="2237873"/>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827721" cy="2237873"/>
                        </a:xfrm>
                        <a:prstGeom prst="rect">
                          <a:avLst/>
                        </a:prstGeom>
                        <a:noFill/>
                        <a:ln w="6350">
                          <a:noFill/>
                        </a:ln>
                      </wps:spPr>
                      <wps:txbx>
                        <w:txbxContent>
                          <w:p w14:paraId="5EB6FACD" w14:textId="19BBD094" w:rsidR="004617BB" w:rsidRDefault="00A07549" w:rsidP="004617BB">
                            <w:pPr>
                              <w:pStyle w:val="Title"/>
                            </w:pPr>
                            <w:r>
                              <w:t xml:space="preserve">Democracy without a Charter </w:t>
                            </w:r>
                          </w:p>
                          <w:p w14:paraId="0923727F" w14:textId="6680CE32" w:rsidR="001F059D" w:rsidRDefault="00A07549" w:rsidP="00D13B2D">
                            <w:pPr>
                              <w:pStyle w:val="Subtitle"/>
                            </w:pPr>
                            <w:r>
                              <w:t>Should Australia Adopt a Bill of Rights?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E7ACF9" id="_x0000_t202" coordsize="21600,21600" o:spt="202" path="m,l,21600r21600,l21600,xe">
                <v:stroke joinstyle="miter"/>
                <v:path gradientshapeok="t" o:connecttype="rect"/>
              </v:shapetype>
              <v:shape id="Text Box 27" o:spid="_x0000_s1026" type="#_x0000_t202" style="position:absolute;margin-left:-43.1pt;margin-top:432.55pt;width:301.4pt;height:17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pDQ1GAIAAC0EAAAOAAAAZHJzL2Uyb0RvYy54bWysU8tu2zAQvBfoPxC817JlJ3YEy4GbwEUB&#13;&#10;IwngFDnTFGkJoLgsSVtyv75LSn4g7SnIZbXkrvYxM5zft7UiB2FdBTqno8GQEqE5FJXe5fTX6+rb&#13;&#10;jBLnmS6YAi1yehSO3i++fpk3JhMplKAKYQkW0S5rTE5L702WJI6XomZuAEZoDEqwNfN4tLuksKzB&#13;&#10;6rVK0uHwNmnAFsYCF87h7WMXpItYX0rB/bOUTniicoqz+WhttNtgk8WcZTvLTFnxfgz2gSlqVmls&#13;&#10;ei71yDwje1v9U6quuAUH0g841AlIWXERd8BtRsN322xKZkTcBcFx5gyT+7yy/OmwMS+W+PY7tEhg&#13;&#10;AKQxLnN4GfZppa3DFyclGEcIj2fYROsJx8vxLJ1O0xElHGNpOp7OpuNQJ7n8bqzzPwTUJDg5tchL&#13;&#10;hIsd1s53qaeU0E3DqlIqcqM0aXJ6O74Zxh/OESyuNPa4DBs8327bfoMtFEdczELHuTN8VWHzNXP+&#13;&#10;hVkkGXdB4fpnNFIBNoHeo6QE++d/9yEfsccoJQ2KJqfu955ZQYn6qZGVu9FkElQWD5ObaYoHex3Z&#13;&#10;Xkf0vn4A1CUih9NFN+R7dXKlhfoN9b0MXTHENMfeOfUn98F3Usb3wcVyGZNQV4b5td4YHkoHOAO0&#13;&#10;r+0bs6bH3yN1T3CSF8ve0dDldkQs9x5kFTkKAHeo9rijJiPL/fsJor8+x6zLK1/8BQAA//8DAFBL&#13;&#10;AwQUAAYACAAAACEADLds9ucAAAARAQAADwAAAGRycy9kb3ducmV2LnhtbEyPT0vDQBDF74LfYZmC&#13;&#10;t3aTQGJIsyklUgTRQ2sv3jbZaRK6f2J220Y/veNJLwPD/N6b98rNbDS74uQHZwXEqwgY2tapwXYC&#13;&#10;ju+7ZQ7MB2mV1M6igC/0sKnu70pZKHeze7weQsfIxPpCCuhDGAvOfdujkX7lRrR0O7nJyEDr1HE1&#13;&#10;yRuZG82TKMq4kYOlD70cse6xPR8uRsBLvXuT+yYx+beun19P2/Hz+JEK8bCYn9Y0tmtgAefwp4Df&#13;&#10;DpQfKgrWuItVnmkByzxLCBWQZ2kMjIg0zjJgDaFJ/JgCr0r+v0n1AwAA//8DAFBLAQItABQABgAI&#13;&#10;AAAAIQC2gziS/gAAAOEBAAATAAAAAAAAAAAAAAAAAAAAAABbQ29udGVudF9UeXBlc10ueG1sUEsB&#13;&#10;Ai0AFAAGAAgAAAAhADj9If/WAAAAlAEAAAsAAAAAAAAAAAAAAAAALwEAAF9yZWxzLy5yZWxzUEsB&#13;&#10;Ai0AFAAGAAgAAAAhANukNDUYAgAALQQAAA4AAAAAAAAAAAAAAAAALgIAAGRycy9lMm9Eb2MueG1s&#13;&#10;UEsBAi0AFAAGAAgAAAAhAAy3bPbnAAAAEQEAAA8AAAAAAAAAAAAAAAAAcgQAAGRycy9kb3ducmV2&#13;&#10;LnhtbFBLBQYAAAAABAAEAPMAAACGBQAAAAA=&#13;&#10;" filled="f" stroked="f" strokeweight=".5pt">
                <v:textbox>
                  <w:txbxContent>
                    <w:p w14:paraId="5EB6FACD" w14:textId="19BBD094" w:rsidR="004617BB" w:rsidRDefault="00A07549" w:rsidP="004617BB">
                      <w:pPr>
                        <w:pStyle w:val="Title"/>
                      </w:pPr>
                      <w:r>
                        <w:t xml:space="preserve">Democracy without a Charter </w:t>
                      </w:r>
                    </w:p>
                    <w:p w14:paraId="0923727F" w14:textId="6680CE32" w:rsidR="001F059D" w:rsidRDefault="00A07549" w:rsidP="00D13B2D">
                      <w:pPr>
                        <w:pStyle w:val="Subtitle"/>
                      </w:pPr>
                      <w:r>
                        <w:t>Should Australia Adopt a Bill of Rights?</w:t>
                      </w:r>
                    </w:p>
                  </w:txbxContent>
                </v:textbox>
              </v:shape>
            </w:pict>
          </mc:Fallback>
        </mc:AlternateContent>
      </w:r>
      <w:r w:rsidR="00A07549" w:rsidRPr="008B4E82">
        <w:rPr>
          <w:noProof/>
        </w:rPr>
        <mc:AlternateContent>
          <mc:Choice Requires="wps">
            <w:drawing>
              <wp:anchor distT="0" distB="0" distL="114300" distR="114300" simplePos="0" relativeHeight="251662336" behindDoc="0" locked="0" layoutInCell="1" allowOverlap="1" wp14:anchorId="6666B828" wp14:editId="2DF039EC">
                <wp:simplePos x="0" y="0"/>
                <wp:positionH relativeFrom="column">
                  <wp:posOffset>-505047</wp:posOffset>
                </wp:positionH>
                <wp:positionV relativeFrom="paragraph">
                  <wp:posOffset>7251405</wp:posOffset>
                </wp:positionV>
                <wp:extent cx="2433955" cy="99946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999460"/>
                        </a:xfrm>
                        <a:prstGeom prst="rect">
                          <a:avLst/>
                        </a:prstGeom>
                        <a:noFill/>
                        <a:ln w="6350">
                          <a:noFill/>
                        </a:ln>
                      </wps:spPr>
                      <wps:txbx>
                        <w:txbxContent>
                          <w:p w14:paraId="3B17B765" w14:textId="4441D9CF" w:rsidR="000F108B" w:rsidRPr="00A07549" w:rsidRDefault="000F108B" w:rsidP="00A07549">
                            <w:pPr>
                              <w:rPr>
                                <w:color w:val="FFFFFF" w:themeColor="background1"/>
                                <w:sz w:val="32"/>
                                <w:szCs w:val="32"/>
                              </w:rPr>
                            </w:pPr>
                            <w:r w:rsidRPr="00A07549">
                              <w:rPr>
                                <w:color w:val="FFFFFF" w:themeColor="background1"/>
                                <w:sz w:val="32"/>
                                <w:szCs w:val="32"/>
                              </w:rPr>
                              <w:t>By</w:t>
                            </w:r>
                            <w:r w:rsidR="00A07549">
                              <w:rPr>
                                <w:color w:val="FFFFFF" w:themeColor="background1"/>
                                <w:sz w:val="32"/>
                                <w:szCs w:val="32"/>
                              </w:rPr>
                              <w:t xml:space="preserve"> </w:t>
                            </w:r>
                            <w:r w:rsidR="00A07549" w:rsidRPr="00A07549">
                              <w:rPr>
                                <w:color w:val="FFFFFF" w:themeColor="background1"/>
                                <w:sz w:val="32"/>
                                <w:szCs w:val="32"/>
                              </w:rPr>
                              <w:t>Vaishnavi Padamati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66B828" id="Text Box 21" o:spid="_x0000_s1027" type="#_x0000_t202" style="position:absolute;margin-left:-39.75pt;margin-top:571pt;width:191.65pt;height:78.7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Po02GQIAADMEAAAOAAAAZHJzL2Uyb0RvYy54bWysU9tuGyEQfa+Uf0C81+t765XXkZPIVSUr&#13;&#10;ieRUecYseJFYhgL2rvv1HVjflPap6gsMzDCXcw7z+7bW5CCcV2AKOuj1KRGGQ6nMrqA/3lafv1Li&#13;&#10;AzMl02BEQY/C0/vF3ad5Y3MxhAp0KRzBJMbnjS1oFYLNs8zzStTM98AKg04JrmYBj26XlY41mL3W&#13;&#10;2bDfn2YNuNI64MJ7vH3qnHSR8kspeHiR0otAdEGxt5BWl9ZtXLPFnOU7x2yl+KkN9g9d1EwZLHpJ&#13;&#10;9cQCI3un/khVK+7Agww9DnUGUiou0gw4zaD/YZpNxaxIsyA43l5g8v8vLX8+bOyrI6F9gBYJjIA0&#13;&#10;1uceL+M8rXR13LFTgn6E8HiBTbSBcLwcjkej2WRCCUffbDYbTxOu2fW1dT58E1CTaBTUIS0JLXZY&#13;&#10;+4AVMfQcEosZWCmtEzXakKag09Gknx5cPPhCG3x47TVaod22RJU3c2yhPOJ4DjrmveUrhT2smQ+v&#13;&#10;zCHVOBHKN7zgIjVgLThZlFTgfv3tPsYjA+ilpEHpFNT/3DMnKNHfDXIzG4zHUWvpMJ58GeLB3Xq2&#13;&#10;tx6zrx8B1TnAj2J5MmN80GdTOqjfUeXLWBVdzHCsXdBwNh9DJ2j8JVwslykI1WVZWJuN5TF1RDUi&#13;&#10;/Na+M2dPNAQk8BnOImP5Bza62I6P5T6AVImqiHOH6gl+VGZi8PSLovRvzynq+tcXvwEAAP//AwBQ&#13;&#10;SwMEFAAGAAgAAAAhADcQk6/pAAAAEgEAAA8AAABkcnMvZG93bnJldi54bWxMj01PwkAQhu8m/ofN&#13;&#10;mHiDLQWUlm4JqSEmBg98XLhtu0PbuB+1u0D11zue9DLJzLzzzvtkq8FodsXet84KmIwjYGgrp1pb&#13;&#10;CzgeNqMFMB+kVVI7iwK+0MMqv7/LZKrcze7wug81IxPrUymgCaFLOfdVg0b6sevQ0u7seiMDtX3N&#13;&#10;VS9vZG40j6PoiRvZWvrQyA6LBquP/cUIeCs273JXxmbxrYvX7XndfR5PcyEeH4aXJZX1EljAIfxd&#13;&#10;wC8D5YecgpXuYpVnWsDoOZmTlBaTWUxoJJlGU0IqaRQnyQx4nvH/KPkPAAAA//8DAFBLAQItABQA&#13;&#10;BgAIAAAAIQC2gziS/gAAAOEBAAATAAAAAAAAAAAAAAAAAAAAAABbQ29udGVudF9UeXBlc10ueG1s&#13;&#10;UEsBAi0AFAAGAAgAAAAhADj9If/WAAAAlAEAAAsAAAAAAAAAAAAAAAAALwEAAF9yZWxzLy5yZWxz&#13;&#10;UEsBAi0AFAAGAAgAAAAhAIE+jTYZAgAAMwQAAA4AAAAAAAAAAAAAAAAALgIAAGRycy9lMm9Eb2Mu&#13;&#10;eG1sUEsBAi0AFAAGAAgAAAAhADcQk6/pAAAAEgEAAA8AAAAAAAAAAAAAAAAAcwQAAGRycy9kb3du&#13;&#10;cmV2LnhtbFBLBQYAAAAABAAEAPMAAACJBQAAAAA=&#13;&#10;" filled="f" stroked="f" strokeweight=".5pt">
                <v:textbox>
                  <w:txbxContent>
                    <w:p w14:paraId="3B17B765" w14:textId="4441D9CF" w:rsidR="000F108B" w:rsidRPr="00A07549" w:rsidRDefault="000F108B" w:rsidP="00A07549">
                      <w:pPr>
                        <w:rPr>
                          <w:color w:val="FFFFFF" w:themeColor="background1"/>
                          <w:sz w:val="32"/>
                          <w:szCs w:val="32"/>
                        </w:rPr>
                      </w:pPr>
                      <w:r w:rsidRPr="00A07549">
                        <w:rPr>
                          <w:color w:val="FFFFFF" w:themeColor="background1"/>
                          <w:sz w:val="32"/>
                          <w:szCs w:val="32"/>
                        </w:rPr>
                        <w:t>By</w:t>
                      </w:r>
                      <w:r w:rsidR="00A07549">
                        <w:rPr>
                          <w:color w:val="FFFFFF" w:themeColor="background1"/>
                          <w:sz w:val="32"/>
                          <w:szCs w:val="32"/>
                        </w:rPr>
                        <w:t xml:space="preserve"> </w:t>
                      </w:r>
                      <w:r w:rsidR="00A07549" w:rsidRPr="00A07549">
                        <w:rPr>
                          <w:color w:val="FFFFFF" w:themeColor="background1"/>
                          <w:sz w:val="32"/>
                          <w:szCs w:val="32"/>
                        </w:rPr>
                        <w:t>Vaishnavi Padamati</w:t>
                      </w:r>
                    </w:p>
                  </w:txbxContent>
                </v:textbox>
              </v:shape>
            </w:pict>
          </mc:Fallback>
        </mc:AlternateContent>
      </w:r>
      <w:r w:rsidR="000F108B" w:rsidRPr="008B4E82">
        <w:br w:type="page"/>
      </w:r>
    </w:p>
    <w:p w14:paraId="58DAE5AB" w14:textId="77777777" w:rsidR="00A07549" w:rsidRDefault="00A07549" w:rsidP="00A07549">
      <w:pPr>
        <w:jc w:val="both"/>
        <w:rPr>
          <w:rFonts w:eastAsia="Times New Roman"/>
          <w:sz w:val="24"/>
          <w:szCs w:val="24"/>
        </w:rPr>
      </w:pPr>
    </w:p>
    <w:p w14:paraId="60A9A38A" w14:textId="29541DA2" w:rsidR="00A07549" w:rsidRPr="00594544" w:rsidRDefault="00594544" w:rsidP="00594544">
      <w:pPr>
        <w:pStyle w:val="Heading1"/>
      </w:pPr>
      <w:r w:rsidRPr="00594544">
        <w:t xml:space="preserve"> I INTRODUCTION</w:t>
      </w:r>
    </w:p>
    <w:p w14:paraId="66F3DDD7" w14:textId="77777777" w:rsidR="00A07549" w:rsidRDefault="00A07549" w:rsidP="00A07549">
      <w:pPr>
        <w:spacing w:before="240"/>
        <w:jc w:val="both"/>
        <w:rPr>
          <w:rFonts w:eastAsia="Times New Roman"/>
          <w:sz w:val="24"/>
          <w:szCs w:val="24"/>
        </w:rPr>
      </w:pPr>
      <w:r>
        <w:rPr>
          <w:rFonts w:eastAsia="Times New Roman"/>
          <w:sz w:val="24"/>
          <w:szCs w:val="24"/>
        </w:rPr>
        <w:t>A charter of rights plays a fundamental role within a democracy. The United States, Canada and the United Kingdom have adopted a Bill of Rights with legal instruments that clearly protect individual freedoms and rights, limiting government interference and eradicating an abuse of power. Australia, however, remains an outlier. It is one of the few Western democracies that fails to have a comprehensive, national Bill of Rights. Instead, rights protection in Australia is scattered across a combination of constitutional provisions, common law principles and ordinary legislation. This gap has sparked an ongoing debate, raising a significant and controversial question: does Australia require a Bill of Rights, or is its existing system sufficient to protect individual liberties?</w:t>
      </w:r>
    </w:p>
    <w:p w14:paraId="349272D9" w14:textId="4E57FB85" w:rsidR="00A07549" w:rsidRDefault="00594544" w:rsidP="00594544">
      <w:pPr>
        <w:pStyle w:val="Heading1"/>
      </w:pPr>
      <w:r>
        <w:t>II WHAT IS A BILL OF RIGHTS?</w:t>
      </w:r>
    </w:p>
    <w:p w14:paraId="714CBE54" w14:textId="6DE3DDD2" w:rsidR="00A07549" w:rsidRDefault="000F181E" w:rsidP="00A07549">
      <w:pPr>
        <w:jc w:val="both"/>
        <w:rPr>
          <w:rFonts w:eastAsia="Times New Roman"/>
          <w:sz w:val="24"/>
          <w:szCs w:val="24"/>
        </w:rPr>
      </w:pPr>
      <w:r>
        <w:rPr>
          <w:rFonts w:eastAsia="Times New Roman"/>
          <w:sz w:val="24"/>
          <w:szCs w:val="24"/>
        </w:rPr>
        <w:t xml:space="preserve">A </w:t>
      </w:r>
      <w:r w:rsidR="00A07549">
        <w:rPr>
          <w:rFonts w:eastAsia="Times New Roman"/>
          <w:sz w:val="24"/>
          <w:szCs w:val="24"/>
        </w:rPr>
        <w:t>Bill of Rights refers to a legal document that sets out the fundamental rights and freedoms belonging to a country's citizens</w:t>
      </w:r>
      <w:r>
        <w:rPr>
          <w:rFonts w:eastAsia="Times New Roman"/>
          <w:sz w:val="24"/>
          <w:szCs w:val="24"/>
        </w:rPr>
        <w:t>; t</w:t>
      </w:r>
      <w:r w:rsidR="00A07549">
        <w:rPr>
          <w:rFonts w:eastAsia="Times New Roman"/>
          <w:sz w:val="24"/>
          <w:szCs w:val="24"/>
        </w:rPr>
        <w:t>his can range from freedom of speech, right to life, equality before the law to protection from arbitrary detention. A Bill of Rights is usually passed as a law through parliament and belongs to the domestic law of the country</w:t>
      </w:r>
      <w:r>
        <w:rPr>
          <w:rFonts w:eastAsia="Times New Roman"/>
          <w:sz w:val="24"/>
          <w:szCs w:val="24"/>
        </w:rPr>
        <w:t>.</w:t>
      </w:r>
      <w:r w:rsidR="00A07549">
        <w:rPr>
          <w:rFonts w:eastAsia="Times New Roman"/>
          <w:sz w:val="24"/>
          <w:szCs w:val="24"/>
          <w:vertAlign w:val="superscript"/>
        </w:rPr>
        <w:footnoteReference w:id="1"/>
      </w:r>
      <w:r w:rsidR="00A07549">
        <w:rPr>
          <w:rFonts w:eastAsia="Times New Roman"/>
          <w:sz w:val="24"/>
          <w:szCs w:val="24"/>
        </w:rPr>
        <w:t xml:space="preserve"> Australia does not have a Bill of Rights. The purpose of a Bill of Rights is to protect individual freedoms, particularly minorities, from excessive government power and to reinforce clear standards against which laws can be assessed</w:t>
      </w:r>
      <w:r w:rsidR="009C5DF6">
        <w:rPr>
          <w:rFonts w:eastAsia="Times New Roman"/>
          <w:sz w:val="24"/>
          <w:szCs w:val="24"/>
        </w:rPr>
        <w:t>.</w:t>
      </w:r>
      <w:r w:rsidR="00A07549">
        <w:rPr>
          <w:rFonts w:eastAsia="Times New Roman"/>
          <w:sz w:val="24"/>
          <w:szCs w:val="24"/>
          <w:vertAlign w:val="superscript"/>
        </w:rPr>
        <w:footnoteReference w:id="2"/>
      </w:r>
      <w:r w:rsidR="00A07549">
        <w:rPr>
          <w:rFonts w:eastAsia="Times New Roman"/>
          <w:sz w:val="24"/>
          <w:szCs w:val="24"/>
        </w:rPr>
        <w:t xml:space="preserve"> The main organisation that deals with human rights in Australia is the Australian Human Rights Commission.</w:t>
      </w:r>
    </w:p>
    <w:p w14:paraId="282E9201" w14:textId="59308FA0" w:rsidR="00A07549" w:rsidRDefault="00594544" w:rsidP="00594544">
      <w:pPr>
        <w:pStyle w:val="Heading1"/>
      </w:pPr>
      <w:bookmarkStart w:id="0" w:name="_l4gkwia9berc" w:colFirst="0" w:colLast="0"/>
      <w:bookmarkEnd w:id="0"/>
      <w:r>
        <w:t>III HOW ARE RIGHTS PROTECTED IN AUSTRALIA?</w:t>
      </w:r>
    </w:p>
    <w:p w14:paraId="1DA40303" w14:textId="40B1634F" w:rsidR="00A07549" w:rsidRDefault="00A07549" w:rsidP="00A07549">
      <w:pPr>
        <w:jc w:val="both"/>
        <w:rPr>
          <w:rFonts w:eastAsia="Times New Roman"/>
          <w:sz w:val="24"/>
          <w:szCs w:val="24"/>
        </w:rPr>
      </w:pPr>
      <w:r>
        <w:rPr>
          <w:rFonts w:eastAsia="Times New Roman"/>
          <w:sz w:val="24"/>
          <w:szCs w:val="24"/>
        </w:rPr>
        <w:t>Since Australia does not have a formal Bill of Rights, some of these rights and freedoms are protected in limited ways through Common law and Statute. The Australian Constitution contains a small number of express rights and freedoms</w:t>
      </w:r>
      <w:r w:rsidR="009C5DF6">
        <w:rPr>
          <w:rFonts w:eastAsia="Times New Roman"/>
          <w:sz w:val="24"/>
          <w:szCs w:val="24"/>
        </w:rPr>
        <w:t>.</w:t>
      </w:r>
      <w:r w:rsidR="00136756">
        <w:rPr>
          <w:rFonts w:eastAsia="Times New Roman"/>
          <w:sz w:val="24"/>
          <w:szCs w:val="24"/>
          <w:vertAlign w:val="superscript"/>
        </w:rPr>
        <w:footnoteReference w:id="3"/>
      </w:r>
      <w:r w:rsidR="00136756">
        <w:rPr>
          <w:rFonts w:eastAsia="Times New Roman"/>
          <w:sz w:val="24"/>
          <w:szCs w:val="24"/>
        </w:rPr>
        <w:t xml:space="preserve"> This includes the following;</w:t>
      </w:r>
      <w:r w:rsidR="009C5DF6">
        <w:rPr>
          <w:rFonts w:eastAsia="Times New Roman"/>
          <w:sz w:val="24"/>
          <w:szCs w:val="24"/>
        </w:rPr>
        <w:t xml:space="preserve"> </w:t>
      </w:r>
      <w:r>
        <w:rPr>
          <w:rFonts w:eastAsia="Times New Roman"/>
          <w:sz w:val="24"/>
          <w:szCs w:val="24"/>
        </w:rPr>
        <w:t>s</w:t>
      </w:r>
      <w:r w:rsidR="00136756">
        <w:rPr>
          <w:rFonts w:eastAsia="Times New Roman"/>
          <w:sz w:val="24"/>
          <w:szCs w:val="24"/>
        </w:rPr>
        <w:t xml:space="preserve"> </w:t>
      </w:r>
      <w:r>
        <w:rPr>
          <w:rFonts w:eastAsia="Times New Roman"/>
          <w:sz w:val="24"/>
          <w:szCs w:val="24"/>
        </w:rPr>
        <w:t>51 (xxxi)</w:t>
      </w:r>
      <w:r w:rsidR="00136756">
        <w:rPr>
          <w:rFonts w:eastAsia="Times New Roman"/>
          <w:sz w:val="24"/>
          <w:szCs w:val="24"/>
        </w:rPr>
        <w:t xml:space="preserve"> </w:t>
      </w:r>
      <w:r>
        <w:rPr>
          <w:rFonts w:eastAsia="Times New Roman"/>
          <w:sz w:val="24"/>
          <w:szCs w:val="24"/>
        </w:rPr>
        <w:t>involves protection against acquisition of property on unjust terms</w:t>
      </w:r>
      <w:r w:rsidR="00136756">
        <w:rPr>
          <w:rFonts w:eastAsia="Times New Roman"/>
          <w:sz w:val="24"/>
          <w:szCs w:val="24"/>
        </w:rPr>
        <w:t>,</w:t>
      </w:r>
      <w:r w:rsidR="00136756">
        <w:rPr>
          <w:rFonts w:eastAsia="Times New Roman"/>
          <w:sz w:val="24"/>
          <w:szCs w:val="24"/>
          <w:vertAlign w:val="superscript"/>
        </w:rPr>
        <w:footnoteReference w:id="4"/>
      </w:r>
      <w:r>
        <w:rPr>
          <w:rFonts w:eastAsia="Times New Roman"/>
          <w:sz w:val="24"/>
          <w:szCs w:val="24"/>
        </w:rPr>
        <w:t xml:space="preserve"> s 80 guarantees the right to ‘trial by jury’ for certain </w:t>
      </w:r>
      <w:r>
        <w:rPr>
          <w:rFonts w:eastAsia="Times New Roman"/>
          <w:sz w:val="24"/>
          <w:szCs w:val="24"/>
        </w:rPr>
        <w:lastRenderedPageBreak/>
        <w:t>commonwealth offences</w:t>
      </w:r>
      <w:r w:rsidR="00136756">
        <w:rPr>
          <w:rFonts w:eastAsia="Times New Roman"/>
          <w:sz w:val="24"/>
          <w:szCs w:val="24"/>
        </w:rPr>
        <w:t>,</w:t>
      </w:r>
      <w:r w:rsidR="00136756">
        <w:rPr>
          <w:rFonts w:eastAsia="Times New Roman"/>
          <w:sz w:val="24"/>
          <w:szCs w:val="24"/>
          <w:vertAlign w:val="superscript"/>
        </w:rPr>
        <w:footnoteReference w:id="5"/>
      </w:r>
      <w:r w:rsidR="00136756">
        <w:rPr>
          <w:rFonts w:eastAsia="Times New Roman"/>
          <w:sz w:val="24"/>
          <w:szCs w:val="24"/>
        </w:rPr>
        <w:t xml:space="preserve"> </w:t>
      </w:r>
      <w:r>
        <w:rPr>
          <w:rFonts w:eastAsia="Times New Roman"/>
          <w:sz w:val="24"/>
          <w:szCs w:val="24"/>
        </w:rPr>
        <w:t>s 92 allows trade and commerce between states to be ‘absolutely free’</w:t>
      </w:r>
      <w:r w:rsidR="00136756">
        <w:rPr>
          <w:rFonts w:eastAsia="Times New Roman"/>
          <w:sz w:val="24"/>
          <w:szCs w:val="24"/>
        </w:rPr>
        <w:t>,</w:t>
      </w:r>
      <w:r>
        <w:rPr>
          <w:rFonts w:eastAsia="Times New Roman"/>
          <w:sz w:val="24"/>
          <w:szCs w:val="24"/>
          <w:vertAlign w:val="superscript"/>
        </w:rPr>
        <w:footnoteReference w:id="6"/>
      </w:r>
      <w:r w:rsidR="00136756">
        <w:rPr>
          <w:rFonts w:eastAsia="Times New Roman"/>
          <w:sz w:val="24"/>
          <w:szCs w:val="24"/>
        </w:rPr>
        <w:t xml:space="preserve"> </w:t>
      </w:r>
      <w:r>
        <w:rPr>
          <w:rFonts w:eastAsia="Times New Roman"/>
          <w:sz w:val="24"/>
          <w:szCs w:val="24"/>
        </w:rPr>
        <w:t>s 116 guarantees religious freedom</w:t>
      </w:r>
      <w:r w:rsidR="0063530D">
        <w:rPr>
          <w:rFonts w:eastAsia="Times New Roman"/>
          <w:sz w:val="24"/>
          <w:szCs w:val="24"/>
        </w:rPr>
        <w:t>,</w:t>
      </w:r>
      <w:r>
        <w:rPr>
          <w:rFonts w:eastAsia="Times New Roman"/>
          <w:sz w:val="24"/>
          <w:szCs w:val="24"/>
          <w:vertAlign w:val="superscript"/>
        </w:rPr>
        <w:footnoteReference w:id="7"/>
      </w:r>
      <w:r w:rsidR="00136756">
        <w:rPr>
          <w:rFonts w:eastAsia="Times New Roman"/>
          <w:sz w:val="24"/>
          <w:szCs w:val="24"/>
        </w:rPr>
        <w:t xml:space="preserve"> and </w:t>
      </w:r>
      <w:r>
        <w:rPr>
          <w:rFonts w:eastAsia="Times New Roman"/>
          <w:sz w:val="24"/>
          <w:szCs w:val="24"/>
        </w:rPr>
        <w:t>s 117 prohibits discrimination on the basis of state of residency</w:t>
      </w:r>
      <w:r w:rsidR="00E93193">
        <w:rPr>
          <w:rFonts w:eastAsia="Times New Roman"/>
          <w:sz w:val="24"/>
          <w:szCs w:val="24"/>
        </w:rPr>
        <w:t>.</w:t>
      </w:r>
      <w:r>
        <w:rPr>
          <w:rFonts w:eastAsia="Times New Roman"/>
          <w:sz w:val="24"/>
          <w:szCs w:val="24"/>
          <w:vertAlign w:val="superscript"/>
        </w:rPr>
        <w:footnoteReference w:id="8"/>
      </w:r>
    </w:p>
    <w:p w14:paraId="38144AFB" w14:textId="50EA9B7C" w:rsidR="00A07549" w:rsidRDefault="00594544" w:rsidP="00594544">
      <w:pPr>
        <w:pStyle w:val="Heading1"/>
      </w:pPr>
      <w:r>
        <w:t xml:space="preserve">IV ARGUMENTS IN FAVOUR OF A BILL OF RIGHTS </w:t>
      </w:r>
    </w:p>
    <w:p w14:paraId="67E6B92A" w14:textId="77777777" w:rsidR="00136756" w:rsidRDefault="00A07549" w:rsidP="00A07549">
      <w:pPr>
        <w:spacing w:before="240"/>
        <w:jc w:val="both"/>
        <w:rPr>
          <w:rFonts w:eastAsia="Times New Roman"/>
          <w:sz w:val="24"/>
          <w:szCs w:val="24"/>
        </w:rPr>
      </w:pPr>
      <w:r>
        <w:rPr>
          <w:rFonts w:eastAsia="Times New Roman"/>
          <w:sz w:val="24"/>
          <w:szCs w:val="24"/>
        </w:rPr>
        <w:t>The Human Rights Commission asserts that it is essential to introduce a statutory Charter of Rights in Australia as it ensures a greater protection of human rights</w:t>
      </w:r>
      <w:r w:rsidR="00136756">
        <w:rPr>
          <w:rFonts w:eastAsia="Times New Roman"/>
          <w:sz w:val="24"/>
          <w:szCs w:val="24"/>
        </w:rPr>
        <w:t>.</w:t>
      </w:r>
      <w:r>
        <w:rPr>
          <w:rFonts w:eastAsia="Times New Roman"/>
          <w:sz w:val="24"/>
          <w:szCs w:val="24"/>
          <w:vertAlign w:val="superscript"/>
        </w:rPr>
        <w:footnoteReference w:id="9"/>
      </w:r>
      <w:r>
        <w:rPr>
          <w:rFonts w:eastAsia="Times New Roman"/>
          <w:sz w:val="24"/>
          <w:szCs w:val="24"/>
        </w:rPr>
        <w:t xml:space="preserve"> It </w:t>
      </w:r>
      <w:r w:rsidR="00136756">
        <w:rPr>
          <w:rFonts w:eastAsia="Times New Roman"/>
          <w:sz w:val="24"/>
          <w:szCs w:val="24"/>
        </w:rPr>
        <w:t xml:space="preserve">stipulates </w:t>
      </w:r>
      <w:r>
        <w:rPr>
          <w:rFonts w:eastAsia="Times New Roman"/>
          <w:sz w:val="24"/>
          <w:szCs w:val="24"/>
        </w:rPr>
        <w:t>that the general Australian public must receive greater education and knowledge in relation to Human Rights</w:t>
      </w:r>
      <w:r w:rsidR="00136756">
        <w:rPr>
          <w:rFonts w:eastAsia="Times New Roman"/>
          <w:sz w:val="24"/>
          <w:szCs w:val="24"/>
        </w:rPr>
        <w:t xml:space="preserve">, and that the implementation of a </w:t>
      </w:r>
      <w:r>
        <w:rPr>
          <w:rFonts w:eastAsia="Times New Roman"/>
          <w:sz w:val="24"/>
          <w:szCs w:val="24"/>
        </w:rPr>
        <w:t>Human Rights Act could bring the community closer to this step</w:t>
      </w:r>
      <w:r w:rsidR="00136756">
        <w:rPr>
          <w:rFonts w:eastAsia="Times New Roman"/>
          <w:sz w:val="24"/>
          <w:szCs w:val="24"/>
        </w:rPr>
        <w:t>.</w:t>
      </w:r>
      <w:r>
        <w:rPr>
          <w:rFonts w:eastAsia="Times New Roman"/>
          <w:sz w:val="24"/>
          <w:szCs w:val="24"/>
          <w:vertAlign w:val="superscript"/>
        </w:rPr>
        <w:footnoteReference w:id="10"/>
      </w:r>
      <w:r>
        <w:rPr>
          <w:rFonts w:eastAsia="Times New Roman"/>
          <w:sz w:val="24"/>
          <w:szCs w:val="24"/>
        </w:rPr>
        <w:t xml:space="preserve"> A submission supporting the introduction of a Federal Human Rights Act was lodged before the Australia 2020 summit in April 2008</w:t>
      </w:r>
      <w:r w:rsidR="00136756">
        <w:rPr>
          <w:rFonts w:eastAsia="Times New Roman"/>
          <w:sz w:val="24"/>
          <w:szCs w:val="24"/>
        </w:rPr>
        <w:t>.</w:t>
      </w:r>
      <w:r>
        <w:rPr>
          <w:rFonts w:eastAsia="Times New Roman"/>
          <w:sz w:val="24"/>
          <w:szCs w:val="24"/>
          <w:vertAlign w:val="superscript"/>
        </w:rPr>
        <w:footnoteReference w:id="11"/>
      </w:r>
      <w:r>
        <w:rPr>
          <w:rFonts w:eastAsia="Times New Roman"/>
          <w:sz w:val="24"/>
          <w:szCs w:val="24"/>
        </w:rPr>
        <w:t xml:space="preserve"> The Commission further filed </w:t>
      </w:r>
      <w:r w:rsidR="00136756">
        <w:rPr>
          <w:rFonts w:eastAsia="Times New Roman"/>
          <w:sz w:val="24"/>
          <w:szCs w:val="24"/>
        </w:rPr>
        <w:t>several</w:t>
      </w:r>
      <w:r>
        <w:rPr>
          <w:rFonts w:eastAsia="Times New Roman"/>
          <w:sz w:val="24"/>
          <w:szCs w:val="24"/>
        </w:rPr>
        <w:t xml:space="preserve"> submissions in multiple states across Australia</w:t>
      </w:r>
      <w:r w:rsidR="00136756">
        <w:rPr>
          <w:rFonts w:eastAsia="Times New Roman"/>
          <w:sz w:val="24"/>
          <w:szCs w:val="24"/>
        </w:rPr>
        <w:t xml:space="preserve">; </w:t>
      </w:r>
      <w:r>
        <w:rPr>
          <w:rFonts w:eastAsia="Times New Roman"/>
          <w:sz w:val="24"/>
          <w:szCs w:val="24"/>
        </w:rPr>
        <w:t>including the 2007 proposal for a Human Rights Bill in Western Australia, an initiative for the introduction of a Charter of Rights in Tasmania in 2006</w:t>
      </w:r>
      <w:r w:rsidR="00136756">
        <w:rPr>
          <w:rFonts w:eastAsia="Times New Roman"/>
          <w:sz w:val="24"/>
          <w:szCs w:val="24"/>
        </w:rPr>
        <w:t>,</w:t>
      </w:r>
      <w:r>
        <w:rPr>
          <w:rFonts w:eastAsia="Times New Roman"/>
          <w:sz w:val="24"/>
          <w:szCs w:val="24"/>
        </w:rPr>
        <w:t xml:space="preserve"> and to the Victorian Consultation Committee in 2005</w:t>
      </w:r>
      <w:r w:rsidR="00136756">
        <w:rPr>
          <w:rFonts w:eastAsia="Times New Roman"/>
          <w:sz w:val="24"/>
          <w:szCs w:val="24"/>
        </w:rPr>
        <w:t>.</w:t>
      </w:r>
      <w:r>
        <w:rPr>
          <w:rFonts w:eastAsia="Times New Roman"/>
          <w:sz w:val="24"/>
          <w:szCs w:val="24"/>
          <w:vertAlign w:val="superscript"/>
        </w:rPr>
        <w:footnoteReference w:id="12"/>
      </w:r>
      <w:r>
        <w:rPr>
          <w:rFonts w:eastAsia="Times New Roman"/>
          <w:sz w:val="24"/>
          <w:szCs w:val="24"/>
        </w:rPr>
        <w:t xml:space="preserve"> </w:t>
      </w:r>
    </w:p>
    <w:p w14:paraId="7D8D3E32" w14:textId="7B5A3B90" w:rsidR="00A07549" w:rsidRDefault="00A07549" w:rsidP="00A07549">
      <w:pPr>
        <w:spacing w:before="240"/>
        <w:jc w:val="both"/>
        <w:rPr>
          <w:rFonts w:eastAsia="Times New Roman"/>
          <w:sz w:val="24"/>
          <w:szCs w:val="24"/>
        </w:rPr>
      </w:pPr>
      <w:r>
        <w:rPr>
          <w:rFonts w:eastAsia="Times New Roman"/>
          <w:sz w:val="24"/>
          <w:szCs w:val="24"/>
        </w:rPr>
        <w:t xml:space="preserve">Supporters for a Charter of Rights </w:t>
      </w:r>
      <w:r w:rsidR="00136756">
        <w:rPr>
          <w:rFonts w:eastAsia="Times New Roman"/>
          <w:sz w:val="24"/>
          <w:szCs w:val="24"/>
        </w:rPr>
        <w:t>state</w:t>
      </w:r>
      <w:r>
        <w:rPr>
          <w:rFonts w:eastAsia="Times New Roman"/>
          <w:sz w:val="24"/>
          <w:szCs w:val="24"/>
        </w:rPr>
        <w:t xml:space="preserve"> that the implementation of a Human Rights Act will provide a clear and unified framework that reflects and embed Australian values into the legal system</w:t>
      </w:r>
      <w:r w:rsidR="00136756">
        <w:rPr>
          <w:rFonts w:eastAsia="Times New Roman"/>
          <w:sz w:val="24"/>
          <w:szCs w:val="24"/>
        </w:rPr>
        <w:t>.</w:t>
      </w:r>
      <w:r>
        <w:rPr>
          <w:rFonts w:eastAsia="Times New Roman"/>
          <w:sz w:val="24"/>
          <w:szCs w:val="24"/>
          <w:vertAlign w:val="superscript"/>
        </w:rPr>
        <w:footnoteReference w:id="13"/>
      </w:r>
      <w:r>
        <w:rPr>
          <w:rFonts w:eastAsia="Times New Roman"/>
          <w:sz w:val="24"/>
          <w:szCs w:val="24"/>
        </w:rPr>
        <w:t xml:space="preserve">  Advocates such as Rosalind Croucher further highlight the need for a Human Rights Act to promote and codify human rights in Australia</w:t>
      </w:r>
      <w:r w:rsidR="00136756">
        <w:rPr>
          <w:rFonts w:eastAsia="Times New Roman"/>
          <w:sz w:val="24"/>
          <w:szCs w:val="24"/>
        </w:rPr>
        <w:t>.</w:t>
      </w:r>
      <w:r>
        <w:rPr>
          <w:rFonts w:eastAsia="Times New Roman"/>
          <w:sz w:val="24"/>
          <w:szCs w:val="24"/>
          <w:vertAlign w:val="superscript"/>
        </w:rPr>
        <w:footnoteReference w:id="14"/>
      </w:r>
      <w:r>
        <w:rPr>
          <w:rFonts w:eastAsia="Times New Roman"/>
          <w:sz w:val="24"/>
          <w:szCs w:val="24"/>
        </w:rPr>
        <w:t xml:space="preserve"> Adopting a Bill of Rights also upholds the international obligations highlighted in the Universal Declaration of Human Rights (UDHR),</w:t>
      </w:r>
      <w:r w:rsidR="00E93193">
        <w:rPr>
          <w:rStyle w:val="FootnoteReference"/>
          <w:rFonts w:eastAsia="Times New Roman"/>
          <w:sz w:val="24"/>
          <w:szCs w:val="24"/>
        </w:rPr>
        <w:footnoteReference w:id="15"/>
      </w:r>
      <w:r>
        <w:rPr>
          <w:rFonts w:eastAsia="Times New Roman"/>
          <w:sz w:val="24"/>
          <w:szCs w:val="24"/>
        </w:rPr>
        <w:t xml:space="preserve"> </w:t>
      </w:r>
      <w:r w:rsidR="0002641F">
        <w:rPr>
          <w:rFonts w:eastAsia="Times New Roman"/>
          <w:sz w:val="24"/>
          <w:szCs w:val="24"/>
        </w:rPr>
        <w:t xml:space="preserve">the </w:t>
      </w:r>
      <w:r>
        <w:rPr>
          <w:rFonts w:eastAsia="Times New Roman"/>
          <w:sz w:val="24"/>
          <w:szCs w:val="24"/>
        </w:rPr>
        <w:t>International Covenant of Civil and Political Rights (ICCPR)</w:t>
      </w:r>
      <w:r w:rsidR="0002641F">
        <w:rPr>
          <w:rFonts w:eastAsia="Times New Roman"/>
          <w:sz w:val="24"/>
          <w:szCs w:val="24"/>
        </w:rPr>
        <w:t>,</w:t>
      </w:r>
      <w:r w:rsidR="0002641F">
        <w:rPr>
          <w:rStyle w:val="FootnoteReference"/>
          <w:rFonts w:eastAsia="Times New Roman"/>
          <w:sz w:val="24"/>
          <w:szCs w:val="24"/>
        </w:rPr>
        <w:footnoteReference w:id="16"/>
      </w:r>
      <w:r>
        <w:rPr>
          <w:rFonts w:eastAsia="Times New Roman"/>
          <w:sz w:val="24"/>
          <w:szCs w:val="24"/>
        </w:rPr>
        <w:t xml:space="preserve"> and the International Convention on Economic, Social and Cultural Rights (ICESCR)</w:t>
      </w:r>
      <w:r w:rsidR="0002641F">
        <w:rPr>
          <w:rFonts w:eastAsia="Times New Roman"/>
          <w:sz w:val="24"/>
          <w:szCs w:val="24"/>
        </w:rPr>
        <w:t>.</w:t>
      </w:r>
      <w:r>
        <w:rPr>
          <w:rFonts w:eastAsia="Times New Roman"/>
          <w:sz w:val="24"/>
          <w:szCs w:val="24"/>
          <w:vertAlign w:val="superscript"/>
        </w:rPr>
        <w:footnoteReference w:id="17"/>
      </w:r>
      <w:r>
        <w:rPr>
          <w:rFonts w:eastAsia="Times New Roman"/>
          <w:sz w:val="24"/>
          <w:szCs w:val="24"/>
        </w:rPr>
        <w:t xml:space="preserve"> Through the integration of these rights and freedoms, Australia takes a stance in support of international principles and provides a consistent framework. Individuals </w:t>
      </w:r>
      <w:r>
        <w:rPr>
          <w:rFonts w:eastAsia="Times New Roman"/>
          <w:sz w:val="24"/>
          <w:szCs w:val="24"/>
        </w:rPr>
        <w:lastRenderedPageBreak/>
        <w:t>in support of this further argue that establishing a Charter of Rights makes fundamental rights and freedoms more accessible and clearer</w:t>
      </w:r>
      <w:r w:rsidR="0002641F">
        <w:rPr>
          <w:rFonts w:eastAsia="Times New Roman"/>
          <w:sz w:val="24"/>
          <w:szCs w:val="24"/>
        </w:rPr>
        <w:t>.</w:t>
      </w:r>
      <w:r>
        <w:rPr>
          <w:rFonts w:eastAsia="Times New Roman"/>
          <w:sz w:val="24"/>
          <w:szCs w:val="24"/>
          <w:vertAlign w:val="superscript"/>
        </w:rPr>
        <w:footnoteReference w:id="18"/>
      </w:r>
      <w:r>
        <w:rPr>
          <w:rFonts w:eastAsia="Times New Roman"/>
          <w:sz w:val="24"/>
          <w:szCs w:val="24"/>
        </w:rPr>
        <w:t xml:space="preserve">  </w:t>
      </w:r>
      <w:r w:rsidR="0002641F">
        <w:rPr>
          <w:rFonts w:eastAsia="Times New Roman"/>
          <w:sz w:val="24"/>
          <w:szCs w:val="24"/>
        </w:rPr>
        <w:t>This is because it</w:t>
      </w:r>
      <w:r>
        <w:rPr>
          <w:rFonts w:eastAsia="Times New Roman"/>
          <w:sz w:val="24"/>
          <w:szCs w:val="24"/>
        </w:rPr>
        <w:t xml:space="preserve"> allows members of society to further their knowledge and understanding of what constitutes human rights by reducing ambiguity and increasing consistency</w:t>
      </w:r>
      <w:r w:rsidR="0002641F">
        <w:rPr>
          <w:rFonts w:eastAsia="Times New Roman"/>
          <w:sz w:val="24"/>
          <w:szCs w:val="24"/>
        </w:rPr>
        <w:t>.</w:t>
      </w:r>
      <w:r>
        <w:rPr>
          <w:rFonts w:eastAsia="Times New Roman"/>
          <w:sz w:val="24"/>
          <w:szCs w:val="24"/>
          <w:vertAlign w:val="superscript"/>
        </w:rPr>
        <w:footnoteReference w:id="19"/>
      </w:r>
      <w:r>
        <w:rPr>
          <w:rFonts w:eastAsia="Times New Roman"/>
          <w:sz w:val="24"/>
          <w:szCs w:val="24"/>
        </w:rPr>
        <w:t xml:space="preserve"> Another</w:t>
      </w:r>
      <w:r w:rsidR="0002641F">
        <w:rPr>
          <w:rFonts w:eastAsia="Times New Roman"/>
          <w:sz w:val="24"/>
          <w:szCs w:val="24"/>
        </w:rPr>
        <w:t xml:space="preserve"> </w:t>
      </w:r>
      <w:r>
        <w:rPr>
          <w:rFonts w:eastAsia="Times New Roman"/>
          <w:sz w:val="24"/>
          <w:szCs w:val="24"/>
        </w:rPr>
        <w:t>advantage involves improving government accountability</w:t>
      </w:r>
      <w:r w:rsidR="0002641F">
        <w:rPr>
          <w:rFonts w:eastAsia="Times New Roman"/>
          <w:sz w:val="24"/>
          <w:szCs w:val="24"/>
        </w:rPr>
        <w:t>;</w:t>
      </w:r>
      <w:r>
        <w:rPr>
          <w:rFonts w:eastAsia="Times New Roman"/>
          <w:sz w:val="24"/>
          <w:szCs w:val="24"/>
        </w:rPr>
        <w:t xml:space="preserve"> introducing a Human Rights Act compels government officials to create public policies and laws in correspondence with the established rights and freedoms, holding authorities responsible for protecting individuals</w:t>
      </w:r>
      <w:r w:rsidR="0002641F">
        <w:rPr>
          <w:rFonts w:eastAsia="Times New Roman"/>
          <w:sz w:val="24"/>
          <w:szCs w:val="24"/>
        </w:rPr>
        <w:t>.</w:t>
      </w:r>
      <w:r>
        <w:rPr>
          <w:rFonts w:eastAsia="Times New Roman"/>
          <w:sz w:val="24"/>
          <w:szCs w:val="24"/>
          <w:vertAlign w:val="superscript"/>
        </w:rPr>
        <w:footnoteReference w:id="20"/>
      </w:r>
      <w:r>
        <w:rPr>
          <w:rFonts w:eastAsia="Times New Roman"/>
          <w:sz w:val="24"/>
          <w:szCs w:val="24"/>
        </w:rPr>
        <w:t xml:space="preserve"> </w:t>
      </w:r>
    </w:p>
    <w:p w14:paraId="2E97FB27" w14:textId="3FA90B34" w:rsidR="00A07549" w:rsidRDefault="00594544" w:rsidP="00594544">
      <w:pPr>
        <w:pStyle w:val="Heading1"/>
      </w:pPr>
      <w:bookmarkStart w:id="1" w:name="_ri9h6sc7laed" w:colFirst="0" w:colLast="0"/>
      <w:bookmarkEnd w:id="1"/>
      <w:r>
        <w:t>V ARGUMENTS AGAINST A BILL OF RIGHTS</w:t>
      </w:r>
    </w:p>
    <w:p w14:paraId="178ACBBB" w14:textId="388EA352" w:rsidR="00A07549" w:rsidRDefault="00A07549" w:rsidP="00A07549">
      <w:pPr>
        <w:jc w:val="both"/>
        <w:rPr>
          <w:rFonts w:eastAsia="Times New Roman"/>
          <w:sz w:val="24"/>
          <w:szCs w:val="24"/>
        </w:rPr>
      </w:pPr>
      <w:r>
        <w:rPr>
          <w:rFonts w:eastAsia="Times New Roman"/>
          <w:sz w:val="24"/>
          <w:szCs w:val="24"/>
        </w:rPr>
        <w:t xml:space="preserve">Regardless of the rising support for a Bill of Rights in Australia, </w:t>
      </w:r>
      <w:r w:rsidR="0002641F">
        <w:rPr>
          <w:rFonts w:eastAsia="Times New Roman"/>
          <w:sz w:val="24"/>
          <w:szCs w:val="24"/>
        </w:rPr>
        <w:t>o</w:t>
      </w:r>
      <w:r>
        <w:rPr>
          <w:rFonts w:eastAsia="Times New Roman"/>
          <w:sz w:val="24"/>
          <w:szCs w:val="24"/>
        </w:rPr>
        <w:t>pponents argue that implementing this would provide the judiciary system with immense power, enabling them to override decisions made by the legislative</w:t>
      </w:r>
      <w:r w:rsidR="0002641F">
        <w:rPr>
          <w:rFonts w:eastAsia="Times New Roman"/>
          <w:sz w:val="24"/>
          <w:szCs w:val="24"/>
        </w:rPr>
        <w:t>.</w:t>
      </w:r>
      <w:r>
        <w:rPr>
          <w:rFonts w:eastAsia="Times New Roman"/>
          <w:sz w:val="24"/>
          <w:szCs w:val="24"/>
          <w:vertAlign w:val="superscript"/>
        </w:rPr>
        <w:footnoteReference w:id="21"/>
      </w:r>
      <w:r>
        <w:rPr>
          <w:rFonts w:eastAsia="Times New Roman"/>
          <w:sz w:val="24"/>
          <w:szCs w:val="24"/>
        </w:rPr>
        <w:t xml:space="preserve"> Critics further argue that introducing a Bill of Rights is vague and not comprehensive, resulting in conflicting interpretations and inconsistencies</w:t>
      </w:r>
      <w:r w:rsidR="0002641F">
        <w:rPr>
          <w:rFonts w:eastAsia="Times New Roman"/>
          <w:sz w:val="24"/>
          <w:szCs w:val="24"/>
        </w:rPr>
        <w:t>.</w:t>
      </w:r>
      <w:r>
        <w:rPr>
          <w:rFonts w:eastAsia="Times New Roman"/>
          <w:sz w:val="24"/>
          <w:szCs w:val="24"/>
          <w:vertAlign w:val="superscript"/>
        </w:rPr>
        <w:footnoteReference w:id="22"/>
      </w:r>
      <w:r>
        <w:rPr>
          <w:rFonts w:eastAsia="Times New Roman"/>
          <w:sz w:val="24"/>
          <w:szCs w:val="24"/>
        </w:rPr>
        <w:t xml:space="preserve"> </w:t>
      </w:r>
    </w:p>
    <w:p w14:paraId="42B68021" w14:textId="38CB7AF3" w:rsidR="00A07549" w:rsidRDefault="00A07549" w:rsidP="00A07549">
      <w:pPr>
        <w:jc w:val="both"/>
        <w:rPr>
          <w:rFonts w:eastAsia="Times New Roman"/>
          <w:sz w:val="24"/>
          <w:szCs w:val="24"/>
          <w:highlight w:val="yellow"/>
        </w:rPr>
      </w:pPr>
      <w:r>
        <w:rPr>
          <w:rFonts w:eastAsia="Times New Roman"/>
          <w:sz w:val="24"/>
          <w:szCs w:val="24"/>
        </w:rPr>
        <w:t>Opponents further assert that reducing human rights to written legislation may limit their scope by confining them to predefined statutory meanings</w:t>
      </w:r>
      <w:r w:rsidR="0002641F">
        <w:rPr>
          <w:rFonts w:eastAsia="Times New Roman"/>
          <w:sz w:val="24"/>
          <w:szCs w:val="24"/>
        </w:rPr>
        <w:t>.</w:t>
      </w:r>
      <w:r>
        <w:rPr>
          <w:rFonts w:eastAsia="Times New Roman"/>
          <w:sz w:val="24"/>
          <w:szCs w:val="24"/>
          <w:vertAlign w:val="superscript"/>
        </w:rPr>
        <w:footnoteReference w:id="23"/>
      </w:r>
      <w:r>
        <w:rPr>
          <w:rFonts w:eastAsia="Times New Roman"/>
          <w:sz w:val="24"/>
          <w:szCs w:val="24"/>
        </w:rPr>
        <w:t xml:space="preserve"> Consequently, they suggest that the flexibility of common law inherently allows for more flexibility to modify rights in accordance with evolving societal values and conditions, reflecting contemporary society without being constrained by narrowly drafted legislative language</w:t>
      </w:r>
      <w:r w:rsidR="0002641F">
        <w:rPr>
          <w:rFonts w:eastAsia="Times New Roman"/>
          <w:sz w:val="24"/>
          <w:szCs w:val="24"/>
        </w:rPr>
        <w:t>.</w:t>
      </w:r>
      <w:r>
        <w:rPr>
          <w:rFonts w:eastAsia="Times New Roman"/>
          <w:sz w:val="24"/>
          <w:szCs w:val="24"/>
          <w:vertAlign w:val="superscript"/>
        </w:rPr>
        <w:footnoteReference w:id="24"/>
      </w:r>
      <w:r>
        <w:rPr>
          <w:rFonts w:eastAsia="Times New Roman"/>
          <w:sz w:val="24"/>
          <w:szCs w:val="24"/>
        </w:rPr>
        <w:t xml:space="preserve"> These perspectives further stem from the view that Australia’s current democracy allows for greater flexibility and allows for the best protection for rights</w:t>
      </w:r>
      <w:r w:rsidR="0002641F">
        <w:rPr>
          <w:rFonts w:eastAsia="Times New Roman"/>
          <w:sz w:val="24"/>
          <w:szCs w:val="24"/>
        </w:rPr>
        <w:t>.</w:t>
      </w:r>
      <w:r>
        <w:rPr>
          <w:rFonts w:eastAsia="Times New Roman"/>
          <w:sz w:val="24"/>
          <w:szCs w:val="24"/>
          <w:vertAlign w:val="superscript"/>
        </w:rPr>
        <w:footnoteReference w:id="25"/>
      </w:r>
      <w:r>
        <w:rPr>
          <w:rFonts w:eastAsia="Times New Roman"/>
          <w:sz w:val="24"/>
          <w:szCs w:val="24"/>
        </w:rPr>
        <w:t xml:space="preserve"> The current sovereign provides a framework that enables human rights to be derived from a wide, unwritten principles of justice and procedural fairness</w:t>
      </w:r>
      <w:r w:rsidR="0002641F">
        <w:rPr>
          <w:rFonts w:eastAsia="Times New Roman"/>
          <w:sz w:val="24"/>
          <w:szCs w:val="24"/>
        </w:rPr>
        <w:t>.</w:t>
      </w:r>
      <w:r>
        <w:rPr>
          <w:rFonts w:eastAsia="Times New Roman"/>
          <w:sz w:val="24"/>
          <w:szCs w:val="24"/>
          <w:vertAlign w:val="superscript"/>
        </w:rPr>
        <w:footnoteReference w:id="26"/>
      </w:r>
      <w:r>
        <w:rPr>
          <w:rFonts w:eastAsia="Times New Roman"/>
          <w:sz w:val="24"/>
          <w:szCs w:val="24"/>
        </w:rPr>
        <w:t xml:space="preserve"> Critics assert that human rights evolve in culturally diverse societies such as Australia, often conflicting with each other and for social justice</w:t>
      </w:r>
      <w:r w:rsidR="0002641F">
        <w:rPr>
          <w:rFonts w:eastAsia="Times New Roman"/>
          <w:sz w:val="24"/>
          <w:szCs w:val="24"/>
        </w:rPr>
        <w:t>.</w:t>
      </w:r>
      <w:r>
        <w:rPr>
          <w:rFonts w:eastAsia="Times New Roman"/>
          <w:sz w:val="24"/>
          <w:szCs w:val="24"/>
          <w:vertAlign w:val="superscript"/>
        </w:rPr>
        <w:footnoteReference w:id="27"/>
      </w:r>
      <w:r w:rsidR="0002641F">
        <w:rPr>
          <w:rFonts w:eastAsia="Times New Roman"/>
          <w:sz w:val="24"/>
          <w:szCs w:val="24"/>
        </w:rPr>
        <w:t xml:space="preserve"> </w:t>
      </w:r>
      <w:r>
        <w:rPr>
          <w:rFonts w:eastAsia="Times New Roman"/>
          <w:sz w:val="24"/>
          <w:szCs w:val="24"/>
        </w:rPr>
        <w:t>They further argue how transferring decision-making powers to the judiciary can consequently increase the risk of politicised judicial autonomy, reflecting the American system where constitutional interpretation is heavily influenced by political views</w:t>
      </w:r>
      <w:r w:rsidR="0002641F">
        <w:rPr>
          <w:rFonts w:eastAsia="Times New Roman"/>
          <w:sz w:val="24"/>
          <w:szCs w:val="24"/>
        </w:rPr>
        <w:t>.</w:t>
      </w:r>
      <w:r>
        <w:rPr>
          <w:rFonts w:eastAsia="Times New Roman"/>
          <w:sz w:val="24"/>
          <w:szCs w:val="24"/>
          <w:vertAlign w:val="superscript"/>
        </w:rPr>
        <w:footnoteReference w:id="28"/>
      </w:r>
    </w:p>
    <w:p w14:paraId="6E5E387E" w14:textId="35DC1816" w:rsidR="00A07549" w:rsidRDefault="00594544" w:rsidP="00594544">
      <w:pPr>
        <w:pStyle w:val="Heading1"/>
      </w:pPr>
      <w:bookmarkStart w:id="2" w:name="_i687x7jwzodc" w:colFirst="0" w:colLast="0"/>
      <w:bookmarkEnd w:id="2"/>
      <w:r>
        <w:lastRenderedPageBreak/>
        <w:t>VI CONCLUSION</w:t>
      </w:r>
    </w:p>
    <w:p w14:paraId="59594E09" w14:textId="25A4D63C" w:rsidR="00594544" w:rsidRDefault="00A07549" w:rsidP="0002641F">
      <w:pPr>
        <w:jc w:val="both"/>
        <w:rPr>
          <w:rFonts w:eastAsia="Times New Roman"/>
          <w:sz w:val="24"/>
          <w:szCs w:val="24"/>
        </w:rPr>
      </w:pPr>
      <w:r>
        <w:rPr>
          <w:rFonts w:eastAsia="Times New Roman"/>
          <w:sz w:val="24"/>
          <w:szCs w:val="24"/>
        </w:rPr>
        <w:t>Ultimately, the debate over whether Australia requires a Charter of Rights remains controversial, reflecting the tension between necessity and flexibility. On one hand, proponents argue that Australia’s approach towards this issue results in rights scattered across different areas of law</w:t>
      </w:r>
      <w:r w:rsidR="0002641F">
        <w:rPr>
          <w:rFonts w:eastAsia="Times New Roman"/>
          <w:sz w:val="24"/>
          <w:szCs w:val="24"/>
        </w:rPr>
        <w:t xml:space="preserve"> which leaves</w:t>
      </w:r>
      <w:r>
        <w:rPr>
          <w:rFonts w:eastAsia="Times New Roman"/>
          <w:sz w:val="24"/>
          <w:szCs w:val="24"/>
        </w:rPr>
        <w:t xml:space="preserve"> significant gaps for society</w:t>
      </w:r>
      <w:r w:rsidR="0002641F">
        <w:rPr>
          <w:rFonts w:eastAsia="Times New Roman"/>
          <w:sz w:val="24"/>
          <w:szCs w:val="24"/>
        </w:rPr>
        <w:t xml:space="preserve">, </w:t>
      </w:r>
      <w:r>
        <w:rPr>
          <w:rFonts w:eastAsia="Times New Roman"/>
          <w:sz w:val="24"/>
          <w:szCs w:val="24"/>
        </w:rPr>
        <w:t>particularly vulnerable groups, requiring a clear and consistent initiative to establish a Charter of Rights. On the other hand, opponents criticise that a Bill of Rights could result in excessive power to the judiciary, risking politicised and rigid interpretations of broadly framed legislation.</w:t>
      </w:r>
      <w:r w:rsidR="0002641F">
        <w:rPr>
          <w:rFonts w:eastAsia="Times New Roman"/>
          <w:sz w:val="24"/>
          <w:szCs w:val="24"/>
        </w:rPr>
        <w:t xml:space="preserve"> Ultimately, a</w:t>
      </w:r>
      <w:r>
        <w:rPr>
          <w:rFonts w:eastAsia="Times New Roman"/>
          <w:sz w:val="24"/>
          <w:szCs w:val="24"/>
        </w:rPr>
        <w:t>s societal values evolve</w:t>
      </w:r>
      <w:r w:rsidR="0002641F">
        <w:rPr>
          <w:rFonts w:eastAsia="Times New Roman"/>
          <w:sz w:val="24"/>
          <w:szCs w:val="24"/>
        </w:rPr>
        <w:t xml:space="preserve"> and c</w:t>
      </w:r>
      <w:r>
        <w:rPr>
          <w:rFonts w:eastAsia="Times New Roman"/>
          <w:sz w:val="24"/>
          <w:szCs w:val="24"/>
        </w:rPr>
        <w:t>alls for stronger human rights protections grow, the question of a national Bill of Rights is likely to remain central within Australia’s</w:t>
      </w:r>
      <w:r w:rsidR="0002641F">
        <w:rPr>
          <w:rFonts w:eastAsia="Times New Roman"/>
          <w:sz w:val="24"/>
          <w:szCs w:val="24"/>
        </w:rPr>
        <w:t xml:space="preserve"> </w:t>
      </w:r>
      <w:r>
        <w:rPr>
          <w:rFonts w:eastAsia="Times New Roman"/>
          <w:sz w:val="24"/>
          <w:szCs w:val="24"/>
        </w:rPr>
        <w:t xml:space="preserve">legal and political discourse. </w:t>
      </w:r>
      <w:r w:rsidR="00594544">
        <w:rPr>
          <w:rFonts w:eastAsia="Times New Roman"/>
          <w:sz w:val="24"/>
          <w:szCs w:val="24"/>
        </w:rPr>
        <w:br/>
      </w:r>
    </w:p>
    <w:p w14:paraId="594D7A8E" w14:textId="77777777" w:rsidR="00594544" w:rsidRDefault="00594544" w:rsidP="00594544">
      <w:pPr>
        <w:jc w:val="both"/>
        <w:rPr>
          <w:rFonts w:eastAsia="Times New Roman"/>
          <w:sz w:val="24"/>
          <w:szCs w:val="24"/>
        </w:rPr>
      </w:pPr>
    </w:p>
    <w:p w14:paraId="5EE5678B" w14:textId="77777777" w:rsidR="00594544" w:rsidRDefault="00594544" w:rsidP="00594544">
      <w:pPr>
        <w:jc w:val="both"/>
        <w:rPr>
          <w:rFonts w:eastAsia="Times New Roman"/>
          <w:sz w:val="24"/>
          <w:szCs w:val="24"/>
        </w:rPr>
      </w:pPr>
    </w:p>
    <w:p w14:paraId="30A2EF46" w14:textId="77777777" w:rsidR="00594544" w:rsidRDefault="00594544" w:rsidP="00594544">
      <w:pPr>
        <w:jc w:val="both"/>
        <w:rPr>
          <w:rFonts w:eastAsia="Times New Roman"/>
          <w:sz w:val="24"/>
          <w:szCs w:val="24"/>
        </w:rPr>
      </w:pPr>
    </w:p>
    <w:p w14:paraId="340D740D" w14:textId="77777777" w:rsidR="00594544" w:rsidRDefault="00594544" w:rsidP="00594544">
      <w:pPr>
        <w:jc w:val="both"/>
        <w:rPr>
          <w:rFonts w:eastAsia="Times New Roman"/>
          <w:sz w:val="24"/>
          <w:szCs w:val="24"/>
        </w:rPr>
      </w:pPr>
    </w:p>
    <w:p w14:paraId="79666858" w14:textId="77777777" w:rsidR="00594544" w:rsidRDefault="00594544" w:rsidP="00594544">
      <w:pPr>
        <w:jc w:val="both"/>
        <w:rPr>
          <w:rFonts w:eastAsia="Times New Roman"/>
          <w:sz w:val="24"/>
          <w:szCs w:val="24"/>
        </w:rPr>
      </w:pPr>
    </w:p>
    <w:p w14:paraId="17913149" w14:textId="77777777" w:rsidR="00433031" w:rsidRDefault="00433031" w:rsidP="00594544">
      <w:pPr>
        <w:jc w:val="both"/>
        <w:rPr>
          <w:rFonts w:eastAsia="Times New Roman"/>
          <w:sz w:val="24"/>
          <w:szCs w:val="24"/>
        </w:rPr>
      </w:pPr>
    </w:p>
    <w:p w14:paraId="376F6991" w14:textId="77777777" w:rsidR="00433031" w:rsidRDefault="00433031" w:rsidP="00594544">
      <w:pPr>
        <w:jc w:val="both"/>
        <w:rPr>
          <w:rFonts w:eastAsia="Times New Roman"/>
          <w:sz w:val="24"/>
          <w:szCs w:val="24"/>
        </w:rPr>
      </w:pPr>
    </w:p>
    <w:p w14:paraId="7C87A069" w14:textId="77777777" w:rsidR="00433031" w:rsidRDefault="00433031" w:rsidP="00594544">
      <w:pPr>
        <w:jc w:val="both"/>
        <w:rPr>
          <w:rFonts w:eastAsia="Times New Roman"/>
          <w:sz w:val="24"/>
          <w:szCs w:val="24"/>
        </w:rPr>
      </w:pPr>
    </w:p>
    <w:p w14:paraId="5C4B089F" w14:textId="77777777" w:rsidR="00594544" w:rsidRDefault="00594544" w:rsidP="00594544">
      <w:pPr>
        <w:jc w:val="both"/>
        <w:rPr>
          <w:rFonts w:eastAsia="Times New Roman"/>
          <w:sz w:val="24"/>
          <w:szCs w:val="24"/>
        </w:rPr>
      </w:pPr>
    </w:p>
    <w:p w14:paraId="3F714A09" w14:textId="77777777" w:rsidR="00594544" w:rsidRDefault="00594544" w:rsidP="00594544">
      <w:pPr>
        <w:jc w:val="both"/>
        <w:rPr>
          <w:rFonts w:eastAsia="Times New Roman"/>
          <w:sz w:val="24"/>
          <w:szCs w:val="24"/>
        </w:rPr>
      </w:pPr>
    </w:p>
    <w:p w14:paraId="35CDB46C" w14:textId="77777777" w:rsidR="00594544" w:rsidRDefault="00594544" w:rsidP="00594544">
      <w:pPr>
        <w:jc w:val="both"/>
        <w:rPr>
          <w:rFonts w:eastAsia="Times New Roman"/>
          <w:sz w:val="24"/>
          <w:szCs w:val="24"/>
        </w:rPr>
      </w:pPr>
    </w:p>
    <w:p w14:paraId="28982EC5" w14:textId="77777777" w:rsidR="00594544" w:rsidRDefault="00594544" w:rsidP="00594544">
      <w:pPr>
        <w:jc w:val="both"/>
        <w:rPr>
          <w:rFonts w:eastAsia="Times New Roman"/>
          <w:sz w:val="24"/>
          <w:szCs w:val="24"/>
        </w:rPr>
      </w:pPr>
    </w:p>
    <w:p w14:paraId="0036182C" w14:textId="77777777" w:rsidR="00594544" w:rsidRDefault="00594544" w:rsidP="00594544">
      <w:pPr>
        <w:jc w:val="both"/>
        <w:rPr>
          <w:rFonts w:eastAsia="Times New Roman"/>
          <w:sz w:val="24"/>
          <w:szCs w:val="24"/>
        </w:rPr>
      </w:pPr>
    </w:p>
    <w:p w14:paraId="4D9F3821" w14:textId="77777777" w:rsidR="00594544" w:rsidRDefault="00594544" w:rsidP="00594544">
      <w:pPr>
        <w:jc w:val="both"/>
        <w:rPr>
          <w:rFonts w:eastAsia="Times New Roman"/>
          <w:sz w:val="24"/>
          <w:szCs w:val="24"/>
        </w:rPr>
      </w:pPr>
    </w:p>
    <w:p w14:paraId="4293B0D0" w14:textId="69BF6A4A" w:rsidR="00A07549" w:rsidRDefault="00594544" w:rsidP="00594544">
      <w:pPr>
        <w:jc w:val="both"/>
        <w:rPr>
          <w:rFonts w:eastAsia="Times New Roman"/>
          <w:sz w:val="24"/>
          <w:szCs w:val="24"/>
        </w:rPr>
      </w:pPr>
      <w:r w:rsidRPr="008B4E82">
        <w:rPr>
          <w:noProof/>
        </w:rPr>
        <w:lastRenderedPageBreak/>
        <mc:AlternateContent>
          <mc:Choice Requires="wpg">
            <w:drawing>
              <wp:anchor distT="0" distB="0" distL="114300" distR="114300" simplePos="0" relativeHeight="251666432" behindDoc="0" locked="0" layoutInCell="1" allowOverlap="1" wp14:anchorId="3E0AF44C" wp14:editId="7060F71D">
                <wp:simplePos x="0" y="0"/>
                <wp:positionH relativeFrom="column">
                  <wp:posOffset>-699135</wp:posOffset>
                </wp:positionH>
                <wp:positionV relativeFrom="paragraph">
                  <wp:posOffset>-920160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E8CEA05" id="Group 23" o:spid="_x0000_s1026" style="position:absolute;margin-left:-55.05pt;margin-top:-72.45pt;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Au+BrD5gAAABQBAAAPAAAA&#13;&#10;ZHJzL2Rvd25yZXYueG1sTE/LasMwELwX+g9iC70lsho7pI7lENLHKRSaFEpvirWxTayVsRTb+fvK&#13;&#10;p/ayzLKz88g2o2lYj52rLUkQ8wgYUmF1TaWEr+PbbAXMeUVaNZZQwg0dbPL7u0yl2g70if3BlyyI&#13;&#10;kEuVhMr7NuXcFRUa5ea2RQq3s+2M8mHtSq47NQRx0/CnKFpyo2oKDpVqcVdhcTlcjYT3QQ3bhXjt&#13;&#10;95fz7vZzTD6+9wKlfHwYX9ZhbNfAPI7+7wOmDiE/5CHYyV5JO9ZImAkRicCdUBw/A5s4QiwSYKeA&#13;&#10;kuUqBp5n/H+Z/BcAAP//AwBQSwECLQAUAAYACAAAACEAtoM4kv4AAADhAQAAEwAAAAAAAAAAAAAA&#13;&#10;AAAAAAAAW0NvbnRlbnRfVHlwZXNdLnhtbFBLAQItABQABgAIAAAAIQA4/SH/1gAAAJQBAAALAAAA&#13;&#10;AAAAAAAAAAAAAC8BAABfcmVscy8ucmVsc1BLAQItABQABgAIAAAAIQAKnB4I/gUAAPcmAAAOAAAA&#13;&#10;AAAAAAAAAAAAAC4CAABkcnMvZTJvRG9jLnhtbFBLAQItABQABgAIAAAAIQAu+BrD5gAAABQBAAAP&#13;&#10;AAAAAAAAAAAAAAAAAFgIAABkcnMvZG93bnJldi54bWxQSwUGAAAAAAQABADzAAAAawk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sidRPr="008B4E82">
        <w:rPr>
          <w:noProof/>
        </w:rPr>
        <w:drawing>
          <wp:anchor distT="0" distB="0" distL="114300" distR="114300" simplePos="0" relativeHeight="251664384" behindDoc="0" locked="0" layoutInCell="1" allowOverlap="1" wp14:anchorId="0BC63395" wp14:editId="48698842">
            <wp:simplePos x="0" y="0"/>
            <wp:positionH relativeFrom="column">
              <wp:posOffset>-695960</wp:posOffset>
            </wp:positionH>
            <wp:positionV relativeFrom="paragraph">
              <wp:posOffset>-924132</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9">
                      <a:extLst>
                        <a:ext uri="{28A0092B-C50C-407E-A947-70E740481C1C}">
                          <a14:useLocalDpi xmlns:a14="http://schemas.microsoft.com/office/drawing/2010/main" val="0"/>
                        </a:ext>
                      </a:extLst>
                    </a:blip>
                    <a:srcRect l="15605" r="13844" b="2422"/>
                    <a:stretch>
                      <a:fillRect/>
                    </a:stretch>
                  </pic:blipFill>
                  <pic:spPr bwMode="auto">
                    <a:xfrm>
                      <a:off x="0" y="0"/>
                      <a:ext cx="7585364" cy="1088112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0EE28A" w14:textId="713BF88F" w:rsidR="00A07549" w:rsidRDefault="00A07549" w:rsidP="00A07549">
      <w:pPr>
        <w:spacing w:before="240"/>
        <w:jc w:val="both"/>
        <w:rPr>
          <w:rFonts w:eastAsia="Times New Roman"/>
          <w:sz w:val="24"/>
          <w:szCs w:val="24"/>
        </w:rPr>
      </w:pPr>
    </w:p>
    <w:p w14:paraId="68E72FAA" w14:textId="77777777" w:rsidR="008B4E82" w:rsidRPr="008B4E82" w:rsidRDefault="008B4E82" w:rsidP="008B4E82">
      <w:pPr>
        <w:rPr>
          <w:rFonts w:eastAsia="Times New Roman"/>
        </w:rPr>
      </w:pPr>
    </w:p>
    <w:p w14:paraId="698F75F1" w14:textId="70CDB60D" w:rsidR="000F108B" w:rsidRPr="008B4E82" w:rsidRDefault="000F108B" w:rsidP="001F059D"/>
    <w:sectPr w:rsidR="000F108B" w:rsidRPr="008B4E82" w:rsidSect="00334ADB">
      <w:footerReference w:type="even" r:id="rId10"/>
      <w:footerReference w:type="default" r:id="rId11"/>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C5B0E" w14:textId="77777777" w:rsidR="00304014" w:rsidRDefault="00304014" w:rsidP="00334ADB">
      <w:pPr>
        <w:spacing w:after="0" w:line="240" w:lineRule="auto"/>
      </w:pPr>
      <w:r>
        <w:separator/>
      </w:r>
    </w:p>
  </w:endnote>
  <w:endnote w:type="continuationSeparator" w:id="0">
    <w:p w14:paraId="355A3EBA" w14:textId="77777777" w:rsidR="00304014" w:rsidRDefault="00304014"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66B66" w14:textId="77777777" w:rsidR="00304014" w:rsidRDefault="00304014" w:rsidP="00334ADB">
      <w:pPr>
        <w:spacing w:after="0" w:line="240" w:lineRule="auto"/>
      </w:pPr>
      <w:r>
        <w:separator/>
      </w:r>
    </w:p>
  </w:footnote>
  <w:footnote w:type="continuationSeparator" w:id="0">
    <w:p w14:paraId="78DC28EA" w14:textId="77777777" w:rsidR="00304014" w:rsidRDefault="00304014" w:rsidP="00334ADB">
      <w:pPr>
        <w:spacing w:after="0" w:line="240" w:lineRule="auto"/>
      </w:pPr>
      <w:r>
        <w:continuationSeparator/>
      </w:r>
    </w:p>
  </w:footnote>
  <w:footnote w:id="1">
    <w:p w14:paraId="4615826D" w14:textId="6400D439" w:rsidR="00A07549" w:rsidRPr="00433031" w:rsidRDefault="00A07549" w:rsidP="00594544">
      <w:pPr>
        <w:pStyle w:val="Footer"/>
        <w:rPr>
          <w:sz w:val="20"/>
          <w:szCs w:val="20"/>
        </w:rPr>
      </w:pPr>
      <w:r>
        <w:rPr>
          <w:vertAlign w:val="superscript"/>
        </w:rPr>
        <w:footnoteRef/>
      </w:r>
      <w:r>
        <w:t xml:space="preserve"> </w:t>
      </w:r>
      <w:r w:rsidRPr="00433031">
        <w:rPr>
          <w:sz w:val="20"/>
          <w:szCs w:val="20"/>
        </w:rPr>
        <w:t xml:space="preserve">Parliamentary Education Office, </w:t>
      </w:r>
      <w:r w:rsidR="00433031" w:rsidRPr="00433031">
        <w:rPr>
          <w:sz w:val="20"/>
          <w:szCs w:val="20"/>
        </w:rPr>
        <w:t>‘</w:t>
      </w:r>
      <w:r w:rsidRPr="00433031">
        <w:rPr>
          <w:i/>
          <w:iCs/>
          <w:sz w:val="20"/>
          <w:szCs w:val="20"/>
        </w:rPr>
        <w:t xml:space="preserve">What are the </w:t>
      </w:r>
      <w:r w:rsidRPr="00433031">
        <w:rPr>
          <w:i/>
          <w:iCs/>
          <w:color w:val="000000" w:themeColor="text1"/>
          <w:sz w:val="20"/>
          <w:szCs w:val="20"/>
        </w:rPr>
        <w:t>arguments for and against a Bill of Rights here in Australia?</w:t>
      </w:r>
      <w:r w:rsidR="00433031" w:rsidRPr="00433031">
        <w:rPr>
          <w:i/>
          <w:iCs/>
          <w:color w:val="000000" w:themeColor="text1"/>
          <w:sz w:val="20"/>
          <w:szCs w:val="20"/>
        </w:rPr>
        <w:t>’</w:t>
      </w:r>
      <w:r w:rsidRPr="00433031">
        <w:rPr>
          <w:color w:val="000000" w:themeColor="text1"/>
          <w:sz w:val="20"/>
          <w:szCs w:val="20"/>
        </w:rPr>
        <w:t xml:space="preserve"> (</w:t>
      </w:r>
      <w:r w:rsidR="005821C0" w:rsidRPr="00433031">
        <w:rPr>
          <w:color w:val="000000" w:themeColor="text1"/>
          <w:sz w:val="20"/>
          <w:szCs w:val="20"/>
        </w:rPr>
        <w:t>Webpage,</w:t>
      </w:r>
      <w:r w:rsidRPr="00433031">
        <w:rPr>
          <w:color w:val="000000" w:themeColor="text1"/>
          <w:sz w:val="20"/>
          <w:szCs w:val="20"/>
        </w:rPr>
        <w:t xml:space="preserve"> 2026)</w:t>
      </w:r>
      <w:hyperlink r:id="rId1">
        <w:r w:rsidRPr="00433031">
          <w:rPr>
            <w:color w:val="000000" w:themeColor="text1"/>
            <w:sz w:val="20"/>
            <w:szCs w:val="20"/>
          </w:rPr>
          <w:t xml:space="preserve"> </w:t>
        </w:r>
      </w:hyperlink>
      <w:r w:rsidR="005821C0" w:rsidRPr="00433031">
        <w:rPr>
          <w:color w:val="000000" w:themeColor="text1"/>
          <w:sz w:val="20"/>
          <w:szCs w:val="20"/>
        </w:rPr>
        <w:t>&lt;</w:t>
      </w:r>
      <w:r w:rsidRPr="00433031">
        <w:rPr>
          <w:color w:val="000000" w:themeColor="text1"/>
          <w:sz w:val="20"/>
          <w:szCs w:val="20"/>
        </w:rPr>
        <w:t>https://peo.gov.au/understand-our-parliament/your-questions-on-notice/questions/what-are-the-arguments-for-and-against-a-bill-of-rights-here-in-australia?</w:t>
      </w:r>
      <w:r w:rsidR="005821C0" w:rsidRPr="00433031">
        <w:rPr>
          <w:color w:val="000000" w:themeColor="text1"/>
          <w:sz w:val="20"/>
          <w:szCs w:val="20"/>
        </w:rPr>
        <w:t>&gt;.</w:t>
      </w:r>
    </w:p>
  </w:footnote>
  <w:footnote w:id="2">
    <w:p w14:paraId="42397593" w14:textId="525EF1F7"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sz w:val="20"/>
          <w:szCs w:val="20"/>
        </w:rPr>
        <w:t>I</w:t>
      </w:r>
      <w:r w:rsidRPr="00433031">
        <w:rPr>
          <w:sz w:val="20"/>
          <w:szCs w:val="20"/>
        </w:rPr>
        <w:t>bid.</w:t>
      </w:r>
    </w:p>
  </w:footnote>
  <w:footnote w:id="3">
    <w:p w14:paraId="6B256020" w14:textId="28E255FB" w:rsidR="00136756" w:rsidRPr="00433031" w:rsidRDefault="00136756" w:rsidP="00136756">
      <w:pPr>
        <w:pStyle w:val="Footer"/>
        <w:rPr>
          <w:rFonts w:eastAsia="Times New Roman"/>
          <w:sz w:val="20"/>
          <w:szCs w:val="20"/>
        </w:rPr>
      </w:pPr>
      <w:r w:rsidRPr="00433031">
        <w:rPr>
          <w:sz w:val="20"/>
          <w:szCs w:val="20"/>
          <w:vertAlign w:val="superscript"/>
        </w:rPr>
        <w:footnoteRef/>
      </w:r>
      <w:r w:rsidRPr="00433031">
        <w:rPr>
          <w:rFonts w:eastAsia="Times New Roman"/>
          <w:sz w:val="20"/>
          <w:szCs w:val="20"/>
        </w:rPr>
        <w:t xml:space="preserve">Australian Human Rights Commission, </w:t>
      </w:r>
      <w:r w:rsidR="00433031" w:rsidRPr="00433031">
        <w:rPr>
          <w:rFonts w:eastAsia="Times New Roman"/>
          <w:sz w:val="20"/>
          <w:szCs w:val="20"/>
        </w:rPr>
        <w:t>‘</w:t>
      </w:r>
      <w:r w:rsidRPr="00433031">
        <w:rPr>
          <w:rFonts w:eastAsia="Times New Roman"/>
          <w:i/>
          <w:iCs/>
          <w:sz w:val="20"/>
          <w:szCs w:val="20"/>
        </w:rPr>
        <w:t>Human rights — what do I need to know?</w:t>
      </w:r>
      <w:r w:rsidR="00433031" w:rsidRPr="00433031">
        <w:rPr>
          <w:rFonts w:eastAsia="Times New Roman"/>
          <w:i/>
          <w:iCs/>
          <w:sz w:val="20"/>
          <w:szCs w:val="20"/>
        </w:rPr>
        <w:t>’</w:t>
      </w:r>
      <w:r w:rsidRPr="00433031">
        <w:rPr>
          <w:rFonts w:eastAsia="Times New Roman"/>
          <w:sz w:val="20"/>
          <w:szCs w:val="20"/>
        </w:rPr>
        <w:t xml:space="preserve"> (</w:t>
      </w:r>
      <w:r w:rsidR="005821C0" w:rsidRPr="00433031">
        <w:rPr>
          <w:rFonts w:eastAsia="Times New Roman"/>
          <w:sz w:val="20"/>
          <w:szCs w:val="20"/>
        </w:rPr>
        <w:t xml:space="preserve">Web Page, </w:t>
      </w:r>
      <w:r w:rsidRPr="00433031">
        <w:rPr>
          <w:rFonts w:eastAsia="Times New Roman"/>
          <w:sz w:val="20"/>
          <w:szCs w:val="20"/>
        </w:rPr>
        <w:t>2008)</w:t>
      </w:r>
      <w:r w:rsidRPr="00433031">
        <w:rPr>
          <w:rFonts w:eastAsia="Times New Roman"/>
          <w:sz w:val="20"/>
          <w:szCs w:val="20"/>
        </w:rPr>
        <w:br/>
      </w:r>
      <w:r w:rsidR="005821C0" w:rsidRPr="00433031">
        <w:rPr>
          <w:rFonts w:eastAsia="Times New Roman"/>
          <w:color w:val="000000" w:themeColor="text1"/>
          <w:sz w:val="20"/>
          <w:szCs w:val="20"/>
        </w:rPr>
        <w:t>&lt;</w:t>
      </w:r>
      <w:r w:rsidRPr="00433031">
        <w:rPr>
          <w:rFonts w:eastAsia="Times New Roman"/>
          <w:color w:val="000000" w:themeColor="text1"/>
          <w:sz w:val="20"/>
          <w:szCs w:val="20"/>
        </w:rPr>
        <w:t>https://humanrights.gov.au/resource-hub/by-resource-type/books/human-rights-</w:t>
      </w:r>
      <w:r w:rsidRPr="00433031">
        <w:rPr>
          <w:rFonts w:eastAsia="Times New Roman"/>
          <w:color w:val="000000" w:themeColor="text1"/>
          <w:sz w:val="20"/>
          <w:szCs w:val="20"/>
        </w:rPr>
        <w:t>w</w:t>
      </w:r>
      <w:r w:rsidRPr="00433031">
        <w:rPr>
          <w:rFonts w:eastAsia="Times New Roman"/>
          <w:color w:val="000000" w:themeColor="text1"/>
          <w:sz w:val="20"/>
          <w:szCs w:val="20"/>
        </w:rPr>
        <w:t>hat-do-i-need-know-2</w:t>
      </w:r>
      <w:r w:rsidRPr="00433031">
        <w:rPr>
          <w:rFonts w:eastAsia="Times New Roman"/>
          <w:color w:val="000000" w:themeColor="text1"/>
          <w:sz w:val="20"/>
          <w:szCs w:val="20"/>
        </w:rPr>
        <w:t>0</w:t>
      </w:r>
      <w:r w:rsidRPr="00433031">
        <w:rPr>
          <w:rFonts w:eastAsia="Times New Roman"/>
          <w:color w:val="000000" w:themeColor="text1"/>
          <w:sz w:val="20"/>
          <w:szCs w:val="20"/>
        </w:rPr>
        <w:t>08</w:t>
      </w:r>
      <w:r w:rsidR="005821C0" w:rsidRPr="00433031">
        <w:rPr>
          <w:rFonts w:eastAsia="Times New Roman"/>
          <w:color w:val="000000" w:themeColor="text1"/>
          <w:sz w:val="20"/>
          <w:szCs w:val="20"/>
        </w:rPr>
        <w:t>&gt;</w:t>
      </w:r>
      <w:r w:rsidRPr="00433031">
        <w:rPr>
          <w:rFonts w:eastAsia="Times New Roman"/>
          <w:color w:val="000000" w:themeColor="text1"/>
          <w:sz w:val="20"/>
          <w:szCs w:val="20"/>
        </w:rPr>
        <w:t xml:space="preserve"> </w:t>
      </w:r>
      <w:r w:rsidRPr="00433031">
        <w:rPr>
          <w:rFonts w:eastAsia="Times New Roman"/>
          <w:sz w:val="20"/>
          <w:szCs w:val="20"/>
        </w:rPr>
        <w:t>(‘</w:t>
      </w:r>
      <w:r w:rsidRPr="00433031">
        <w:rPr>
          <w:rFonts w:eastAsia="Times New Roman"/>
          <w:i/>
          <w:iCs/>
          <w:sz w:val="20"/>
          <w:szCs w:val="20"/>
        </w:rPr>
        <w:t>AHRC 2008’</w:t>
      </w:r>
      <w:r w:rsidRPr="00433031">
        <w:rPr>
          <w:rFonts w:eastAsia="Times New Roman"/>
          <w:sz w:val="20"/>
          <w:szCs w:val="20"/>
        </w:rPr>
        <w:t>)</w:t>
      </w:r>
      <w:r w:rsidR="005821C0" w:rsidRPr="00433031">
        <w:rPr>
          <w:rFonts w:eastAsia="Times New Roman"/>
          <w:sz w:val="20"/>
          <w:szCs w:val="20"/>
        </w:rPr>
        <w:t>.</w:t>
      </w:r>
    </w:p>
  </w:footnote>
  <w:footnote w:id="4">
    <w:p w14:paraId="2B8B1CF9" w14:textId="4B49C4E8" w:rsidR="00136756" w:rsidRDefault="00136756" w:rsidP="00136756">
      <w:pPr>
        <w:pStyle w:val="Footer"/>
      </w:pPr>
      <w:r w:rsidRPr="00433031">
        <w:rPr>
          <w:sz w:val="20"/>
          <w:szCs w:val="20"/>
          <w:vertAlign w:val="superscript"/>
        </w:rPr>
        <w:footnoteRef/>
      </w:r>
      <w:r w:rsidRPr="00433031">
        <w:rPr>
          <w:sz w:val="20"/>
          <w:szCs w:val="20"/>
        </w:rPr>
        <w:t xml:space="preserve"> </w:t>
      </w:r>
      <w:r w:rsidRPr="00433031">
        <w:rPr>
          <w:i/>
          <w:iCs/>
          <w:sz w:val="20"/>
          <w:szCs w:val="20"/>
        </w:rPr>
        <w:t>Australian Constitution</w:t>
      </w:r>
      <w:r w:rsidRPr="00433031">
        <w:rPr>
          <w:sz w:val="20"/>
          <w:szCs w:val="20"/>
        </w:rPr>
        <w:t xml:space="preserve"> s 51(xxxi) (</w:t>
      </w:r>
      <w:r w:rsidR="005821C0" w:rsidRPr="00433031">
        <w:rPr>
          <w:i/>
          <w:iCs/>
          <w:sz w:val="20"/>
          <w:szCs w:val="20"/>
        </w:rPr>
        <w:t>‘</w:t>
      </w:r>
      <w:r w:rsidRPr="00433031">
        <w:rPr>
          <w:i/>
          <w:iCs/>
          <w:sz w:val="20"/>
          <w:szCs w:val="20"/>
        </w:rPr>
        <w:t>Constitution’)</w:t>
      </w:r>
      <w:r w:rsidRPr="00433031">
        <w:rPr>
          <w:sz w:val="20"/>
          <w:szCs w:val="20"/>
        </w:rPr>
        <w:t>.</w:t>
      </w:r>
    </w:p>
  </w:footnote>
  <w:footnote w:id="5">
    <w:p w14:paraId="38A806EF" w14:textId="3817A33C" w:rsidR="00136756" w:rsidRPr="00433031" w:rsidRDefault="00136756" w:rsidP="00136756">
      <w:pPr>
        <w:pStyle w:val="Footer"/>
        <w:rPr>
          <w:rFonts w:eastAsia="Times New Roman"/>
          <w:sz w:val="20"/>
          <w:szCs w:val="20"/>
        </w:rPr>
      </w:pPr>
      <w:r>
        <w:rPr>
          <w:vertAlign w:val="superscript"/>
        </w:rPr>
        <w:footnoteRef/>
      </w:r>
      <w:r>
        <w:rPr>
          <w:sz w:val="20"/>
          <w:szCs w:val="20"/>
        </w:rPr>
        <w:t xml:space="preserve"> </w:t>
      </w:r>
      <w:r w:rsidRPr="00433031">
        <w:rPr>
          <w:rFonts w:eastAsia="Times New Roman"/>
          <w:i/>
          <w:iCs/>
          <w:sz w:val="20"/>
          <w:szCs w:val="20"/>
        </w:rPr>
        <w:t>Constitution</w:t>
      </w:r>
      <w:r w:rsidRPr="00433031">
        <w:rPr>
          <w:rFonts w:eastAsia="Times New Roman"/>
          <w:sz w:val="20"/>
          <w:szCs w:val="20"/>
        </w:rPr>
        <w:t xml:space="preserve"> (n 4) s 80</w:t>
      </w:r>
      <w:r w:rsidRPr="00433031">
        <w:rPr>
          <w:rFonts w:eastAsia="Times New Roman"/>
          <w:sz w:val="20"/>
          <w:szCs w:val="20"/>
        </w:rPr>
        <w:t xml:space="preserve">; </w:t>
      </w:r>
      <w:r w:rsidRPr="00433031">
        <w:rPr>
          <w:rFonts w:eastAsia="Times New Roman"/>
          <w:i/>
          <w:iCs/>
          <w:sz w:val="20"/>
          <w:szCs w:val="20"/>
        </w:rPr>
        <w:t xml:space="preserve">AHRC 2008 </w:t>
      </w:r>
      <w:r w:rsidRPr="00433031">
        <w:rPr>
          <w:rFonts w:eastAsia="Times New Roman"/>
          <w:sz w:val="20"/>
          <w:szCs w:val="20"/>
        </w:rPr>
        <w:t>(n 3)</w:t>
      </w:r>
      <w:r w:rsidRPr="00433031">
        <w:rPr>
          <w:rFonts w:eastAsia="Times New Roman"/>
          <w:sz w:val="20"/>
          <w:szCs w:val="20"/>
        </w:rPr>
        <w:t>.</w:t>
      </w:r>
    </w:p>
  </w:footnote>
  <w:footnote w:id="6">
    <w:p w14:paraId="336AED35" w14:textId="06215822"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sz w:val="20"/>
          <w:szCs w:val="20"/>
        </w:rPr>
        <w:t xml:space="preserve"> </w:t>
      </w:r>
      <w:r w:rsidR="00136756" w:rsidRPr="00433031">
        <w:rPr>
          <w:rFonts w:eastAsia="Times New Roman"/>
          <w:i/>
          <w:iCs/>
          <w:sz w:val="20"/>
          <w:szCs w:val="20"/>
        </w:rPr>
        <w:t>Constitution</w:t>
      </w:r>
      <w:r w:rsidR="00136756" w:rsidRPr="00433031">
        <w:rPr>
          <w:rFonts w:eastAsia="Times New Roman"/>
          <w:sz w:val="20"/>
          <w:szCs w:val="20"/>
        </w:rPr>
        <w:t xml:space="preserve"> (n 4) s 92</w:t>
      </w:r>
      <w:r w:rsidR="00136756" w:rsidRPr="00433031">
        <w:rPr>
          <w:rFonts w:eastAsia="Times New Roman"/>
          <w:sz w:val="20"/>
          <w:szCs w:val="20"/>
        </w:rPr>
        <w:t xml:space="preserve">; </w:t>
      </w:r>
      <w:r w:rsidR="001D24B6" w:rsidRPr="00433031">
        <w:rPr>
          <w:rFonts w:eastAsia="Times New Roman"/>
          <w:i/>
          <w:iCs/>
          <w:sz w:val="20"/>
          <w:szCs w:val="20"/>
        </w:rPr>
        <w:t xml:space="preserve">AHRC 2008 </w:t>
      </w:r>
      <w:r w:rsidR="001D24B6" w:rsidRPr="00433031">
        <w:rPr>
          <w:rFonts w:eastAsia="Times New Roman"/>
          <w:sz w:val="20"/>
          <w:szCs w:val="20"/>
        </w:rPr>
        <w:t xml:space="preserve">(n </w:t>
      </w:r>
      <w:r w:rsidR="00136756" w:rsidRPr="00433031">
        <w:rPr>
          <w:rFonts w:eastAsia="Times New Roman"/>
          <w:sz w:val="20"/>
          <w:szCs w:val="20"/>
        </w:rPr>
        <w:t>3</w:t>
      </w:r>
      <w:r w:rsidR="001D24B6" w:rsidRPr="00433031">
        <w:rPr>
          <w:rFonts w:eastAsia="Times New Roman"/>
          <w:sz w:val="20"/>
          <w:szCs w:val="20"/>
        </w:rPr>
        <w:t>).</w:t>
      </w:r>
    </w:p>
  </w:footnote>
  <w:footnote w:id="7">
    <w:p w14:paraId="281AD123" w14:textId="7E8C8C6C"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rFonts w:eastAsia="Times New Roman"/>
          <w:sz w:val="20"/>
          <w:szCs w:val="20"/>
        </w:rPr>
        <w:t xml:space="preserve"> </w:t>
      </w:r>
      <w:r w:rsidR="001D24B6" w:rsidRPr="00433031">
        <w:rPr>
          <w:rFonts w:eastAsia="Times New Roman"/>
          <w:i/>
          <w:iCs/>
          <w:sz w:val="20"/>
          <w:szCs w:val="20"/>
        </w:rPr>
        <w:t>Constitution</w:t>
      </w:r>
      <w:r w:rsidR="001D24B6" w:rsidRPr="00433031">
        <w:rPr>
          <w:rFonts w:eastAsia="Times New Roman"/>
          <w:sz w:val="20"/>
          <w:szCs w:val="20"/>
        </w:rPr>
        <w:t xml:space="preserve"> (n </w:t>
      </w:r>
      <w:r w:rsidR="00136756" w:rsidRPr="00433031">
        <w:rPr>
          <w:rFonts w:eastAsia="Times New Roman"/>
          <w:sz w:val="20"/>
          <w:szCs w:val="20"/>
        </w:rPr>
        <w:t>4</w:t>
      </w:r>
      <w:r w:rsidR="001D24B6" w:rsidRPr="00433031">
        <w:rPr>
          <w:rFonts w:eastAsia="Times New Roman"/>
          <w:sz w:val="20"/>
          <w:szCs w:val="20"/>
        </w:rPr>
        <w:t xml:space="preserve">) </w:t>
      </w:r>
      <w:r w:rsidRPr="00433031">
        <w:rPr>
          <w:rFonts w:eastAsia="Times New Roman"/>
          <w:sz w:val="20"/>
          <w:szCs w:val="20"/>
        </w:rPr>
        <w:t>s 116.</w:t>
      </w:r>
    </w:p>
  </w:footnote>
  <w:footnote w:id="8">
    <w:p w14:paraId="27D5FF1D" w14:textId="191F0924"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rFonts w:eastAsia="Times New Roman"/>
          <w:sz w:val="20"/>
          <w:szCs w:val="20"/>
        </w:rPr>
        <w:t xml:space="preserve"> Parliamentary Education Office, </w:t>
      </w:r>
      <w:r w:rsidR="00433031" w:rsidRPr="00433031">
        <w:rPr>
          <w:rFonts w:eastAsia="Times New Roman"/>
          <w:sz w:val="20"/>
          <w:szCs w:val="20"/>
        </w:rPr>
        <w:t>‘</w:t>
      </w:r>
      <w:r w:rsidRPr="00433031">
        <w:rPr>
          <w:rFonts w:eastAsia="Times New Roman"/>
          <w:i/>
          <w:iCs/>
          <w:sz w:val="20"/>
          <w:szCs w:val="20"/>
        </w:rPr>
        <w:t>The Australian Constitution online — Chapter V: The States</w:t>
      </w:r>
      <w:r w:rsidR="00433031" w:rsidRPr="00433031">
        <w:rPr>
          <w:rFonts w:eastAsia="Times New Roman"/>
          <w:i/>
          <w:iCs/>
          <w:sz w:val="20"/>
          <w:szCs w:val="20"/>
        </w:rPr>
        <w:t>’</w:t>
      </w:r>
      <w:r w:rsidRPr="00433031">
        <w:rPr>
          <w:rFonts w:eastAsia="Times New Roman"/>
          <w:sz w:val="20"/>
          <w:szCs w:val="20"/>
        </w:rPr>
        <w:t xml:space="preserve"> (</w:t>
      </w:r>
      <w:r w:rsidR="005821C0" w:rsidRPr="00433031">
        <w:rPr>
          <w:rFonts w:eastAsia="Times New Roman"/>
          <w:sz w:val="20"/>
          <w:szCs w:val="20"/>
        </w:rPr>
        <w:t>W</w:t>
      </w:r>
      <w:r w:rsidRPr="00433031">
        <w:rPr>
          <w:rFonts w:eastAsia="Times New Roman"/>
          <w:sz w:val="20"/>
          <w:szCs w:val="20"/>
        </w:rPr>
        <w:t xml:space="preserve">eb </w:t>
      </w:r>
      <w:r w:rsidR="005821C0" w:rsidRPr="00433031">
        <w:rPr>
          <w:rFonts w:eastAsia="Times New Roman"/>
          <w:sz w:val="20"/>
          <w:szCs w:val="20"/>
        </w:rPr>
        <w:t>P</w:t>
      </w:r>
      <w:r w:rsidRPr="00433031">
        <w:rPr>
          <w:rFonts w:eastAsia="Times New Roman"/>
          <w:sz w:val="20"/>
          <w:szCs w:val="20"/>
        </w:rPr>
        <w:t>age</w:t>
      </w:r>
      <w:r w:rsidR="005821C0" w:rsidRPr="00433031">
        <w:rPr>
          <w:rFonts w:eastAsia="Times New Roman"/>
          <w:sz w:val="20"/>
          <w:szCs w:val="20"/>
        </w:rPr>
        <w:t>, 2025</w:t>
      </w:r>
      <w:r w:rsidRPr="00433031">
        <w:rPr>
          <w:rFonts w:eastAsia="Times New Roman"/>
          <w:sz w:val="20"/>
          <w:szCs w:val="20"/>
        </w:rPr>
        <w:t>)</w:t>
      </w:r>
    </w:p>
    <w:p w14:paraId="57A8B561" w14:textId="4053DC3B" w:rsidR="00A07549" w:rsidRPr="00433031" w:rsidRDefault="005821C0" w:rsidP="00594544">
      <w:pPr>
        <w:pStyle w:val="Footer"/>
        <w:rPr>
          <w:rFonts w:eastAsia="Times New Roman"/>
          <w:color w:val="000000" w:themeColor="text1"/>
          <w:sz w:val="20"/>
          <w:szCs w:val="20"/>
        </w:rPr>
      </w:pPr>
      <w:r w:rsidRPr="00433031">
        <w:rPr>
          <w:rFonts w:eastAsia="Times New Roman"/>
          <w:color w:val="000000" w:themeColor="text1"/>
          <w:sz w:val="20"/>
          <w:szCs w:val="20"/>
        </w:rPr>
        <w:t>&lt;</w:t>
      </w:r>
      <w:r w:rsidR="00A07549" w:rsidRPr="00433031">
        <w:rPr>
          <w:rFonts w:eastAsia="Times New Roman"/>
          <w:color w:val="000000" w:themeColor="text1"/>
          <w:sz w:val="20"/>
          <w:szCs w:val="20"/>
        </w:rPr>
        <w:t>https://peo.gov.au/understand-our-parliament/how-parlia</w:t>
      </w:r>
      <w:r w:rsidR="00A07549" w:rsidRPr="00433031">
        <w:rPr>
          <w:rFonts w:eastAsia="Times New Roman"/>
          <w:color w:val="000000" w:themeColor="text1"/>
          <w:sz w:val="20"/>
          <w:szCs w:val="20"/>
        </w:rPr>
        <w:t>m</w:t>
      </w:r>
      <w:r w:rsidR="00A07549" w:rsidRPr="00433031">
        <w:rPr>
          <w:rFonts w:eastAsia="Times New Roman"/>
          <w:color w:val="000000" w:themeColor="text1"/>
          <w:sz w:val="20"/>
          <w:szCs w:val="20"/>
        </w:rPr>
        <w:t>ent-works/the-australian-constitution/the-australian-constitution-online/chapter-</w:t>
      </w:r>
      <w:r w:rsidR="00A07549" w:rsidRPr="00433031">
        <w:rPr>
          <w:rFonts w:eastAsia="Times New Roman"/>
          <w:color w:val="000000" w:themeColor="text1"/>
          <w:sz w:val="20"/>
          <w:szCs w:val="20"/>
        </w:rPr>
        <w:t>v</w:t>
      </w:r>
      <w:r w:rsidR="00A07549" w:rsidRPr="00433031">
        <w:rPr>
          <w:rFonts w:eastAsia="Times New Roman"/>
          <w:color w:val="000000" w:themeColor="text1"/>
          <w:sz w:val="20"/>
          <w:szCs w:val="20"/>
        </w:rPr>
        <w:t>#s117</w:t>
      </w:r>
      <w:r w:rsidRPr="00433031">
        <w:rPr>
          <w:rFonts w:eastAsia="Times New Roman"/>
          <w:color w:val="000000" w:themeColor="text1"/>
          <w:sz w:val="20"/>
          <w:szCs w:val="20"/>
        </w:rPr>
        <w:t>&gt;.</w:t>
      </w:r>
    </w:p>
  </w:footnote>
  <w:footnote w:id="9">
    <w:p w14:paraId="7E432CC4" w14:textId="5BF4CA0A"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i/>
          <w:iCs/>
          <w:sz w:val="20"/>
          <w:szCs w:val="20"/>
        </w:rPr>
        <w:t xml:space="preserve">AHRC 2008 </w:t>
      </w:r>
      <w:r w:rsidR="001D24B6" w:rsidRPr="00433031">
        <w:rPr>
          <w:rFonts w:eastAsia="Times New Roman"/>
          <w:sz w:val="20"/>
          <w:szCs w:val="20"/>
        </w:rPr>
        <w:t xml:space="preserve">(n </w:t>
      </w:r>
      <w:r w:rsidR="00136756" w:rsidRPr="00433031">
        <w:rPr>
          <w:rFonts w:eastAsia="Times New Roman"/>
          <w:sz w:val="20"/>
          <w:szCs w:val="20"/>
        </w:rPr>
        <w:t>3</w:t>
      </w:r>
      <w:r w:rsidR="001D24B6" w:rsidRPr="00433031">
        <w:rPr>
          <w:rFonts w:eastAsia="Times New Roman"/>
          <w:sz w:val="20"/>
          <w:szCs w:val="20"/>
        </w:rPr>
        <w:t>).</w:t>
      </w:r>
    </w:p>
  </w:footnote>
  <w:footnote w:id="10">
    <w:p w14:paraId="51029FE5" w14:textId="03478EAF"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rFonts w:eastAsia="Times New Roman"/>
          <w:sz w:val="20"/>
          <w:szCs w:val="20"/>
        </w:rPr>
        <w:t xml:space="preserve"> </w:t>
      </w:r>
      <w:r w:rsidR="001D24B6" w:rsidRPr="00433031">
        <w:rPr>
          <w:rFonts w:eastAsia="Times New Roman"/>
          <w:sz w:val="20"/>
          <w:szCs w:val="20"/>
        </w:rPr>
        <w:t>Ibid.</w:t>
      </w:r>
    </w:p>
  </w:footnote>
  <w:footnote w:id="11">
    <w:p w14:paraId="260D45B4" w14:textId="23518CF1" w:rsidR="00A07549" w:rsidRPr="00433031" w:rsidRDefault="00A07549" w:rsidP="00594544">
      <w:pPr>
        <w:pStyle w:val="Footer"/>
        <w:rPr>
          <w:rFonts w:eastAsia="Times New Roman"/>
          <w:sz w:val="20"/>
          <w:szCs w:val="20"/>
        </w:rPr>
      </w:pPr>
      <w:r w:rsidRPr="00433031">
        <w:rPr>
          <w:sz w:val="20"/>
          <w:szCs w:val="20"/>
          <w:vertAlign w:val="superscript"/>
        </w:rPr>
        <w:footnoteRef/>
      </w:r>
      <w:r w:rsidRPr="00433031">
        <w:rPr>
          <w:rFonts w:eastAsia="Times New Roman"/>
          <w:sz w:val="20"/>
          <w:szCs w:val="20"/>
        </w:rPr>
        <w:t xml:space="preserve"> </w:t>
      </w:r>
      <w:r w:rsidR="001D24B6" w:rsidRPr="00433031">
        <w:rPr>
          <w:rFonts w:eastAsia="Times New Roman"/>
          <w:sz w:val="20"/>
          <w:szCs w:val="20"/>
        </w:rPr>
        <w:t>Ibid.</w:t>
      </w:r>
    </w:p>
  </w:footnote>
  <w:footnote w:id="12">
    <w:p w14:paraId="6637C68E" w14:textId="2135148F"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13">
    <w:p w14:paraId="04C93053" w14:textId="71E82D74"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Rule of Law Education Centre, </w:t>
      </w:r>
      <w:r w:rsidR="00433031" w:rsidRPr="00433031">
        <w:rPr>
          <w:sz w:val="20"/>
          <w:szCs w:val="20"/>
        </w:rPr>
        <w:t>‘</w:t>
      </w:r>
      <w:r w:rsidRPr="00433031">
        <w:rPr>
          <w:i/>
          <w:iCs/>
          <w:sz w:val="20"/>
          <w:szCs w:val="20"/>
        </w:rPr>
        <w:t>Arguments for and against a Charter of Rights</w:t>
      </w:r>
      <w:r w:rsidR="00433031" w:rsidRPr="00433031">
        <w:rPr>
          <w:sz w:val="20"/>
          <w:szCs w:val="20"/>
        </w:rPr>
        <w:t xml:space="preserve">’ </w:t>
      </w:r>
      <w:r w:rsidRPr="00433031">
        <w:rPr>
          <w:sz w:val="20"/>
          <w:szCs w:val="20"/>
        </w:rPr>
        <w:t>(</w:t>
      </w:r>
      <w:r w:rsidR="005821C0" w:rsidRPr="00433031">
        <w:rPr>
          <w:sz w:val="20"/>
          <w:szCs w:val="20"/>
        </w:rPr>
        <w:t>W</w:t>
      </w:r>
      <w:r w:rsidRPr="00433031">
        <w:rPr>
          <w:sz w:val="20"/>
          <w:szCs w:val="20"/>
        </w:rPr>
        <w:t xml:space="preserve">eb </w:t>
      </w:r>
      <w:r w:rsidR="005821C0" w:rsidRPr="00433031">
        <w:rPr>
          <w:sz w:val="20"/>
          <w:szCs w:val="20"/>
        </w:rPr>
        <w:t>P</w:t>
      </w:r>
      <w:r w:rsidRPr="00433031">
        <w:rPr>
          <w:sz w:val="20"/>
          <w:szCs w:val="20"/>
        </w:rPr>
        <w:t>age</w:t>
      </w:r>
      <w:r w:rsidR="005821C0" w:rsidRPr="00433031">
        <w:rPr>
          <w:sz w:val="20"/>
          <w:szCs w:val="20"/>
        </w:rPr>
        <w:t>, 2026)</w:t>
      </w:r>
    </w:p>
    <w:p w14:paraId="354F817F" w14:textId="71CF7F4F" w:rsidR="00A07549" w:rsidRPr="00433031" w:rsidRDefault="005821C0" w:rsidP="00594544">
      <w:pPr>
        <w:pStyle w:val="Footer"/>
        <w:rPr>
          <w:i/>
          <w:iCs/>
          <w:sz w:val="20"/>
          <w:szCs w:val="20"/>
        </w:rPr>
      </w:pPr>
      <w:r w:rsidRPr="00433031">
        <w:rPr>
          <w:color w:val="000000" w:themeColor="text1"/>
          <w:sz w:val="20"/>
          <w:szCs w:val="20"/>
        </w:rPr>
        <w:t>&lt;</w:t>
      </w:r>
      <w:r w:rsidR="00A07549" w:rsidRPr="00433031">
        <w:rPr>
          <w:color w:val="000000" w:themeColor="text1"/>
          <w:sz w:val="20"/>
          <w:szCs w:val="20"/>
        </w:rPr>
        <w:t>https://www.r</w:t>
      </w:r>
      <w:r w:rsidR="00A07549" w:rsidRPr="00433031">
        <w:rPr>
          <w:color w:val="000000" w:themeColor="text1"/>
          <w:sz w:val="20"/>
          <w:szCs w:val="20"/>
        </w:rPr>
        <w:t>u</w:t>
      </w:r>
      <w:r w:rsidR="00A07549" w:rsidRPr="00433031">
        <w:rPr>
          <w:color w:val="000000" w:themeColor="text1"/>
          <w:sz w:val="20"/>
          <w:szCs w:val="20"/>
        </w:rPr>
        <w:t>leoflaw</w:t>
      </w:r>
      <w:r w:rsidR="00A07549" w:rsidRPr="00433031">
        <w:rPr>
          <w:color w:val="000000" w:themeColor="text1"/>
          <w:sz w:val="20"/>
          <w:szCs w:val="20"/>
        </w:rPr>
        <w:t>.</w:t>
      </w:r>
      <w:r w:rsidR="00A07549" w:rsidRPr="00433031">
        <w:rPr>
          <w:color w:val="000000" w:themeColor="text1"/>
          <w:sz w:val="20"/>
          <w:szCs w:val="20"/>
        </w:rPr>
        <w:t>org.au/education/human-rights/arguments-charter-of-rights</w:t>
      </w:r>
      <w:r w:rsidR="00A07549" w:rsidRPr="00433031">
        <w:rPr>
          <w:color w:val="000000" w:themeColor="text1"/>
          <w:sz w:val="20"/>
          <w:szCs w:val="20"/>
        </w:rPr>
        <w:fldChar w:fldCharType="begin"/>
      </w:r>
      <w:r w:rsidR="00A07549" w:rsidRPr="00433031">
        <w:rPr>
          <w:color w:val="000000" w:themeColor="text1"/>
          <w:sz w:val="20"/>
          <w:szCs w:val="20"/>
        </w:rPr>
        <w:instrText>HYPERLINK "https://www.ruleoflaw.org.au/education/human-rights/arguments-charter-of-rights/" \h</w:instrText>
      </w:r>
      <w:r w:rsidR="00A07549" w:rsidRPr="00433031">
        <w:rPr>
          <w:color w:val="000000" w:themeColor="text1"/>
          <w:sz w:val="20"/>
          <w:szCs w:val="20"/>
        </w:rPr>
      </w:r>
      <w:r w:rsidR="00A07549" w:rsidRPr="00433031">
        <w:rPr>
          <w:color w:val="000000" w:themeColor="text1"/>
          <w:sz w:val="20"/>
          <w:szCs w:val="20"/>
        </w:rPr>
        <w:fldChar w:fldCharType="separate"/>
      </w:r>
      <w:r w:rsidR="00A07549" w:rsidRPr="00433031">
        <w:rPr>
          <w:color w:val="000000" w:themeColor="text1"/>
          <w:sz w:val="20"/>
          <w:szCs w:val="20"/>
        </w:rPr>
        <w:t>/</w:t>
      </w:r>
      <w:r w:rsidR="00A07549" w:rsidRPr="00433031">
        <w:rPr>
          <w:color w:val="000000" w:themeColor="text1"/>
          <w:sz w:val="20"/>
          <w:szCs w:val="20"/>
        </w:rPr>
        <w:fldChar w:fldCharType="end"/>
      </w:r>
      <w:r w:rsidRPr="00433031">
        <w:rPr>
          <w:color w:val="000000" w:themeColor="text1"/>
          <w:sz w:val="20"/>
          <w:szCs w:val="20"/>
        </w:rPr>
        <w:t xml:space="preserve">&gt; </w:t>
      </w:r>
      <w:r w:rsidR="0002641F" w:rsidRPr="00433031">
        <w:rPr>
          <w:sz w:val="20"/>
          <w:szCs w:val="20"/>
        </w:rPr>
        <w:t>(‘</w:t>
      </w:r>
      <w:r w:rsidR="0002641F" w:rsidRPr="00433031">
        <w:rPr>
          <w:i/>
          <w:iCs/>
          <w:sz w:val="20"/>
          <w:szCs w:val="20"/>
        </w:rPr>
        <w:t>Rule of Law Education Centre’)</w:t>
      </w:r>
      <w:r w:rsidRPr="00433031">
        <w:rPr>
          <w:i/>
          <w:iCs/>
          <w:sz w:val="20"/>
          <w:szCs w:val="20"/>
        </w:rPr>
        <w:t>.</w:t>
      </w:r>
    </w:p>
  </w:footnote>
  <w:footnote w:id="14">
    <w:p w14:paraId="4627B875" w14:textId="78955368"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r w:rsidR="001D24B6" w:rsidRPr="00433031">
        <w:rPr>
          <w:sz w:val="20"/>
          <w:szCs w:val="20"/>
        </w:rPr>
        <w:t>.</w:t>
      </w:r>
    </w:p>
  </w:footnote>
  <w:footnote w:id="15">
    <w:p w14:paraId="59D2076F" w14:textId="24B5CFC2" w:rsidR="00E93193" w:rsidRPr="00433031" w:rsidRDefault="00E93193">
      <w:pPr>
        <w:pStyle w:val="FootnoteText"/>
        <w:rPr>
          <w:color w:val="000000" w:themeColor="text1"/>
        </w:rPr>
      </w:pPr>
      <w:r w:rsidRPr="00433031">
        <w:rPr>
          <w:rStyle w:val="FootnoteReference"/>
        </w:rPr>
        <w:footnoteRef/>
      </w:r>
      <w:r w:rsidRPr="00433031">
        <w:t xml:space="preserve"> </w:t>
      </w:r>
      <w:r w:rsidRPr="00433031">
        <w:rPr>
          <w:i/>
          <w:iCs/>
          <w:color w:val="000000" w:themeColor="text1"/>
        </w:rPr>
        <w:t>Universal Declaration of Human Rights,</w:t>
      </w:r>
      <w:r w:rsidRPr="00433031">
        <w:rPr>
          <w:color w:val="000000" w:themeColor="text1"/>
        </w:rPr>
        <w:t xml:space="preserve"> GA Res 217A (III), UN GAOR, UN Doc A/810 (10 December 1948)</w:t>
      </w:r>
      <w:r w:rsidR="0002641F" w:rsidRPr="00433031">
        <w:rPr>
          <w:color w:val="000000" w:themeColor="text1"/>
        </w:rPr>
        <w:t>.</w:t>
      </w:r>
    </w:p>
  </w:footnote>
  <w:footnote w:id="16">
    <w:p w14:paraId="05A7EC73" w14:textId="0E1559EF" w:rsidR="0002641F" w:rsidRDefault="0002641F">
      <w:pPr>
        <w:pStyle w:val="FootnoteText"/>
      </w:pPr>
      <w:r w:rsidRPr="00433031">
        <w:rPr>
          <w:rStyle w:val="FootnoteReference"/>
          <w:color w:val="000000" w:themeColor="text1"/>
        </w:rPr>
        <w:footnoteRef/>
      </w:r>
      <w:r w:rsidRPr="00433031">
        <w:rPr>
          <w:color w:val="000000" w:themeColor="text1"/>
        </w:rPr>
        <w:t xml:space="preserve"> </w:t>
      </w:r>
      <w:r w:rsidRPr="00433031">
        <w:rPr>
          <w:i/>
          <w:iCs/>
          <w:color w:val="000000" w:themeColor="text1"/>
        </w:rPr>
        <w:t>International Covenant on Civil and Political Rights,</w:t>
      </w:r>
      <w:r w:rsidRPr="00433031">
        <w:rPr>
          <w:color w:val="000000" w:themeColor="text1"/>
        </w:rPr>
        <w:t xml:space="preserve"> opened for signature 16 December 1966, 999 UNTS 171 (entered into force 23 March 1976)</w:t>
      </w:r>
      <w:r w:rsidRPr="00433031">
        <w:rPr>
          <w:color w:val="000000" w:themeColor="text1"/>
        </w:rPr>
        <w:t>.</w:t>
      </w:r>
    </w:p>
  </w:footnote>
  <w:footnote w:id="17">
    <w:p w14:paraId="7CDC39BD" w14:textId="5BBACA5D" w:rsidR="00A07549" w:rsidRPr="00433031" w:rsidRDefault="00A07549" w:rsidP="00594544">
      <w:pPr>
        <w:pStyle w:val="Footer"/>
        <w:rPr>
          <w:sz w:val="20"/>
          <w:szCs w:val="20"/>
        </w:rPr>
      </w:pPr>
      <w:r>
        <w:rPr>
          <w:vertAlign w:val="superscript"/>
        </w:rPr>
        <w:footnoteRef/>
      </w:r>
      <w:r>
        <w:t xml:space="preserve"> </w:t>
      </w:r>
      <w:r w:rsidR="0002641F" w:rsidRPr="00433031">
        <w:rPr>
          <w:i/>
          <w:iCs/>
          <w:color w:val="000000" w:themeColor="text1"/>
          <w:sz w:val="20"/>
          <w:szCs w:val="20"/>
        </w:rPr>
        <w:t>International Covenant on Economic, Social and Cultural Rights,</w:t>
      </w:r>
      <w:r w:rsidR="0002641F" w:rsidRPr="00433031">
        <w:rPr>
          <w:color w:val="000000" w:themeColor="text1"/>
          <w:sz w:val="20"/>
          <w:szCs w:val="20"/>
        </w:rPr>
        <w:t xml:space="preserve"> opened for signature 16 December 1966, 993 UNTS 3 (entered into force 3 January 1976)</w:t>
      </w:r>
      <w:r w:rsidR="0002641F" w:rsidRPr="00433031">
        <w:rPr>
          <w:color w:val="000000" w:themeColor="text1"/>
          <w:sz w:val="20"/>
          <w:szCs w:val="20"/>
        </w:rPr>
        <w:t>.</w:t>
      </w:r>
    </w:p>
  </w:footnote>
  <w:footnote w:id="18">
    <w:p w14:paraId="27A014AD" w14:textId="27F23ECF"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02641F" w:rsidRPr="00433031">
        <w:rPr>
          <w:i/>
          <w:iCs/>
          <w:color w:val="000000" w:themeColor="text1"/>
          <w:sz w:val="20"/>
          <w:szCs w:val="20"/>
        </w:rPr>
        <w:t xml:space="preserve">Rule of Law Education Centre </w:t>
      </w:r>
      <w:r w:rsidR="0002641F" w:rsidRPr="00433031">
        <w:rPr>
          <w:color w:val="000000" w:themeColor="text1"/>
          <w:sz w:val="20"/>
          <w:szCs w:val="20"/>
        </w:rPr>
        <w:t>(n 13).</w:t>
      </w:r>
    </w:p>
  </w:footnote>
  <w:footnote w:id="19">
    <w:p w14:paraId="434604D8" w14:textId="2908C2A2"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0">
    <w:p w14:paraId="70349DB2" w14:textId="6356B9D2"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1">
    <w:p w14:paraId="2D929D97" w14:textId="1F3C9E09"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2">
    <w:p w14:paraId="6CB4814B" w14:textId="31B9737C"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3">
    <w:p w14:paraId="63D11979" w14:textId="621C8F60"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4">
    <w:p w14:paraId="67CB2121" w14:textId="51136D33"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5">
    <w:p w14:paraId="76C2D796" w14:textId="4FB23A8B"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6">
    <w:p w14:paraId="2BD58536" w14:textId="64922D69" w:rsidR="00A07549" w:rsidRPr="00433031" w:rsidRDefault="00A07549" w:rsidP="00594544">
      <w:pPr>
        <w:pStyle w:val="Footer"/>
        <w:rPr>
          <w:sz w:val="20"/>
          <w:szCs w:val="20"/>
        </w:rP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7">
    <w:p w14:paraId="39643BDD" w14:textId="2C0C590B" w:rsidR="00A07549" w:rsidRDefault="00A07549" w:rsidP="00594544">
      <w:pPr>
        <w:pStyle w:val="Footer"/>
      </w:pPr>
      <w:r w:rsidRPr="00433031">
        <w:rPr>
          <w:sz w:val="20"/>
          <w:szCs w:val="20"/>
          <w:vertAlign w:val="superscript"/>
        </w:rPr>
        <w:footnoteRef/>
      </w:r>
      <w:r w:rsidRPr="00433031">
        <w:rPr>
          <w:sz w:val="20"/>
          <w:szCs w:val="20"/>
        </w:rPr>
        <w:t xml:space="preserve"> </w:t>
      </w:r>
      <w:r w:rsidR="001D24B6" w:rsidRPr="00433031">
        <w:rPr>
          <w:rFonts w:eastAsia="Times New Roman"/>
          <w:sz w:val="20"/>
          <w:szCs w:val="20"/>
        </w:rPr>
        <w:t>Ibid.</w:t>
      </w:r>
    </w:p>
  </w:footnote>
  <w:footnote w:id="28">
    <w:p w14:paraId="55595F8E" w14:textId="0AFCCD6C" w:rsidR="00A07549" w:rsidRDefault="00A07549" w:rsidP="00594544">
      <w:pPr>
        <w:pStyle w:val="Footer"/>
      </w:pPr>
      <w:r>
        <w:rPr>
          <w:vertAlign w:val="superscript"/>
        </w:rPr>
        <w:footnoteRef/>
      </w:r>
      <w:r>
        <w:t xml:space="preserve"> </w:t>
      </w:r>
      <w:r w:rsidR="00136756" w:rsidRPr="00433031">
        <w:rPr>
          <w:sz w:val="20"/>
          <w:szCs w:val="20"/>
        </w:rPr>
        <w:t>Ibid.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236A4"/>
    <w:multiLevelType w:val="hybridMultilevel"/>
    <w:tmpl w:val="6BF88DD6"/>
    <w:lvl w:ilvl="0" w:tplc="C19856B8">
      <w:start w:val="1"/>
      <w:numFmt w:val="bullet"/>
      <w:lvlText w:val=""/>
      <w:lvlJc w:val="left"/>
      <w:pPr>
        <w:ind w:left="720" w:hanging="360"/>
      </w:pPr>
      <w:rPr>
        <w:rFonts w:ascii="Symbol" w:hAnsi="Symbol" w:hint="default"/>
      </w:rPr>
    </w:lvl>
    <w:lvl w:ilvl="1" w:tplc="6CF8E114">
      <w:start w:val="1"/>
      <w:numFmt w:val="bullet"/>
      <w:lvlText w:val="o"/>
      <w:lvlJc w:val="left"/>
      <w:pPr>
        <w:ind w:left="1440" w:hanging="360"/>
      </w:pPr>
      <w:rPr>
        <w:rFonts w:ascii="Courier New" w:hAnsi="Courier New" w:hint="default"/>
      </w:rPr>
    </w:lvl>
    <w:lvl w:ilvl="2" w:tplc="4BC64774">
      <w:start w:val="1"/>
      <w:numFmt w:val="bullet"/>
      <w:lvlText w:val=""/>
      <w:lvlJc w:val="left"/>
      <w:pPr>
        <w:ind w:left="2160" w:hanging="360"/>
      </w:pPr>
      <w:rPr>
        <w:rFonts w:ascii="Wingdings" w:hAnsi="Wingdings" w:hint="default"/>
      </w:rPr>
    </w:lvl>
    <w:lvl w:ilvl="3" w:tplc="B6543B12">
      <w:start w:val="1"/>
      <w:numFmt w:val="bullet"/>
      <w:lvlText w:val=""/>
      <w:lvlJc w:val="left"/>
      <w:pPr>
        <w:ind w:left="2880" w:hanging="360"/>
      </w:pPr>
      <w:rPr>
        <w:rFonts w:ascii="Symbol" w:hAnsi="Symbol" w:hint="default"/>
      </w:rPr>
    </w:lvl>
    <w:lvl w:ilvl="4" w:tplc="B510937E">
      <w:start w:val="1"/>
      <w:numFmt w:val="bullet"/>
      <w:lvlText w:val="o"/>
      <w:lvlJc w:val="left"/>
      <w:pPr>
        <w:ind w:left="3600" w:hanging="360"/>
      </w:pPr>
      <w:rPr>
        <w:rFonts w:ascii="Courier New" w:hAnsi="Courier New" w:hint="default"/>
      </w:rPr>
    </w:lvl>
    <w:lvl w:ilvl="5" w:tplc="D00AA460">
      <w:start w:val="1"/>
      <w:numFmt w:val="bullet"/>
      <w:lvlText w:val=""/>
      <w:lvlJc w:val="left"/>
      <w:pPr>
        <w:ind w:left="4320" w:hanging="360"/>
      </w:pPr>
      <w:rPr>
        <w:rFonts w:ascii="Wingdings" w:hAnsi="Wingdings" w:hint="default"/>
      </w:rPr>
    </w:lvl>
    <w:lvl w:ilvl="6" w:tplc="7930B7EA">
      <w:start w:val="1"/>
      <w:numFmt w:val="bullet"/>
      <w:lvlText w:val=""/>
      <w:lvlJc w:val="left"/>
      <w:pPr>
        <w:ind w:left="5040" w:hanging="360"/>
      </w:pPr>
      <w:rPr>
        <w:rFonts w:ascii="Symbol" w:hAnsi="Symbol" w:hint="default"/>
      </w:rPr>
    </w:lvl>
    <w:lvl w:ilvl="7" w:tplc="16587576">
      <w:start w:val="1"/>
      <w:numFmt w:val="bullet"/>
      <w:lvlText w:val="o"/>
      <w:lvlJc w:val="left"/>
      <w:pPr>
        <w:ind w:left="5760" w:hanging="360"/>
      </w:pPr>
      <w:rPr>
        <w:rFonts w:ascii="Courier New" w:hAnsi="Courier New" w:hint="default"/>
      </w:rPr>
    </w:lvl>
    <w:lvl w:ilvl="8" w:tplc="AC2A6DFC">
      <w:start w:val="1"/>
      <w:numFmt w:val="bullet"/>
      <w:lvlText w:val=""/>
      <w:lvlJc w:val="left"/>
      <w:pPr>
        <w:ind w:left="6480" w:hanging="360"/>
      </w:pPr>
      <w:rPr>
        <w:rFonts w:ascii="Wingdings" w:hAnsi="Wingdings" w:hint="default"/>
      </w:rPr>
    </w:lvl>
  </w:abstractNum>
  <w:abstractNum w:abstractNumId="1" w15:restartNumberingAfterBreak="0">
    <w:nsid w:val="32202905"/>
    <w:multiLevelType w:val="hybridMultilevel"/>
    <w:tmpl w:val="A6B636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86517879">
    <w:abstractNumId w:val="0"/>
  </w:num>
  <w:num w:numId="2" w16cid:durableId="10575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2641F"/>
    <w:rsid w:val="0007301A"/>
    <w:rsid w:val="0008172E"/>
    <w:rsid w:val="000A4193"/>
    <w:rsid w:val="000A7A08"/>
    <w:rsid w:val="000A7F76"/>
    <w:rsid w:val="000B2023"/>
    <w:rsid w:val="000B4621"/>
    <w:rsid w:val="000D128E"/>
    <w:rsid w:val="000F108B"/>
    <w:rsid w:val="000F181E"/>
    <w:rsid w:val="00111C95"/>
    <w:rsid w:val="00134090"/>
    <w:rsid w:val="00136756"/>
    <w:rsid w:val="00147DC9"/>
    <w:rsid w:val="00175486"/>
    <w:rsid w:val="001A3BD0"/>
    <w:rsid w:val="001B6948"/>
    <w:rsid w:val="001B7DFD"/>
    <w:rsid w:val="001D24B6"/>
    <w:rsid w:val="001F059D"/>
    <w:rsid w:val="001F7F8C"/>
    <w:rsid w:val="0021596B"/>
    <w:rsid w:val="00220042"/>
    <w:rsid w:val="0023078B"/>
    <w:rsid w:val="00240E95"/>
    <w:rsid w:val="00285268"/>
    <w:rsid w:val="00294CA4"/>
    <w:rsid w:val="002A6360"/>
    <w:rsid w:val="002D3180"/>
    <w:rsid w:val="002F23C0"/>
    <w:rsid w:val="00300E0C"/>
    <w:rsid w:val="00304014"/>
    <w:rsid w:val="00310E09"/>
    <w:rsid w:val="0032017D"/>
    <w:rsid w:val="00334ADB"/>
    <w:rsid w:val="00341B1E"/>
    <w:rsid w:val="00344A17"/>
    <w:rsid w:val="00355699"/>
    <w:rsid w:val="00356093"/>
    <w:rsid w:val="003A02E1"/>
    <w:rsid w:val="003A1CFB"/>
    <w:rsid w:val="003B7C76"/>
    <w:rsid w:val="003C2E5F"/>
    <w:rsid w:val="003E43B4"/>
    <w:rsid w:val="003E7BC4"/>
    <w:rsid w:val="00405FCE"/>
    <w:rsid w:val="00433031"/>
    <w:rsid w:val="004428B7"/>
    <w:rsid w:val="00454AE5"/>
    <w:rsid w:val="004617BB"/>
    <w:rsid w:val="0046317F"/>
    <w:rsid w:val="00464656"/>
    <w:rsid w:val="0046610A"/>
    <w:rsid w:val="00480B5D"/>
    <w:rsid w:val="00482078"/>
    <w:rsid w:val="00483774"/>
    <w:rsid w:val="00483FDC"/>
    <w:rsid w:val="004D2AC4"/>
    <w:rsid w:val="004D4240"/>
    <w:rsid w:val="004E3D64"/>
    <w:rsid w:val="004E66C5"/>
    <w:rsid w:val="00524542"/>
    <w:rsid w:val="00531BB6"/>
    <w:rsid w:val="00553DD0"/>
    <w:rsid w:val="00564DFA"/>
    <w:rsid w:val="00571DCD"/>
    <w:rsid w:val="00580005"/>
    <w:rsid w:val="00580B86"/>
    <w:rsid w:val="005821C0"/>
    <w:rsid w:val="0058507A"/>
    <w:rsid w:val="00594544"/>
    <w:rsid w:val="00596E11"/>
    <w:rsid w:val="005A6F4D"/>
    <w:rsid w:val="005D092F"/>
    <w:rsid w:val="005E1FFE"/>
    <w:rsid w:val="005E4355"/>
    <w:rsid w:val="00601F4E"/>
    <w:rsid w:val="00602F53"/>
    <w:rsid w:val="006059CA"/>
    <w:rsid w:val="00610E85"/>
    <w:rsid w:val="006137B4"/>
    <w:rsid w:val="00621706"/>
    <w:rsid w:val="00630EB4"/>
    <w:rsid w:val="00634D86"/>
    <w:rsid w:val="0063530D"/>
    <w:rsid w:val="00691C4F"/>
    <w:rsid w:val="006B0791"/>
    <w:rsid w:val="006B7BEF"/>
    <w:rsid w:val="006C458F"/>
    <w:rsid w:val="006F60E7"/>
    <w:rsid w:val="006F651C"/>
    <w:rsid w:val="00714231"/>
    <w:rsid w:val="00727A61"/>
    <w:rsid w:val="0076135F"/>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4E82"/>
    <w:rsid w:val="008B7194"/>
    <w:rsid w:val="008B7902"/>
    <w:rsid w:val="008F57CF"/>
    <w:rsid w:val="009035F2"/>
    <w:rsid w:val="009142C9"/>
    <w:rsid w:val="00924A66"/>
    <w:rsid w:val="00930211"/>
    <w:rsid w:val="0093046D"/>
    <w:rsid w:val="00944B71"/>
    <w:rsid w:val="00962EBB"/>
    <w:rsid w:val="009929D2"/>
    <w:rsid w:val="00997C34"/>
    <w:rsid w:val="009C531C"/>
    <w:rsid w:val="009C5DF6"/>
    <w:rsid w:val="009D06C6"/>
    <w:rsid w:val="009E1A7D"/>
    <w:rsid w:val="00A01517"/>
    <w:rsid w:val="00A03A12"/>
    <w:rsid w:val="00A0638E"/>
    <w:rsid w:val="00A07549"/>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97E1E"/>
    <w:rsid w:val="00BA00F7"/>
    <w:rsid w:val="00BB66EB"/>
    <w:rsid w:val="00BC443F"/>
    <w:rsid w:val="00BC6547"/>
    <w:rsid w:val="00BD62C4"/>
    <w:rsid w:val="00BE5553"/>
    <w:rsid w:val="00C00C1E"/>
    <w:rsid w:val="00C41993"/>
    <w:rsid w:val="00C50872"/>
    <w:rsid w:val="00C65049"/>
    <w:rsid w:val="00C8782D"/>
    <w:rsid w:val="00CB7B0F"/>
    <w:rsid w:val="00CE2659"/>
    <w:rsid w:val="00D1061C"/>
    <w:rsid w:val="00D13B2D"/>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45958"/>
    <w:rsid w:val="00E6116E"/>
    <w:rsid w:val="00E6236F"/>
    <w:rsid w:val="00E660C7"/>
    <w:rsid w:val="00E93193"/>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07B2"/>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paragraph" w:styleId="FootnoteText">
    <w:name w:val="footnote text"/>
    <w:basedOn w:val="Normal"/>
    <w:link w:val="FootnoteTextChar"/>
    <w:uiPriority w:val="99"/>
    <w:semiHidden/>
    <w:unhideWhenUsed/>
    <w:rsid w:val="002A636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A6360"/>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2A6360"/>
    <w:rPr>
      <w:vertAlign w:val="superscript"/>
    </w:rPr>
  </w:style>
  <w:style w:type="paragraph" w:styleId="NoSpacing">
    <w:name w:val="No Spacing"/>
    <w:uiPriority w:val="1"/>
    <w:qFormat/>
    <w:rsid w:val="001B6948"/>
    <w:rPr>
      <w:rFonts w:ascii="Times New Roman" w:hAnsi="Times New Roman" w:cs="Times New Roman"/>
      <w:sz w:val="22"/>
      <w:szCs w:val="22"/>
    </w:rPr>
  </w:style>
  <w:style w:type="paragraph" w:styleId="NormalWeb">
    <w:name w:val="Normal (Web)"/>
    <w:basedOn w:val="Normal"/>
    <w:uiPriority w:val="99"/>
    <w:unhideWhenUsed/>
    <w:rsid w:val="008B4E82"/>
    <w:pPr>
      <w:spacing w:before="100" w:beforeAutospacing="1" w:after="100" w:afterAutospacing="1" w:line="240" w:lineRule="auto"/>
    </w:pPr>
    <w:rPr>
      <w:rFonts w:eastAsia="Times New Roman"/>
      <w:sz w:val="24"/>
      <w:szCs w:val="24"/>
      <w:lang w:eastAsia="en-GB"/>
    </w:rPr>
  </w:style>
  <w:style w:type="character" w:styleId="Hyperlink">
    <w:name w:val="Hyperlink"/>
    <w:basedOn w:val="DefaultParagraphFont"/>
    <w:uiPriority w:val="99"/>
    <w:unhideWhenUsed/>
    <w:rsid w:val="008B4E82"/>
    <w:rPr>
      <w:color w:val="0000FF"/>
      <w:u w:val="single"/>
    </w:rPr>
  </w:style>
  <w:style w:type="character" w:styleId="FollowedHyperlink">
    <w:name w:val="FollowedHyperlink"/>
    <w:basedOn w:val="DefaultParagraphFont"/>
    <w:uiPriority w:val="99"/>
    <w:semiHidden/>
    <w:unhideWhenUsed/>
    <w:rsid w:val="008B4E82"/>
    <w:rPr>
      <w:color w:val="96607D" w:themeColor="followedHyperlink"/>
      <w:u w:val="single"/>
    </w:rPr>
  </w:style>
  <w:style w:type="character" w:styleId="UnresolvedMention">
    <w:name w:val="Unresolved Mention"/>
    <w:basedOn w:val="DefaultParagraphFont"/>
    <w:uiPriority w:val="99"/>
    <w:semiHidden/>
    <w:unhideWhenUsed/>
    <w:rsid w:val="001D24B6"/>
    <w:rPr>
      <w:color w:val="605E5C"/>
      <w:shd w:val="clear" w:color="auto" w:fill="E1DFDD"/>
    </w:rPr>
  </w:style>
  <w:style w:type="character" w:styleId="Emphasis">
    <w:name w:val="Emphasis"/>
    <w:basedOn w:val="DefaultParagraphFont"/>
    <w:uiPriority w:val="20"/>
    <w:qFormat/>
    <w:rsid w:val="00026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footnotes.xml.rels><?xml version="1.0" encoding="UTF-8" standalone="yes"?>
<Relationships xmlns="http://schemas.openxmlformats.org/package/2006/relationships"><Relationship Id="rId1" Type="http://schemas.openxmlformats.org/officeDocument/2006/relationships/hyperlink" Target="https://peo.gov.au/understand-our-parliament/your-questions-on-notice/questions/what-are-the-arguments-for-and-against-a-bill-of-rights-here-in-australia?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268CA0-DED0-414A-A419-FDFFA6CD2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1024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Nancy Tripodi</cp:lastModifiedBy>
  <cp:revision>3</cp:revision>
  <dcterms:created xsi:type="dcterms:W3CDTF">2026-02-20T11:26:00Z</dcterms:created>
  <dcterms:modified xsi:type="dcterms:W3CDTF">2026-02-20T11:32:00Z</dcterms:modified>
</cp:coreProperties>
</file>