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DraftingNote"/>
      </w:pPr>
      <w:r>
        <w:rPr>
          <w:b/>
          <w:bCs/>
        </w:rPr>
        <w:t xml:space="preserve">Drafting notes.</w:t>
      </w:r>
      <w:r>
        <w:t xml:space="preserve"> This is a plain-English engagement letter and costs agreement for private clients and small businesses, billed by time or on a fixed fee. Variable fields are in [square brackets]. Shaded notes like this one explain what a clause is for and when to remove it. Delete every note before the letter goes out.</w:t>
      </w:r>
    </w:p>
    <w:p>
      <w:pPr>
        <w:pStyle w:val="DraftingNote"/>
      </w:pPr>
      <w:r>
        <w:rPr>
          <w:b/>
          <w:bCs/>
        </w:rPr>
        <w:t xml:space="preserve">Before you use it:</w:t>
      </w:r>
      <w:r>
        <w:t xml:space="preserve"> replace every bracketed field and delete the clauses that do not apply; insert the costs disclosure your jurisdiction requires, including any thresholds that change its form; set out your billing increment, usually six-minute units, and your payment terms; and have a principal approve the final version before it becomes your standard.</w:t>
      </w:r>
    </w:p>
    <w:p>
      <w:pPr>
        <w:spacing w:before="240" w:after="20"/>
      </w:pPr>
      <w:r>
        <w:rPr>
          <w:b/>
          <w:bCs/>
          <w:sz w:val="26"/>
          <w:szCs w:val="26"/>
        </w:rPr>
        <w:t xml:space="preserve">[Firm name]</w:t>
      </w:r>
    </w:p>
    <w:p>
      <w:pPr>
        <w:spacing w:before="0" w:after="0"/>
      </w:pPr>
      <w:r>
        <w:rPr>
          <w:color w:val="676C73"/>
          <w:sz w:val="18"/>
          <w:szCs w:val="18"/>
        </w:rPr>
        <w:t xml:space="preserve">[Street address], [City] [Postcode]</w:t>
      </w:r>
    </w:p>
    <w:p>
      <w:pPr>
        <w:spacing w:before="0" w:after="360"/>
      </w:pPr>
      <w:r>
        <w:rPr>
          <w:color w:val="676C73"/>
          <w:sz w:val="18"/>
          <w:szCs w:val="18"/>
        </w:rPr>
        <w:t xml:space="preserve">[Phone]  ·  [Email]  ·  [Website]</w:t>
      </w:r>
    </w:p>
    <w:p>
      <w:pPr>
        <w:pStyle w:val="Heading1"/>
      </w:pPr>
      <w:r>
        <w:t xml:space="preserve">Engagement letter and costs agreement</w:t>
      </w:r>
    </w:p>
    <w:p>
      <w:pPr>
        <w:pStyle w:val="Subtitle"/>
      </w:pPr>
      <w:r>
        <w:t xml:space="preserve">Private and confidential</w:t>
      </w:r>
    </w:p>
    <w:p>
      <w:pPr>
        <w:spacing w:before="0" w:after="0"/>
      </w:pPr>
      <w:r>
        <w:rPr>
          <w:b/>
          <w:bCs/>
        </w:rPr>
        <w:t xml:space="preserve">Date:</w:t>
      </w:r>
      <w:r>
        <w:t xml:space="preserve"> [date]</w:t>
      </w:r>
    </w:p>
    <w:p>
      <w:pPr>
        <w:spacing w:before="0" w:after="0"/>
      </w:pPr>
      <w:r>
        <w:rPr>
          <w:b/>
          <w:bCs/>
        </w:rPr>
        <w:t xml:space="preserve">Our reference:</w:t>
      </w:r>
      <w:r>
        <w:t xml:space="preserve"> [matter number]</w:t>
      </w:r>
    </w:p>
    <w:p>
      <w:pPr>
        <w:spacing w:before="0" w:after="0"/>
      </w:pPr>
      <w:r>
        <w:rPr>
          <w:b/>
          <w:bCs/>
        </w:rPr>
        <w:t xml:space="preserve">Your reference:</w:t>
      </w:r>
      <w:r>
        <w:t xml:space="preserve"> [client reference, if any]</w:t>
      </w:r>
    </w:p>
    <w:p>
      <w:pPr>
        <w:spacing w:before="0" w:after="240"/>
      </w:pPr>
      <w:r>
        <w:rPr>
          <w:b/>
          <w:bCs/>
        </w:rPr>
        <w:t xml:space="preserve">Your contact:</w:t>
      </w:r>
      <w:r>
        <w:t xml:space="preserve"> [responsible lawyer], [phone], [email]</w:t>
      </w:r>
    </w:p>
    <w:p>
      <w:pPr>
        <w:spacing w:before="0" w:after="0"/>
      </w:pPr>
      <w:r>
        <w:t xml:space="preserve">[Client name]</w:t>
      </w:r>
    </w:p>
    <w:p>
      <w:pPr>
        <w:spacing w:before="0" w:after="0"/>
      </w:pPr>
      <w:r>
        <w:t xml:space="preserve">[Client postal address]</w:t>
      </w:r>
    </w:p>
    <w:p>
      <w:pPr>
        <w:spacing w:before="0" w:after="240"/>
      </w:pPr>
      <w:r>
        <w:t xml:space="preserve">[Client email]</w:t>
      </w:r>
    </w:p>
    <w:p>
      <w:pPr/>
      <w:r>
        <w:t xml:space="preserve">Dear [client name]</w:t>
      </w:r>
    </w:p>
    <w:p>
      <w:pPr/>
      <w:r>
        <w:t xml:space="preserve">Thank you for asking us to act for you in [matter]. We are pleased to help.</w:t>
      </w:r>
    </w:p>
    <w:p>
      <w:pPr/>
      <w:r>
        <w:t xml:space="preserve">This letter explains what we will do for you, what it is likely to cost and how we will work together. It is also our costs agreement with you (in the US, this is usually called a fee agreement). Please read it carefully. If anything is unclear, or is not what you expected, call [responsible lawyer] on [phone] before you sign it.</w:t>
      </w:r>
    </w:p>
    <w:p>
      <w:pPr/>
      <w:r>
        <w:t xml:space="preserve">This agreement starts when you sign and return a copy. [If you ask us to start work before then, the same terms apply to that work.]</w:t>
      </w:r>
    </w:p>
    <w:p>
      <w:pPr>
        <w:pStyle w:val="DraftingNote"/>
      </w:pPr>
      <w:r>
        <w:t xml:space="preserve">Some jurisdictions allow a costs agreement to be accepted by conduct, such as giving further instructions; others require a signature. Keep the bracketed sentence only if your rules allow it.</w:t>
      </w:r>
    </w:p>
    <w:p>
      <w:pPr>
        <w:pStyle w:val="Heading2"/>
      </w:pPr>
      <w:r>
        <w:t xml:space="preserve">1. Scope of work</w:t>
      </w:r>
    </w:p>
    <w:p>
      <w:pPr/>
      <w:r>
        <w:t xml:space="preserve">You have asked us to [describe what the client wants to achieve, in their own words]. We will:</w:t>
      </w:r>
    </w:p>
    <w:p>
      <w:pPr>
        <w:pStyle w:val="ListBullet"/>
      </w:pPr>
      <w:r>
        <w:t xml:space="preserve">[review the documents you have given us, including [list the main documents]]</w:t>
      </w:r>
    </w:p>
    <w:p>
      <w:pPr>
        <w:pStyle w:val="ListBullet"/>
      </w:pPr>
      <w:r>
        <w:t xml:space="preserve">[advise you in writing on your options, the risks and the likely outcome]</w:t>
      </w:r>
    </w:p>
    <w:p>
      <w:pPr>
        <w:pStyle w:val="ListBullet"/>
      </w:pPr>
      <w:r>
        <w:t xml:space="preserve">[negotiate with the other side on your behalf]</w:t>
      </w:r>
    </w:p>
    <w:p>
      <w:pPr>
        <w:pStyle w:val="ListBullet"/>
      </w:pPr>
      <w:r>
        <w:t xml:space="preserve">[prepare and finalise [the document, for example a settlement deed]]</w:t>
      </w:r>
    </w:p>
    <w:p>
      <w:pPr/>
      <w:r>
        <w:t xml:space="preserve">We will rely on the facts and documents you give us. Please tell us straight away if anything changes, or if you learn something that may affect your matter, such as a new deadline or contact from the other side.</w:t>
      </w:r>
    </w:p>
    <w:p>
      <w:pPr/>
      <w:r>
        <w:t xml:space="preserve">If you ask us to do more than this, we will confirm the extra work, and any change to our estimate, in writing before we start it.</w:t>
      </w:r>
    </w:p>
    <w:p>
      <w:pPr>
        <w:pStyle w:val="DraftingNote"/>
      </w:pPr>
      <w:r>
        <w:t xml:space="preserve">Describe the work as steps the client will recognise. A clear scope tells the client what they are paying for and makes it obvious when new work begins, which is when you must update your estimate.</w:t>
      </w:r>
    </w:p>
    <w:p>
      <w:pPr>
        <w:pStyle w:val="Heading2"/>
      </w:pPr>
      <w:r>
        <w:t xml:space="preserve">2. What is not included</w:t>
      </w:r>
    </w:p>
    <w:p>
      <w:pPr/>
      <w:r>
        <w:t xml:space="preserve">Unless we agree otherwise in writing, our work does not include:</w:t>
      </w:r>
    </w:p>
    <w:p>
      <w:pPr>
        <w:pStyle w:val="ListBullet"/>
      </w:pPr>
      <w:r>
        <w:t xml:space="preserve">starting or defending court or tribunal proceedings, or any appeal</w:t>
      </w:r>
    </w:p>
    <w:p>
      <w:pPr>
        <w:pStyle w:val="ListBullet"/>
      </w:pPr>
      <w:r>
        <w:t xml:space="preserve">advice on tax, duty, accounting or financial matters</w:t>
      </w:r>
    </w:p>
    <w:p>
      <w:pPr>
        <w:pStyle w:val="ListBullet"/>
      </w:pPr>
      <w:r>
        <w:t xml:space="preserve">advice on the law of any place other than [jurisdiction]</w:t>
      </w:r>
    </w:p>
    <w:p>
      <w:pPr>
        <w:pStyle w:val="ListBullet"/>
      </w:pPr>
      <w:r>
        <w:t xml:space="preserve">[other work the client might expect, for example enforcing a judgment]</w:t>
      </w:r>
    </w:p>
    <w:p>
      <w:pPr/>
      <w:r>
        <w:t xml:space="preserve">If you need help with any of these, we can tell you whether we can assist and what it would cost, or refer you to someone who can.</w:t>
      </w:r>
    </w:p>
    <w:p>
      <w:pPr>
        <w:pStyle w:val="DraftingNote"/>
      </w:pPr>
      <w:r>
        <w:t xml:space="preserve">List the work a client might reasonably assume is included. In disputes, the most common misunderstanding is whether court proceedings are covered.</w:t>
      </w:r>
    </w:p>
    <w:p>
      <w:pPr>
        <w:pStyle w:val="Heading2"/>
      </w:pPr>
      <w:r>
        <w:t xml:space="preserve">3. Who will do the work</w:t>
      </w:r>
    </w:p>
    <w:p>
      <w:pPr/>
      <w:r>
        <w:t xml:space="preserve">[Responsible lawyer], [position], will be responsible for your matter and will be your main contact. [Principal name], [position], will supervise the work.</w:t>
      </w:r>
    </w:p>
    <w:p>
      <w:pPr/>
      <w:r>
        <w:t xml:space="preserve">[Name], [position], and [name], [position], will help with parts of the work where that is the most cost-effective way to do it. Their rates are lower. [We do not charge for time spent training or supervising them.]</w:t>
      </w:r>
    </w:p>
    <w:p>
      <w:pPr/>
      <w:r>
        <w:t xml:space="preserve">We may need to change the people working on your matter, for example because of leave. We will tell you if your responsible lawyer changes.</w:t>
      </w:r>
    </w:p>
    <w:p>
      <w:pPr/>
      <w:r>
        <w:t xml:space="preserve">You can reach us by [email or phone]. We aim to reply to messages within [one business day], and we will tell you if a full answer will take longer.</w:t>
      </w:r>
    </w:p>
    <w:p>
      <w:pPr>
        <w:pStyle w:val="Heading2"/>
      </w:pPr>
      <w:r>
        <w:t xml:space="preserve">4. Our fees and how we estimate them</w:t>
      </w:r>
    </w:p>
    <w:p>
      <w:pPr/>
      <w:r>
        <w:rPr>
          <w:b/>
          <w:bCs/>
        </w:rPr>
        <w:t xml:space="preserve">How we charge.</w:t>
      </w:r>
      <w:r>
        <w:t xml:space="preserve"> We charge for our work [by the time we spend on it] [as a fixed fee of $[amount] for the work in section 1]. Time is recorded in units of [six minutes] (one tenth of an hour), rounded up to the next unit. We charge for all work on your matter, including meetings, phone calls, emails, letters, research, drafting, travel and time at court.</w:t>
      </w:r>
    </w:p>
    <w:p>
      <w:pPr/>
      <w:r>
        <w:rPr>
          <w:b/>
          <w:bCs/>
        </w:rPr>
        <w:t xml:space="preserve">Our rates.</w:t>
      </w:r>
      <w:r>
        <w:t xml:space="preserve"> Our current hourly rates, excluding [GST/VAT], are:</w:t>
      </w:r>
    </w:p>
    <w:tbl>
      <w:tblPr>
        <w:tblW w:w="9298" w:type="dxa"/>
        <w:tblLayout w:type="fixed"/>
        <w:tblBorders>
          <w:top w:val="nil"/>
          <w:left w:val="nil"/>
          <w:bottom w:val="single" w:sz="4" w:space="0" w:color="D5D7DA"/>
          <w:right w:val="nil"/>
          <w:insideH w:val="single" w:sz="4" w:space="0" w:color="D5D7DA"/>
          <w:insideV w:val="nil"/>
        </w:tblBorders>
        <w:tblCellMar>
          <w:top w:w="70" w:type="dxa"/>
          <w:left w:w="110" w:type="dxa"/>
          <w:bottom w:w="70" w:type="dxa"/>
          <w:right w:w="110" w:type="dxa"/>
        </w:tblCellMar>
        <w:tblLook w:val="0020" w:firstRow="1" w:lastRow="0" w:firstColumn="0" w:lastColumn="0" w:noHBand="1" w:noVBand="1"/>
      </w:tblPr>
      <w:tblGrid>
        <w:gridCol w:w="3600"/>
        <w:gridCol w:w="3698"/>
        <w:gridCol w:w="2000"/>
      </w:tblGrid>
      <w:tr>
        <w:trPr>
          <w:tblHeader/>
          <w:cantSplit/>
        </w:trPr>
        <w:tc>
          <w:tcPr>
            <w:tcW w:w="3600" w:type="dxa"/>
            <w:tcBorders>
              <w:bottom w:val="single" w:sz="8" w:space="0" w:color="FF5A1F"/>
            </w:tcBorders>
            <w:shd w:val="clear" w:color="auto" w:fill="FEE9DD"/>
            <w:vAlign w:val="bottom"/>
          </w:tcPr>
          <w:p>
            <w:pPr>
              <w:spacing w:before="0" w:after="0" w:line="264" w:lineRule="auto"/>
            </w:pPr>
            <w:r>
              <w:rPr>
                <w:b/>
                <w:bCs/>
                <w:sz w:val="19"/>
                <w:szCs w:val="19"/>
              </w:rPr>
              <w:t xml:space="preserve">Who</w:t>
            </w:r>
          </w:p>
        </w:tc>
        <w:tc>
          <w:tcPr>
            <w:tcW w:w="3698" w:type="dxa"/>
            <w:tcBorders>
              <w:bottom w:val="single" w:sz="8" w:space="0" w:color="FF5A1F"/>
            </w:tcBorders>
            <w:shd w:val="clear" w:color="auto" w:fill="FEE9DD"/>
            <w:vAlign w:val="bottom"/>
          </w:tcPr>
          <w:p>
            <w:pPr>
              <w:spacing w:before="0" w:after="0" w:line="264" w:lineRule="auto"/>
            </w:pPr>
            <w:r>
              <w:rPr>
                <w:b/>
                <w:bCs/>
                <w:sz w:val="19"/>
                <w:szCs w:val="19"/>
              </w:rPr>
              <w:t xml:space="preserve">Role</w:t>
            </w:r>
          </w:p>
        </w:tc>
        <w:tc>
          <w:tcPr>
            <w:tcW w:w="2000" w:type="dxa"/>
            <w:tcBorders>
              <w:bottom w:val="single" w:sz="8" w:space="0" w:color="FF5A1F"/>
            </w:tcBorders>
            <w:shd w:val="clear" w:color="auto" w:fill="FEE9DD"/>
            <w:vAlign w:val="bottom"/>
          </w:tcPr>
          <w:p>
            <w:pPr>
              <w:spacing w:before="0" w:after="0" w:line="264" w:lineRule="auto"/>
              <w:jc w:val="right"/>
            </w:pPr>
            <w:r>
              <w:rPr>
                <w:b/>
                <w:bCs/>
                <w:sz w:val="19"/>
                <w:szCs w:val="19"/>
              </w:rPr>
              <w:t xml:space="preserve">Hourly rate</w:t>
            </w:r>
          </w:p>
        </w:tc>
      </w:tr>
      <w:tr>
        <w:trPr>
          <w:cantSplit/>
        </w:trPr>
        <w:tc>
          <w:tcPr>
            <w:tcW w:w="3600" w:type="dxa"/>
          </w:tcPr>
          <w:p>
            <w:pPr>
              <w:spacing w:before="0" w:after="0" w:line="264" w:lineRule="auto"/>
            </w:pPr>
            <w:r>
              <w:rPr>
                <w:sz w:val="20"/>
                <w:szCs w:val="20"/>
              </w:rPr>
              <w:t xml:space="preserve">[Name]</w:t>
            </w:r>
          </w:p>
        </w:tc>
        <w:tc>
          <w:tcPr>
            <w:tcW w:w="3698" w:type="dxa"/>
          </w:tcPr>
          <w:p>
            <w:pPr>
              <w:spacing w:before="0" w:after="0" w:line="264" w:lineRule="auto"/>
            </w:pPr>
            <w:r>
              <w:rPr>
                <w:sz w:val="20"/>
                <w:szCs w:val="20"/>
              </w:rPr>
              <w:t xml:space="preserve">[Principal]</w:t>
            </w:r>
          </w:p>
        </w:tc>
        <w:tc>
          <w:tcPr>
            <w:tcW w:w="2000" w:type="dxa"/>
          </w:tcPr>
          <w:p>
            <w:pPr>
              <w:spacing w:before="0" w:after="0" w:line="264" w:lineRule="auto"/>
              <w:jc w:val="right"/>
            </w:pPr>
            <w:r>
              <w:rPr>
                <w:sz w:val="20"/>
                <w:szCs w:val="20"/>
              </w:rPr>
              <w:t xml:space="preserve">$[rate]</w:t>
            </w:r>
          </w:p>
        </w:tc>
      </w:tr>
      <w:tr>
        <w:trPr>
          <w:cantSplit/>
        </w:trPr>
        <w:tc>
          <w:tcPr>
            <w:tcW w:w="3600" w:type="dxa"/>
          </w:tcPr>
          <w:p>
            <w:pPr>
              <w:spacing w:before="0" w:after="0" w:line="264" w:lineRule="auto"/>
            </w:pPr>
            <w:r>
              <w:rPr>
                <w:sz w:val="20"/>
                <w:szCs w:val="20"/>
              </w:rPr>
              <w:t xml:space="preserve">[Name]</w:t>
            </w:r>
          </w:p>
        </w:tc>
        <w:tc>
          <w:tcPr>
            <w:tcW w:w="3698" w:type="dxa"/>
          </w:tcPr>
          <w:p>
            <w:pPr>
              <w:spacing w:before="0" w:after="0" w:line="264" w:lineRule="auto"/>
            </w:pPr>
            <w:r>
              <w:rPr>
                <w:sz w:val="20"/>
                <w:szCs w:val="20"/>
              </w:rPr>
              <w:t xml:space="preserve">[Senior associate]</w:t>
            </w:r>
          </w:p>
        </w:tc>
        <w:tc>
          <w:tcPr>
            <w:tcW w:w="2000" w:type="dxa"/>
          </w:tcPr>
          <w:p>
            <w:pPr>
              <w:spacing w:before="0" w:after="0" w:line="264" w:lineRule="auto"/>
              <w:jc w:val="right"/>
            </w:pPr>
            <w:r>
              <w:rPr>
                <w:sz w:val="20"/>
                <w:szCs w:val="20"/>
              </w:rPr>
              <w:t xml:space="preserve">$[rate]</w:t>
            </w:r>
          </w:p>
        </w:tc>
      </w:tr>
      <w:tr>
        <w:trPr>
          <w:cantSplit/>
        </w:trPr>
        <w:tc>
          <w:tcPr>
            <w:tcW w:w="3600" w:type="dxa"/>
          </w:tcPr>
          <w:p>
            <w:pPr>
              <w:spacing w:before="0" w:after="0" w:line="264" w:lineRule="auto"/>
            </w:pPr>
            <w:r>
              <w:rPr>
                <w:sz w:val="20"/>
                <w:szCs w:val="20"/>
              </w:rPr>
              <w:t xml:space="preserve">[Name]</w:t>
            </w:r>
          </w:p>
        </w:tc>
        <w:tc>
          <w:tcPr>
            <w:tcW w:w="3698" w:type="dxa"/>
          </w:tcPr>
          <w:p>
            <w:pPr>
              <w:spacing w:before="0" w:after="0" w:line="264" w:lineRule="auto"/>
            </w:pPr>
            <w:r>
              <w:rPr>
                <w:sz w:val="20"/>
                <w:szCs w:val="20"/>
              </w:rPr>
              <w:t xml:space="preserve">[Lawyer]</w:t>
            </w:r>
          </w:p>
        </w:tc>
        <w:tc>
          <w:tcPr>
            <w:tcW w:w="2000" w:type="dxa"/>
          </w:tcPr>
          <w:p>
            <w:pPr>
              <w:spacing w:before="0" w:after="0" w:line="264" w:lineRule="auto"/>
              <w:jc w:val="right"/>
            </w:pPr>
            <w:r>
              <w:rPr>
                <w:sz w:val="20"/>
                <w:szCs w:val="20"/>
              </w:rPr>
              <w:t xml:space="preserve">$[rate]</w:t>
            </w:r>
          </w:p>
        </w:tc>
      </w:tr>
      <w:tr>
        <w:trPr>
          <w:cantSplit/>
        </w:trPr>
        <w:tc>
          <w:tcPr>
            <w:tcW w:w="3600" w:type="dxa"/>
          </w:tcPr>
          <w:p>
            <w:pPr>
              <w:spacing w:before="0" w:after="0" w:line="264" w:lineRule="auto"/>
            </w:pPr>
            <w:r>
              <w:rPr>
                <w:sz w:val="20"/>
                <w:szCs w:val="20"/>
              </w:rPr>
              <w:t xml:space="preserve">[Name]</w:t>
            </w:r>
          </w:p>
        </w:tc>
        <w:tc>
          <w:tcPr>
            <w:tcW w:w="3698" w:type="dxa"/>
          </w:tcPr>
          <w:p>
            <w:pPr>
              <w:spacing w:before="0" w:after="0" w:line="264" w:lineRule="auto"/>
            </w:pPr>
            <w:r>
              <w:rPr>
                <w:sz w:val="20"/>
                <w:szCs w:val="20"/>
              </w:rPr>
              <w:t xml:space="preserve">[Paralegal or law clerk]</w:t>
            </w:r>
          </w:p>
        </w:tc>
        <w:tc>
          <w:tcPr>
            <w:tcW w:w="2000" w:type="dxa"/>
          </w:tcPr>
          <w:p>
            <w:pPr>
              <w:spacing w:before="0" w:after="0" w:line="264" w:lineRule="auto"/>
              <w:jc w:val="right"/>
            </w:pPr>
            <w:r>
              <w:rPr>
                <w:sz w:val="20"/>
                <w:szCs w:val="20"/>
              </w:rPr>
              <w:t xml:space="preserve">$[rate]</w:t>
            </w:r>
          </w:p>
        </w:tc>
      </w:tr>
    </w:tbl>
    <w:p>
      <w:pPr>
        <w:spacing w:before="0" w:after="60"/>
      </w:pPr>
    </w:p>
    <w:p>
      <w:pPr/>
      <w:r>
        <w:t xml:space="preserve">Short routine emails, letters and phone calls are charged at [one six-minute unit each] [a fixed $[amount] each].</w:t>
      </w:r>
    </w:p>
    <w:p>
      <w:pPr/>
      <w:r>
        <w:rPr>
          <w:b/>
          <w:bCs/>
        </w:rPr>
        <w:t xml:space="preserve">Our estimate.</w:t>
      </w:r>
      <w:r>
        <w:t xml:space="preserve"> Based on what we know now, we estimate our fees for the work in section 1 will be between $[amount] and $[amount], plus [GST/VAT] and disbursements. By stage:</w:t>
      </w:r>
    </w:p>
    <w:tbl>
      <w:tblPr>
        <w:tblW w:w="9298" w:type="dxa"/>
        <w:tblLayout w:type="fixed"/>
        <w:tblBorders>
          <w:top w:val="nil"/>
          <w:left w:val="nil"/>
          <w:bottom w:val="single" w:sz="4" w:space="0" w:color="D5D7DA"/>
          <w:right w:val="nil"/>
          <w:insideH w:val="single" w:sz="4" w:space="0" w:color="D5D7DA"/>
          <w:insideV w:val="nil"/>
        </w:tblBorders>
        <w:tblCellMar>
          <w:top w:w="70" w:type="dxa"/>
          <w:left w:w="110" w:type="dxa"/>
          <w:bottom w:w="70" w:type="dxa"/>
          <w:right w:w="110" w:type="dxa"/>
        </w:tblCellMar>
        <w:tblLook w:val="0020" w:firstRow="1" w:lastRow="0" w:firstColumn="0" w:lastColumn="0" w:noHBand="1" w:noVBand="1"/>
      </w:tblPr>
      <w:tblGrid>
        <w:gridCol w:w="6298"/>
        <w:gridCol w:w="3000"/>
      </w:tblGrid>
      <w:tr>
        <w:trPr>
          <w:tblHeader/>
          <w:cantSplit/>
        </w:trPr>
        <w:tc>
          <w:tcPr>
            <w:tcW w:w="6298" w:type="dxa"/>
            <w:tcBorders>
              <w:bottom w:val="single" w:sz="8" w:space="0" w:color="FF5A1F"/>
            </w:tcBorders>
            <w:shd w:val="clear" w:color="auto" w:fill="FEE9DD"/>
            <w:vAlign w:val="bottom"/>
          </w:tcPr>
          <w:p>
            <w:pPr>
              <w:spacing w:before="0" w:after="0" w:line="264" w:lineRule="auto"/>
            </w:pPr>
            <w:r>
              <w:rPr>
                <w:b/>
                <w:bCs/>
                <w:sz w:val="19"/>
                <w:szCs w:val="19"/>
              </w:rPr>
              <w:t xml:space="preserve">Stage</w:t>
            </w:r>
          </w:p>
        </w:tc>
        <w:tc>
          <w:tcPr>
            <w:tcW w:w="3000" w:type="dxa"/>
            <w:tcBorders>
              <w:bottom w:val="single" w:sz="8" w:space="0" w:color="FF5A1F"/>
            </w:tcBorders>
            <w:shd w:val="clear" w:color="auto" w:fill="FEE9DD"/>
            <w:vAlign w:val="bottom"/>
          </w:tcPr>
          <w:p>
            <w:pPr>
              <w:spacing w:before="0" w:after="0" w:line="264" w:lineRule="auto"/>
              <w:jc w:val="right"/>
            </w:pPr>
            <w:r>
              <w:rPr>
                <w:b/>
                <w:bCs/>
                <w:sz w:val="19"/>
                <w:szCs w:val="19"/>
              </w:rPr>
              <w:t xml:space="preserve">Estimated fees</w:t>
            </w:r>
          </w:p>
        </w:tc>
      </w:tr>
      <w:tr>
        <w:trPr>
          <w:cantSplit/>
        </w:trPr>
        <w:tc>
          <w:tcPr>
            <w:tcW w:w="6298" w:type="dxa"/>
          </w:tcPr>
          <w:p>
            <w:pPr>
              <w:spacing w:before="0" w:after="0" w:line="264" w:lineRule="auto"/>
            </w:pPr>
            <w:r>
              <w:rPr>
                <w:sz w:val="20"/>
                <w:szCs w:val="20"/>
              </w:rPr>
              <w:t xml:space="preserve">[Stage 1: review and initial advice]</w:t>
            </w:r>
          </w:p>
        </w:tc>
        <w:tc>
          <w:tcPr>
            <w:tcW w:w="3000" w:type="dxa"/>
          </w:tcPr>
          <w:p>
            <w:pPr>
              <w:spacing w:before="0" w:after="0" w:line="264" w:lineRule="auto"/>
              <w:jc w:val="right"/>
            </w:pPr>
            <w:r>
              <w:rPr>
                <w:sz w:val="20"/>
                <w:szCs w:val="20"/>
              </w:rPr>
              <w:t xml:space="preserve">$[amount] to $[amount]</w:t>
            </w:r>
          </w:p>
        </w:tc>
      </w:tr>
      <w:tr>
        <w:trPr>
          <w:cantSplit/>
        </w:trPr>
        <w:tc>
          <w:tcPr>
            <w:tcW w:w="6298" w:type="dxa"/>
          </w:tcPr>
          <w:p>
            <w:pPr>
              <w:spacing w:before="0" w:after="0" w:line="264" w:lineRule="auto"/>
            </w:pPr>
            <w:r>
              <w:rPr>
                <w:sz w:val="20"/>
                <w:szCs w:val="20"/>
              </w:rPr>
              <w:t xml:space="preserve">[Stage 2: negotiation]</w:t>
            </w:r>
          </w:p>
        </w:tc>
        <w:tc>
          <w:tcPr>
            <w:tcW w:w="3000" w:type="dxa"/>
          </w:tcPr>
          <w:p>
            <w:pPr>
              <w:spacing w:before="0" w:after="0" w:line="264" w:lineRule="auto"/>
              <w:jc w:val="right"/>
            </w:pPr>
            <w:r>
              <w:rPr>
                <w:sz w:val="20"/>
                <w:szCs w:val="20"/>
              </w:rPr>
              <w:t xml:space="preserve">$[amount] to $[amount]</w:t>
            </w:r>
          </w:p>
        </w:tc>
      </w:tr>
      <w:tr>
        <w:trPr>
          <w:cantSplit/>
        </w:trPr>
        <w:tc>
          <w:tcPr>
            <w:tcW w:w="6298" w:type="dxa"/>
          </w:tcPr>
          <w:p>
            <w:pPr>
              <w:spacing w:before="0" w:after="0" w:line="264" w:lineRule="auto"/>
            </w:pPr>
            <w:r>
              <w:rPr>
                <w:sz w:val="20"/>
                <w:szCs w:val="20"/>
              </w:rPr>
              <w:t xml:space="preserve">[Stage 3: documenting the outcome]</w:t>
            </w:r>
          </w:p>
        </w:tc>
        <w:tc>
          <w:tcPr>
            <w:tcW w:w="3000" w:type="dxa"/>
          </w:tcPr>
          <w:p>
            <w:pPr>
              <w:spacing w:before="0" w:after="0" w:line="264" w:lineRule="auto"/>
              <w:jc w:val="right"/>
            </w:pPr>
            <w:r>
              <w:rPr>
                <w:sz w:val="20"/>
                <w:szCs w:val="20"/>
              </w:rPr>
              <w:t xml:space="preserve">$[amount] to $[amount]</w:t>
            </w:r>
          </w:p>
        </w:tc>
      </w:tr>
      <w:tr>
        <w:trPr>
          <w:cantSplit/>
        </w:trPr>
        <w:tc>
          <w:tcPr>
            <w:tcW w:w="6298" w:type="dxa"/>
          </w:tcPr>
          <w:p>
            <w:pPr>
              <w:spacing w:before="0" w:after="0" w:line="264" w:lineRule="auto"/>
            </w:pPr>
            <w:r>
              <w:rPr>
                <w:b/>
                <w:bCs/>
                <w:sz w:val="20"/>
                <w:szCs w:val="20"/>
              </w:rPr>
              <w:t xml:space="preserve">Total, excluding [GST/VAT] and disbursements</w:t>
            </w:r>
          </w:p>
        </w:tc>
        <w:tc>
          <w:tcPr>
            <w:tcW w:w="3000" w:type="dxa"/>
          </w:tcPr>
          <w:p>
            <w:pPr>
              <w:spacing w:before="0" w:after="0" w:line="264" w:lineRule="auto"/>
              <w:jc w:val="right"/>
            </w:pPr>
            <w:r>
              <w:rPr>
                <w:b/>
                <w:bCs/>
                <w:sz w:val="20"/>
                <w:szCs w:val="20"/>
              </w:rPr>
              <w:t xml:space="preserve">$[amount] to $[amount]</w:t>
            </w:r>
          </w:p>
        </w:tc>
      </w:tr>
    </w:tbl>
    <w:p>
      <w:pPr>
        <w:spacing w:before="0" w:after="60"/>
      </w:pPr>
    </w:p>
    <w:p>
      <w:pPr/>
      <w:r>
        <w:t xml:space="preserve">This is an estimate, not a quote. The final cost depends on things we cannot fully control, such as how the other side responds, how many documents there are and whether the matter settles early. We will tell you promptly if we expect to go over the estimate, explain why and give you a revised estimate. You can then decide whether to continue.</w:t>
      </w:r>
    </w:p>
    <w:p>
      <w:pPr/>
      <w:r>
        <w:rPr>
          <w:b/>
          <w:bCs/>
        </w:rPr>
        <w:t xml:space="preserve">If costs are recovered.</w:t>
      </w:r>
      <w:r>
        <w:t xml:space="preserve"> If the other side is ordered, or agrees, to pay some of your costs, that amount is unlikely to cover all of our fees. You remain responsible for our fees whatever the outcome, and we will credit any costs recovered to your account. [If you lose, you may be ordered to pay some of the other side’s costs.]</w:t>
      </w:r>
    </w:p>
    <w:p>
      <w:pPr/>
      <w:r>
        <w:rPr>
          <w:b/>
          <w:bCs/>
        </w:rPr>
        <w:t xml:space="preserve">Changes to our rates.</w:t>
      </w:r>
      <w:r>
        <w:t xml:space="preserve"> We review our rates each [month]. We will give you at least [30] days’ written notice of any increase, and you may end our engagement before it takes effect.</w:t>
      </w:r>
    </w:p>
    <w:p>
      <w:pPr/>
      <w:r>
        <w:rPr>
          <w:b/>
          <w:bCs/>
        </w:rPr>
        <w:t xml:space="preserve">Your rights.</w:t>
      </w:r>
      <w:r>
        <w:t xml:space="preserve"> [Insert the costs disclosure your jurisdiction requires. It usually includes your right to ask questions about our costs, to receive an itemised bill, to negotiate this agreement and to have our costs reviewed or assessed, with the time limits for doing so.]</w:t>
      </w:r>
    </w:p>
    <w:p>
      <w:pPr>
        <w:pStyle w:val="DraftingNote"/>
      </w:pPr>
      <w:r>
        <w:t xml:space="preserve">Costs disclosure rules differ between jurisdictions and often change with the size of the estimate. Insert the disclosure your rules require, including any threshold above which a fuller disclosure applies, and check whether a costs agreement must take a particular form to be enforceable. Keep one of each pair of bracketed options and delete the other.</w:t>
      </w:r>
    </w:p>
    <w:p>
      <w:pPr>
        <w:pStyle w:val="Heading2"/>
      </w:pPr>
      <w:r>
        <w:t xml:space="preserve">5. Disbursements and third-party costs</w:t>
      </w:r>
    </w:p>
    <w:p>
      <w:pPr/>
      <w:r>
        <w:t xml:space="preserve">Disbursements are amounts we pay to others for your matter, such as court filing fees, search fees, barristers’ or counsel’s fees, expert reports, couriers and travel. We charge them at cost, plus [GST/VAT] where it applies.</w:t>
      </w:r>
    </w:p>
    <w:p>
      <w:pPr/>
      <w:r>
        <w:t xml:space="preserve">We estimate disbursements will be about $[amount], made up of [the main items].</w:t>
      </w:r>
    </w:p>
    <w:p>
      <w:pPr/>
      <w:r>
        <w:t xml:space="preserve">We will ask for your approval before we incur any single disbursement over $[amount]. For large items, we may ask you to pay the amount into our trust account first, or to pay the provider directly. If we engage a barrister, counsel or expert for you, they may give you their own costs disclosure or agreement to sign.</w:t>
      </w:r>
    </w:p>
    <w:p>
      <w:pPr/>
      <w:r>
        <w:t xml:space="preserve">[We do not charge for routine printing, copying or postage.] [We charge printing and copying at $[amount] a page.]</w:t>
      </w:r>
    </w:p>
    <w:p>
      <w:pPr>
        <w:pStyle w:val="Heading2"/>
      </w:pPr>
      <w:r>
        <w:t xml:space="preserve">6. Money held in trust</w:t>
      </w:r>
    </w:p>
    <w:p>
      <w:pPr/>
      <w:r>
        <w:t xml:space="preserve">We may ask you to pay money into our trust account (in the US, usually an IOLTA account) before we start work, or before a large cost falls due. We hold that money for you, separately from the firm’s own money, under the trust accounting rules that apply to lawyers in [jurisdiction].</w:t>
      </w:r>
    </w:p>
    <w:p>
      <w:pPr>
        <w:keepNext/>
      </w:pPr>
      <w:r>
        <w:t xml:space="preserve">We ask for an initial deposit of $[amount]. Please pay it to:</w:t>
      </w:r>
    </w:p>
    <w:tbl>
      <w:tblPr>
        <w:tblW w:w="9298" w:type="dxa"/>
        <w:tblLayout w:type="fixed"/>
        <w:tblBorders>
          <w:top w:val="nil"/>
          <w:left w:val="nil"/>
          <w:bottom w:val="single" w:sz="4" w:space="0" w:color="D5D7DA"/>
          <w:right w:val="nil"/>
          <w:insideH w:val="single" w:sz="4" w:space="0" w:color="D5D7DA"/>
          <w:insideV w:val="nil"/>
        </w:tblBorders>
        <w:tblCellMar>
          <w:top w:w="70" w:type="dxa"/>
          <w:left w:w="110" w:type="dxa"/>
          <w:bottom w:w="70" w:type="dxa"/>
          <w:right w:w="110" w:type="dxa"/>
        </w:tblCellMar>
        <w:tblLook w:val="0020" w:firstRow="1" w:lastRow="0" w:firstColumn="0" w:lastColumn="0" w:noHBand="1" w:noVBand="1"/>
      </w:tblPr>
      <w:tblGrid>
        <w:gridCol w:w="3000"/>
        <w:gridCol w:w="6298"/>
      </w:tblGrid>
      <w:tr>
        <w:trPr>
          <w:tblHeader/>
          <w:cantSplit/>
        </w:trPr>
        <w:tc>
          <w:tcPr>
            <w:tcW w:w="3000" w:type="dxa"/>
            <w:tcBorders>
              <w:bottom w:val="single" w:sz="8" w:space="0" w:color="FF5A1F"/>
            </w:tcBorders>
            <w:shd w:val="clear" w:color="auto" w:fill="FEE9DD"/>
            <w:vAlign w:val="bottom"/>
          </w:tcPr>
          <w:p>
            <w:pPr>
              <w:spacing w:before="0" w:after="0" w:line="264" w:lineRule="auto"/>
            </w:pPr>
            <w:r>
              <w:rPr>
                <w:b/>
                <w:bCs/>
                <w:sz w:val="19"/>
                <w:szCs w:val="19"/>
              </w:rPr>
              <w:t xml:space="preserve">Payment details</w:t>
            </w:r>
          </w:p>
        </w:tc>
        <w:tc>
          <w:tcPr>
            <w:tcW w:w="6298" w:type="dxa"/>
            <w:tcBorders>
              <w:bottom w:val="single" w:sz="8" w:space="0" w:color="FF5A1F"/>
            </w:tcBorders>
            <w:shd w:val="clear" w:color="auto" w:fill="FEE9DD"/>
            <w:vAlign w:val="bottom"/>
          </w:tcPr>
          <w:p>
            <w:pPr>
              <w:spacing w:before="0" w:after="0" w:line="264" w:lineRule="auto"/>
            </w:pPr>
          </w:p>
        </w:tc>
      </w:tr>
      <w:tr>
        <w:trPr>
          <w:cantSplit/>
        </w:trPr>
        <w:tc>
          <w:tcPr>
            <w:tcW w:w="3000" w:type="dxa"/>
          </w:tcPr>
          <w:p>
            <w:pPr>
              <w:spacing w:before="0" w:after="0" w:line="264" w:lineRule="auto"/>
            </w:pPr>
            <w:r>
              <w:rPr>
                <w:sz w:val="20"/>
                <w:szCs w:val="20"/>
              </w:rPr>
              <w:t xml:space="preserve">Account name</w:t>
            </w:r>
          </w:p>
        </w:tc>
        <w:tc>
          <w:tcPr>
            <w:tcW w:w="6298" w:type="dxa"/>
          </w:tcPr>
          <w:p>
            <w:pPr>
              <w:spacing w:before="0" w:after="0" w:line="264" w:lineRule="auto"/>
              <w:jc w:val="right"/>
            </w:pPr>
            <w:r>
              <w:rPr>
                <w:sz w:val="20"/>
                <w:szCs w:val="20"/>
              </w:rPr>
              <w:t xml:space="preserve">[Firm name] Trust Account</w:t>
            </w:r>
          </w:p>
        </w:tc>
      </w:tr>
      <w:tr>
        <w:trPr>
          <w:cantSplit/>
        </w:trPr>
        <w:tc>
          <w:tcPr>
            <w:tcW w:w="3000" w:type="dxa"/>
          </w:tcPr>
          <w:p>
            <w:pPr>
              <w:spacing w:before="0" w:after="0" w:line="264" w:lineRule="auto"/>
            </w:pPr>
            <w:r>
              <w:rPr>
                <w:sz w:val="20"/>
                <w:szCs w:val="20"/>
              </w:rPr>
              <w:t xml:space="preserve">Bank</w:t>
            </w:r>
          </w:p>
        </w:tc>
        <w:tc>
          <w:tcPr>
            <w:tcW w:w="6298" w:type="dxa"/>
          </w:tcPr>
          <w:p>
            <w:pPr>
              <w:spacing w:before="0" w:after="0" w:line="264" w:lineRule="auto"/>
              <w:jc w:val="right"/>
            </w:pPr>
            <w:r>
              <w:rPr>
                <w:sz w:val="20"/>
                <w:szCs w:val="20"/>
              </w:rPr>
              <w:t xml:space="preserve">[Bank name]</w:t>
            </w:r>
          </w:p>
        </w:tc>
      </w:tr>
      <w:tr>
        <w:trPr>
          <w:cantSplit/>
        </w:trPr>
        <w:tc>
          <w:tcPr>
            <w:tcW w:w="3000" w:type="dxa"/>
          </w:tcPr>
          <w:p>
            <w:pPr>
              <w:spacing w:before="0" w:after="0" w:line="264" w:lineRule="auto"/>
            </w:pPr>
            <w:r>
              <w:rPr>
                <w:sz w:val="20"/>
                <w:szCs w:val="20"/>
              </w:rPr>
              <w:t xml:space="preserve">Account details</w:t>
            </w:r>
          </w:p>
        </w:tc>
        <w:tc>
          <w:tcPr>
            <w:tcW w:w="6298" w:type="dxa"/>
          </w:tcPr>
          <w:p>
            <w:pPr>
              <w:spacing w:before="0" w:after="0" w:line="264" w:lineRule="auto"/>
              <w:jc w:val="right"/>
            </w:pPr>
            <w:r>
              <w:rPr>
                <w:sz w:val="20"/>
                <w:szCs w:val="20"/>
              </w:rPr>
              <w:t xml:space="preserve">[Account number and bank code]</w:t>
            </w:r>
          </w:p>
        </w:tc>
      </w:tr>
      <w:tr>
        <w:trPr>
          <w:cantSplit/>
        </w:trPr>
        <w:tc>
          <w:tcPr>
            <w:tcW w:w="3000" w:type="dxa"/>
          </w:tcPr>
          <w:p>
            <w:pPr>
              <w:spacing w:before="0" w:after="0" w:line="264" w:lineRule="auto"/>
            </w:pPr>
            <w:r>
              <w:rPr>
                <w:sz w:val="20"/>
                <w:szCs w:val="20"/>
              </w:rPr>
              <w:t xml:space="preserve">Reference</w:t>
            </w:r>
          </w:p>
        </w:tc>
        <w:tc>
          <w:tcPr>
            <w:tcW w:w="6298" w:type="dxa"/>
          </w:tcPr>
          <w:p>
            <w:pPr>
              <w:spacing w:before="0" w:after="0" w:line="264" w:lineRule="auto"/>
              <w:jc w:val="right"/>
            </w:pPr>
            <w:r>
              <w:rPr>
                <w:sz w:val="20"/>
                <w:szCs w:val="20"/>
              </w:rPr>
              <w:t xml:space="preserve">[Matter number]</w:t>
            </w:r>
          </w:p>
        </w:tc>
      </w:tr>
    </w:tbl>
    <w:p>
      <w:pPr>
        <w:spacing w:before="0" w:after="60"/>
      </w:pPr>
    </w:p>
    <w:p>
      <w:pPr/>
      <w:r>
        <w:rPr>
          <w:b/>
          <w:bCs/>
        </w:rPr>
        <w:t xml:space="preserve">Protect yourself from payment fraud.</w:t>
      </w:r>
      <w:r>
        <w:t xml:space="preserve"> We will never change our bank details by email. Before you transfer money to us, phone us on a number you already know, such as the one in this letter, to confirm the details.</w:t>
      </w:r>
    </w:p>
    <w:p>
      <w:pPr/>
      <w:r>
        <w:t xml:space="preserve">You authorise us to pay our bills and disbursements from money we hold in trust for you, [seven] days after we send you the bill, unless you tell us before then that you dispute it. We will give you a receipt for every payment into trust, and a trust statement [at least once a year and] when the matter ends.</w:t>
      </w:r>
    </w:p>
    <w:p>
      <w:pPr/>
      <w:r>
        <w:t xml:space="preserve">[Interest earned on our general trust account is dealt with as the rules in [jurisdiction] require. If we will hold a large amount for you for some time, we can, at your written request, place it in a separate interest-bearing account for your benefit.]</w:t>
      </w:r>
    </w:p>
    <w:p>
      <w:pPr/>
      <w:r>
        <w:t xml:space="preserve">When the matter ends, we will return any money left in trust to the account you nominate in writing.</w:t>
      </w:r>
    </w:p>
    <w:p>
      <w:pPr>
        <w:pStyle w:val="DraftingNote"/>
      </w:pPr>
      <w:r>
        <w:t xml:space="preserve">Check this clause against your trust accounting rules, including whether you need a separate written authority to pay bills from trust, how long you must wait after sending a bill, and how interest is handled.</w:t>
      </w:r>
    </w:p>
    <w:p>
      <w:pPr>
        <w:pStyle w:val="Heading2"/>
      </w:pPr>
      <w:r>
        <w:t xml:space="preserve">7. Billing and payment</w:t>
      </w:r>
    </w:p>
    <w:p>
      <w:pPr/>
      <w:r>
        <w:t xml:space="preserve">We will send you a bill [monthly] [at the end of each stage] [when the matter ends]. Each bill will show the work done, who did it, the time spent and any disbursements. You can ask for more detail at any time.</w:t>
      </w:r>
    </w:p>
    <w:p>
      <w:pPr/>
      <w:r>
        <w:t xml:space="preserve">Please pay each bill within [14] days of its date, by [bank transfer, card or another method], quoting your matter number. Money we hold in trust for you will be applied first, as set out in section 6.</w:t>
      </w:r>
    </w:p>
    <w:p>
      <w:pPr/>
      <w:r>
        <w:t xml:space="preserve">If a bill is not paid on time, we may:</w:t>
      </w:r>
    </w:p>
    <w:p>
      <w:pPr>
        <w:pStyle w:val="ListBullet"/>
      </w:pPr>
      <w:r>
        <w:t xml:space="preserve">charge interest on the unpaid amount at [rate]% a year from the date it was due [if your rules allow it]</w:t>
      </w:r>
    </w:p>
    <w:p>
      <w:pPr>
        <w:pStyle w:val="ListBullet"/>
      </w:pPr>
      <w:r>
        <w:t xml:space="preserve">stop work on your matter, after giving you reasonable written notice</w:t>
      </w:r>
    </w:p>
    <w:p>
      <w:pPr>
        <w:pStyle w:val="ListBullet"/>
      </w:pPr>
      <w:r>
        <w:t xml:space="preserve">[take steps to recover the debt]</w:t>
      </w:r>
    </w:p>
    <w:p>
      <w:pPr/>
      <w:r>
        <w:t xml:space="preserve">If you have a question about a bill, please contact [name] straight away. You may have the right to have our costs reviewed by [name of the court or body]. Time limits apply, so please do not delay.</w:t>
      </w:r>
    </w:p>
    <w:p>
      <w:pPr/>
      <w:r>
        <w:t xml:space="preserve">If we act for two or more people, or for a company and its directors, each of you is responsible for paying the full amount of our bills, not only a share. This is called joint and several liability.</w:t>
      </w:r>
    </w:p>
    <w:p>
      <w:pPr>
        <w:pStyle w:val="Heading2"/>
      </w:pPr>
      <w:r>
        <w:t xml:space="preserve">8. Ending our engagement</w:t>
      </w:r>
    </w:p>
    <w:p>
      <w:pPr/>
      <w:r>
        <w:t xml:space="preserve">You may end our engagement at any time by telling us in writing. You will need to pay for the work done and the disbursements incurred up to that point.</w:t>
      </w:r>
    </w:p>
    <w:p>
      <w:pPr/>
      <w:r>
        <w:t xml:space="preserve">We may end our engagement for good reason, after giving you reasonable written notice. Good reasons include:</w:t>
      </w:r>
    </w:p>
    <w:p>
      <w:pPr>
        <w:pStyle w:val="ListBullet"/>
      </w:pPr>
      <w:r>
        <w:t xml:space="preserve">you do not pay a bill, or a deposit we have asked for</w:t>
      </w:r>
    </w:p>
    <w:p>
      <w:pPr>
        <w:pStyle w:val="ListBullet"/>
      </w:pPr>
      <w:r>
        <w:t xml:space="preserve">you do not give us instructions, or ask us to do something unlawful or unethical</w:t>
      </w:r>
    </w:p>
    <w:p>
      <w:pPr>
        <w:pStyle w:val="ListBullet"/>
      </w:pPr>
      <w:r>
        <w:t xml:space="preserve">we find that we have a conflict of interest</w:t>
      </w:r>
    </w:p>
    <w:p>
      <w:pPr>
        <w:pStyle w:val="ListBullet"/>
      </w:pPr>
      <w:r>
        <w:t xml:space="preserve">the relationship of trust between us has broken down</w:t>
      </w:r>
    </w:p>
    <w:p>
      <w:pPr/>
      <w:r>
        <w:t xml:space="preserve">If we stop acting while court proceedings are running, we will give you enough notice to find another lawyer, and we will follow the court’s rules for ceasing to act.</w:t>
      </w:r>
    </w:p>
    <w:p>
      <w:pPr/>
      <w:r>
        <w:t xml:space="preserve">Unless it ends earlier, our engagement ends when we have completed the work in section 1 and sent our final bill. After that, we are not responsible for reminding you of future dates, [such as renewals or limitation periods,] unless we agree to in writing.</w:t>
      </w:r>
    </w:p>
    <w:p>
      <w:pPr/>
      <w:r>
        <w:t xml:space="preserve">If bills are unpaid when our engagement ends, we may keep your file until they are paid, to the extent the law allows. We will not do this if it would harm your case.</w:t>
      </w:r>
    </w:p>
    <w:p>
      <w:pPr>
        <w:pStyle w:val="Heading2"/>
      </w:pPr>
      <w:r>
        <w:t xml:space="preserve">9. Your file and how long we keep it</w:t>
      </w:r>
    </w:p>
    <w:p>
      <w:pPr/>
      <w:r>
        <w:t xml:space="preserve">Your file includes the documents you give us and the documents we prepare for you. We keep it [electronically, in our practice management system] while we act for you.</w:t>
      </w:r>
    </w:p>
    <w:p>
      <w:pPr/>
      <w:r>
        <w:t xml:space="preserve">When the matter ends, we will return your original documents to you, unless we must keep them by law. We will keep the rest of the file for [seven] years after the matter ends. After that, we may destroy it without contacting you, unless you ask us in writing before then to return it to you. [Wills, deeds and other documents held in safe custody are not destroyed under this clause.]</w:t>
      </w:r>
    </w:p>
    <w:p>
      <w:pPr/>
      <w:r>
        <w:t xml:space="preserve">If you ask for a copy of your file, we may charge our reasonable costs of preparing it.</w:t>
      </w:r>
    </w:p>
    <w:p>
      <w:pPr/>
      <w:r>
        <w:t xml:space="preserve">We handle your personal information under our privacy policy, available at [link]. We keep information about your matter confidential, except where you agree or the law requires us to disclose it.</w:t>
      </w:r>
    </w:p>
    <w:p>
      <w:pPr>
        <w:pStyle w:val="DraftingNote"/>
      </w:pPr>
      <w:r>
        <w:t xml:space="preserve">Minimum retention periods differ between jurisdictions and practice areas, and some files, such as those for children or estates, must be kept longer. Confirm the period with your law society or state bar.</w:t>
      </w:r>
    </w:p>
    <w:p>
      <w:pPr>
        <w:pStyle w:val="Heading2"/>
      </w:pPr>
      <w:r>
        <w:t xml:space="preserve">10. Complaints</w:t>
      </w:r>
    </w:p>
    <w:p>
      <w:pPr/>
      <w:r>
        <w:t xml:space="preserve">If you are unhappy with our work or a bill, please tell us. Raise it first with [responsible lawyer]. If that does not resolve it, contact [complaints contact], [position], on [phone] or at [email]. We will acknowledge your complaint within [two] business days and aim to respond in full within [14] days.</w:t>
      </w:r>
    </w:p>
    <w:p>
      <w:pPr/>
      <w:r>
        <w:t xml:space="preserve">If you are still not satisfied, you may be able to complain to [name of the legal services regulator, law society or state bar], or apply to have our costs reviewed by [name of the court or body]. Time limits apply, so please do not delay. [Insert contact details and time limits.]</w:t>
      </w:r>
    </w:p>
    <w:p>
      <w:pPr>
        <w:pStyle w:val="Heading2"/>
      </w:pPr>
      <w:r>
        <w:t xml:space="preserve">11. Accepting this agreement</w:t>
      </w:r>
    </w:p>
    <w:p>
      <w:pPr/>
      <w:r>
        <w:t xml:space="preserve">Please read this letter carefully. You are welcome to get independent legal advice about it before you sign. To accept, sign and date the acceptance below and return a copy to us [by email to [email]]. Keep a copy for your records.</w:t>
      </w:r>
    </w:p>
    <w:p>
      <w:pPr/>
      <w:r>
        <w:t xml:space="preserve">This agreement is governed by the law of [jurisdiction]. If any part of it cannot be enforced, the rest still applies.</w:t>
      </w:r>
    </w:p>
    <w:p>
      <w:pPr/>
      <w:r>
        <w:t xml:space="preserve">We look forward to working with you.</w:t>
      </w:r>
    </w:p>
    <w:p>
      <w:pPr>
        <w:keepNext/>
        <w:keepLines/>
        <w:spacing w:after="720"/>
      </w:pPr>
      <w:r>
        <w:t xml:space="preserve">Yours sincerely</w:t>
      </w:r>
    </w:p>
    <w:p>
      <w:pPr>
        <w:spacing w:before="0" w:after="0"/>
      </w:pPr>
      <w:r>
        <w:t xml:space="preserve">[Name]</w:t>
      </w:r>
    </w:p>
    <w:p>
      <w:pPr>
        <w:spacing w:before="0" w:after="0"/>
      </w:pPr>
      <w:r>
        <w:t xml:space="preserve">[Position]</w:t>
      </w:r>
    </w:p>
    <w:p>
      <w:pPr>
        <w:spacing w:before="0" w:after="240"/>
      </w:pPr>
      <w:r>
        <w:t xml:space="preserve">[Firm name]</w:t>
      </w:r>
    </w:p>
    <w:p>
      <w:pPr>
        <w:pStyle w:val="Heading2"/>
      </w:pPr>
      <w:r>
        <w:t xml:space="preserve">Acceptance</w:t>
      </w:r>
    </w:p>
    <w:p>
      <w:pPr/>
      <w:r>
        <w:t xml:space="preserve">I have read and understood this engagement letter and costs agreement, including the estimate of fees and disbursements and the information about my rights. I accept it, and I instruct [Firm name] to act for me in [matter] on these terms.</w:t>
      </w:r>
    </w:p>
    <w:p>
      <w:pPr/>
      <w:r>
        <w:rPr>
          <w:color w:val="676C73"/>
          <w:sz w:val="19"/>
          <w:szCs w:val="19"/>
        </w:rPr>
        <w:t xml:space="preserve">If you are signing for a company or other entity, you confirm that you are authorised to sign for it. If there is more than one client, each of you must sign: add a column for each.</w:t>
      </w:r>
    </w:p>
    <w:tbl>
      <w:tblPr>
        <w:tblW w:w="9298" w:type="dxa"/>
        <w:tblLayout w:type="fixed"/>
        <w:tblBorders>
          <w:top w:val="nil"/>
          <w:left w:val="nil"/>
          <w:bottom w:val="nil"/>
          <w:right w:val="nil"/>
          <w:insideH w:val="nil"/>
          <w:insideV w:val="nil"/>
        </w:tblBorders>
        <w:tblCellMar>
          <w:top w:w="0" w:type="dxa"/>
          <w:left w:w="0" w:type="dxa"/>
          <w:bottom w:w="0" w:type="dxa"/>
          <w:right w:w="0" w:type="dxa"/>
        </w:tblCellMar>
      </w:tblPr>
      <w:tblGrid>
        <w:gridCol w:w="4649"/>
        <w:gridCol w:w="4649"/>
      </w:tblGrid>
      <w:tr>
        <w:trPr>
          <w:cantSplit/>
        </w:trPr>
        <w:tc>
          <w:tcPr>
            <w:tcW w:w="4649" w:type="dxa"/>
          </w:tcPr>
          <w:p>
            <w:pPr>
              <w:keepNext/>
              <w:spacing w:before="0" w:after="0"/>
              <w:ind w:left="0" w:right="340"/>
              <w:pBdr>
                <w:bottom w:val="single" w:sz="8" w:space="4" w:color="FF5A1F"/>
              </w:pBdr>
            </w:pPr>
            <w:r>
              <w:rPr>
                <w:b/>
                <w:bCs/>
              </w:rPr>
              <w:t xml:space="preserve">Client</w:t>
            </w:r>
          </w:p>
        </w:tc>
        <w:tc>
          <w:tcPr>
            <w:tcW w:w="4649" w:type="dxa"/>
          </w:tcPr>
          <w:p>
            <w:pPr>
              <w:keepNext/>
              <w:spacing w:before="0" w:after="0"/>
              <w:ind w:left="340" w:right="0"/>
              <w:pBdr>
                <w:bottom w:val="single" w:sz="8" w:space="4" w:color="FF5A1F"/>
              </w:pBdr>
            </w:pPr>
            <w:r>
              <w:rPr>
                <w:b/>
                <w:bCs/>
              </w:rPr>
              <w:t xml:space="preserve">For [Firm name]</w:t>
            </w:r>
          </w:p>
        </w:tc>
      </w:tr>
      <w:tr>
        <w:trPr>
          <w:cantSplit/>
        </w:trPr>
        <w:tc>
          <w:tcPr>
            <w:tcW w:w="4649" w:type="dxa"/>
          </w:tcPr>
          <w:p>
            <w:pPr>
              <w:keepNext/>
              <w:spacing w:before="720" w:after="0"/>
              <w:ind w:left="0" w:right="340"/>
              <w:pBdr>
                <w:bottom w:val="single" w:sz="6" w:space="1" w:color="9EA2A7"/>
              </w:pBdr>
            </w:pPr>
          </w:p>
          <w:p>
            <w:pPr>
              <w:keepNext/>
              <w:spacing w:before="40" w:after="0"/>
              <w:ind w:left="0" w:right="340"/>
            </w:pPr>
            <w:r>
              <w:rPr>
                <w:color w:val="676C73"/>
                <w:sz w:val="17"/>
                <w:szCs w:val="17"/>
              </w:rPr>
              <w:t xml:space="preserve">Signature</w:t>
            </w:r>
          </w:p>
        </w:tc>
        <w:tc>
          <w:tcPr>
            <w:tcW w:w="4649" w:type="dxa"/>
          </w:tcPr>
          <w:p>
            <w:pPr>
              <w:keepNext/>
              <w:spacing w:before="720" w:after="0"/>
              <w:ind w:left="340" w:right="0"/>
              <w:pBdr>
                <w:bottom w:val="single" w:sz="6" w:space="1" w:color="9EA2A7"/>
              </w:pBdr>
            </w:pPr>
          </w:p>
          <w:p>
            <w:pPr>
              <w:keepNext/>
              <w:spacing w:before="40" w:after="0"/>
              <w:ind w:left="340" w:right="0"/>
            </w:pPr>
            <w:r>
              <w:rPr>
                <w:color w:val="676C73"/>
                <w:sz w:val="17"/>
                <w:szCs w:val="17"/>
              </w:rPr>
              <w:t xml:space="preserve">Signature</w:t>
            </w:r>
          </w:p>
        </w:tc>
      </w:tr>
      <w:tr>
        <w:trPr>
          <w:cantSplit/>
        </w:trPr>
        <w:tc>
          <w:tcPr>
            <w:tcW w:w="4649" w:type="dxa"/>
          </w:tcPr>
          <w:p>
            <w:pPr>
              <w:keepNext/>
              <w:spacing w:before="440" w:after="0"/>
              <w:ind w:left="0" w:right="340"/>
              <w:pBdr>
                <w:bottom w:val="single" w:sz="6" w:space="1" w:color="9EA2A7"/>
              </w:pBdr>
            </w:pPr>
          </w:p>
          <w:p>
            <w:pPr>
              <w:keepNext/>
              <w:spacing w:before="40" w:after="0"/>
              <w:ind w:left="0" w:right="340"/>
            </w:pPr>
            <w:r>
              <w:rPr>
                <w:color w:val="676C73"/>
                <w:sz w:val="17"/>
                <w:szCs w:val="17"/>
              </w:rPr>
              <w:t xml:space="preserve">Full name</w:t>
            </w:r>
          </w:p>
        </w:tc>
        <w:tc>
          <w:tcPr>
            <w:tcW w:w="4649" w:type="dxa"/>
          </w:tcPr>
          <w:p>
            <w:pPr>
              <w:keepNext/>
              <w:spacing w:before="440" w:after="0"/>
              <w:ind w:left="340" w:right="0"/>
              <w:pBdr>
                <w:bottom w:val="single" w:sz="6" w:space="1" w:color="9EA2A7"/>
              </w:pBdr>
            </w:pPr>
          </w:p>
          <w:p>
            <w:pPr>
              <w:keepNext/>
              <w:spacing w:before="40" w:after="0"/>
              <w:ind w:left="340" w:right="0"/>
            </w:pPr>
            <w:r>
              <w:rPr>
                <w:color w:val="676C73"/>
                <w:sz w:val="17"/>
                <w:szCs w:val="17"/>
              </w:rPr>
              <w:t xml:space="preserve">Full name</w:t>
            </w:r>
          </w:p>
        </w:tc>
      </w:tr>
      <w:tr>
        <w:trPr>
          <w:cantSplit/>
        </w:trPr>
        <w:tc>
          <w:tcPr>
            <w:tcW w:w="4649" w:type="dxa"/>
          </w:tcPr>
          <w:p>
            <w:pPr>
              <w:keepNext/>
              <w:spacing w:before="440" w:after="0"/>
              <w:ind w:left="0" w:right="340"/>
              <w:pBdr>
                <w:bottom w:val="single" w:sz="6" w:space="1" w:color="9EA2A7"/>
              </w:pBdr>
            </w:pPr>
          </w:p>
          <w:p>
            <w:pPr>
              <w:keepNext/>
              <w:spacing w:before="40" w:after="0"/>
              <w:ind w:left="0" w:right="340"/>
            </w:pPr>
            <w:r>
              <w:rPr>
                <w:color w:val="676C73"/>
                <w:sz w:val="17"/>
                <w:szCs w:val="17"/>
              </w:rPr>
              <w:t xml:space="preserve">Position (if signing for a company or other entity)</w:t>
            </w:r>
          </w:p>
        </w:tc>
        <w:tc>
          <w:tcPr>
            <w:tcW w:w="4649" w:type="dxa"/>
          </w:tcPr>
          <w:p>
            <w:pPr>
              <w:keepNext/>
              <w:spacing w:before="440" w:after="0"/>
              <w:ind w:left="340" w:right="0"/>
              <w:pBdr>
                <w:bottom w:val="single" w:sz="6" w:space="1" w:color="9EA2A7"/>
              </w:pBdr>
            </w:pPr>
          </w:p>
          <w:p>
            <w:pPr>
              <w:keepNext/>
              <w:spacing w:before="40" w:after="0"/>
              <w:ind w:left="340" w:right="0"/>
            </w:pPr>
            <w:r>
              <w:rPr>
                <w:color w:val="676C73"/>
                <w:sz w:val="17"/>
                <w:szCs w:val="17"/>
              </w:rPr>
              <w:t xml:space="preserve">Position</w:t>
            </w:r>
          </w:p>
        </w:tc>
      </w:tr>
      <w:tr>
        <w:trPr>
          <w:cantSplit/>
        </w:trPr>
        <w:tc>
          <w:tcPr>
            <w:tcW w:w="4649" w:type="dxa"/>
          </w:tcPr>
          <w:p>
            <w:pPr>
              <w:keepNext/>
              <w:spacing w:before="440" w:after="0"/>
              <w:ind w:left="0" w:right="340"/>
              <w:pBdr>
                <w:bottom w:val="single" w:sz="6" w:space="1" w:color="9EA2A7"/>
              </w:pBdr>
            </w:pPr>
          </w:p>
          <w:p>
            <w:pPr>
              <w:keepNext/>
              <w:spacing w:before="40" w:after="0"/>
              <w:ind w:left="0" w:right="340"/>
            </w:pPr>
            <w:r>
              <w:rPr>
                <w:color w:val="676C73"/>
                <w:sz w:val="17"/>
                <w:szCs w:val="17"/>
              </w:rPr>
              <w:t xml:space="preserve">Date</w:t>
            </w:r>
          </w:p>
        </w:tc>
        <w:tc>
          <w:tcPr>
            <w:tcW w:w="4649" w:type="dxa"/>
          </w:tcPr>
          <w:p>
            <w:pPr>
              <w:keepNext/>
              <w:spacing w:before="440" w:after="0"/>
              <w:ind w:left="340" w:right="0"/>
              <w:pBdr>
                <w:bottom w:val="single" w:sz="6" w:space="1" w:color="9EA2A7"/>
              </w:pBdr>
            </w:pPr>
          </w:p>
          <w:p>
            <w:pPr>
              <w:keepNext/>
              <w:spacing w:before="40" w:after="0"/>
              <w:ind w:left="340" w:right="0"/>
            </w:pPr>
            <w:r>
              <w:rPr>
                <w:color w:val="676C73"/>
                <w:sz w:val="17"/>
                <w:szCs w:val="17"/>
              </w:rPr>
              <w:t xml:space="preserve">Date</w:t>
            </w:r>
          </w:p>
        </w:tc>
      </w:tr>
    </w:tbl>
    <w:p>
      <w:pPr>
        <w:spacing w:before="0" w:after="0"/>
      </w:pPr>
    </w:p>
    <w:sectPr>
      <w:headerReference w:type="default" r:id="rId4"/>
      <w:footerReference w:type="default" r:id="rId5"/>
      <w:pgSz w:w="11906" w:h="16838"/>
      <w:pgMar w:top="1361" w:right="1304" w:bottom="1304" w:left="1304" w:header="624" w:footer="510" w:gutter="0"/>
      <w:cols w:space="708"/>
      <w:docGrid w:linePitch="360"/>
    </w:sectPr>
  </w:body>
</w:document>
</file>

<file path=word/footer1.xml><?xml version="1.0" encoding="utf-8"?>
<w:ftr xmlns:w="http://schemas.openxmlformats.org/wordprocessingml/2006/main" xmlns:r="http://schemas.openxmlformats.org/officeDocument/2006/relationships">
  <w:p>
    <w:pPr>
      <w:pStyle w:val="Footer"/>
      <w:pBdr>
        <w:top w:val="single" w:sz="4" w:space="5" w:color="D5D7DA"/>
      </w:pBdr>
    </w:pPr>
    <w:r>
      <w:rPr>
        <w:color w:val="676C73"/>
      </w:rPr>
      <w:t xml:space="preserve">Filebird template. A starting point only: check it against your jurisdiction’s rules and your law society or state bar’s requirements.</w:t>
    </w:r>
  </w:p>
</w:ftr>
</file>

<file path=word/header1.xml><?xml version="1.0" encoding="utf-8"?>
<w:hdr xmlns:w="http://schemas.openxmlformats.org/wordprocessingml/2006/main" xmlns:r="http://schemas.openxmlformats.org/officeDocument/2006/relationships">
  <w:p>
    <w:pPr>
      <w:pStyle w:val="Header"/>
      <w:pBdr>
        <w:bottom w:val="single" w:sz="8" w:space="5" w:color="FF5A1F"/>
      </w:pBdr>
    </w:pPr>
    <w:r>
      <w:rPr>
        <w:b/>
        <w:bCs/>
        <w:caps/>
        <w:color w:val="FF5A1F"/>
        <w:spacing w:val="20"/>
      </w:rPr>
      <w:t xml:space="preserve">Filebird Templates</w:t>
    </w:r>
    <w:r>
      <w:rPr>
        <w:color w:val="676C73"/>
      </w:rPr>
      <w:tab/>
      <w:t xml:space="preserve">Engagement letter and costs agreement  ·  Page </w:t>
    </w:r>
    <w:fldSimple w:instr=" PAGE ">
      <w:r>
        <w:rPr>
          <w:color w:val="676C73"/>
        </w:rPr>
        <w:t>1</w:t>
      </w:r>
    </w:fldSimple>
    <w:r>
      <w:rPr>
        <w:color w:val="676C73"/>
      </w:rPr>
      <w:t xml:space="preserve"> of </w:t>
    </w:r>
    <w:fldSimple w:instr=" NUMPAGES ">
      <w:r>
        <w:rPr>
          <w:color w:val="676C73"/>
        </w:rPr>
        <w:t>6</w:t>
      </w:r>
    </w:fldSimple>
  </w:p>
</w:hd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97" w:hanging="284"/>
      </w:pPr>
      <w:rPr>
        <w:rFonts w:ascii="Arial" w:hAnsi="Arial" w:cs="Arial"/>
        <w:color w:val="FF5A1F"/>
      </w:rPr>
    </w:lvl>
  </w:abstractNum>
  <w:num w:numId="1">
    <w:abstractNumId w:val="0"/>
  </w:num>
</w:numbering>
</file>

<file path=word/settings.xml><?xml version="1.0" encoding="utf-8"?>
<w:settings xmlns:w="http://schemas.openxmlformats.org/wordprocessingml/2006/main" xmlns:r="http://schemas.openxmlformats.org/officeDocument/2006/relationships">
  <w:zoom w:percent="100"/>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B1F23"/>
        <w:sz w:val="22"/>
        <w:szCs w:val="22"/>
        <w:lang w:val="en-GB" w:eastAsia="en-GB" w:bidi="ar-SA"/>
      </w:rPr>
    </w:rPrDefault>
    <w:pPrDefault>
      <w:pPr>
        <w:spacing w:after="140" w:line="276" w:lineRule="auto"/>
      </w:pPr>
    </w:pPrDefault>
  </w:docDefaults>
  <w:style w:type="paragraph" w:default="1" w:styleId="Normal">
    <w:name w:val="Normal"/>
    <w:qFormat/>
  </w:style>
  <w:style w:type="paragraph" w:styleId="Heading1">
    <w:name w:val="heading 1"/>
    <w:basedOn w:val="Normal"/>
    <w:next w:val="Normal"/>
    <w:uiPriority w:val="9"/>
    <w:qFormat/>
    <w:pPr>
      <w:keepNext/>
      <w:keepLines/>
      <w:spacing w:before="0" w:after="60" w:line="240" w:lineRule="auto"/>
      <w:outlineLvl w:val="0"/>
    </w:pPr>
    <w:rPr>
      <w:b/>
      <w:bCs/>
      <w:sz w:val="36"/>
      <w:szCs w:val="36"/>
    </w:rPr>
  </w:style>
  <w:style w:type="paragraph" w:styleId="Heading2">
    <w:name w:val="heading 2"/>
    <w:basedOn w:val="Normal"/>
    <w:next w:val="Normal"/>
    <w:uiPriority w:val="9"/>
    <w:unhideWhenUsed/>
    <w:qFormat/>
    <w:pPr>
      <w:keepNext/>
      <w:keepLines/>
      <w:spacing w:before="320" w:after="100" w:line="240" w:lineRule="auto"/>
      <w:outlineLvl w:val="1"/>
    </w:pPr>
    <w:rPr>
      <w:b/>
      <w:bCs/>
      <w:sz w:val="26"/>
      <w:szCs w:val="26"/>
    </w:rPr>
  </w:style>
  <w:style w:type="paragraph" w:styleId="Subtitle">
    <w:name w:val="Subtitle"/>
    <w:basedOn w:val="Normal"/>
    <w:next w:val="Normal"/>
    <w:uiPriority w:val="11"/>
    <w:qFormat/>
    <w:pPr>
      <w:spacing w:before="0" w:after="320"/>
    </w:pPr>
    <w:rPr>
      <w:color w:val="676C73"/>
      <w:sz w:val="24"/>
      <w:szCs w:val="24"/>
    </w:rPr>
  </w:style>
  <w:style w:type="paragraph" w:styleId="ListBullet">
    <w:name w:val="List Bullet"/>
    <w:basedOn w:val="Normal"/>
    <w:uiPriority w:val="9"/>
    <w:qFormat/>
    <w:pPr>
      <w:numPr>
        <w:ilvl w:val="0"/>
        <w:numId w:val="1"/>
      </w:numPr>
      <w:spacing w:after="60"/>
      <w:ind w:left="397" w:hanging="284"/>
    </w:pPr>
  </w:style>
  <w:style w:type="paragraph" w:customStyle="1" w:styleId="DraftingNote">
    <w:name w:val="Drafting Note"/>
    <w:basedOn w:val="Normal"/>
    <w:next w:val="Normal"/>
    <w:qFormat/>
    <w:pPr>
      <w:pBdr>
        <w:left w:val="single" w:sz="18" w:space="8" w:color="FF5A1F"/>
      </w:pBdr>
      <w:shd w:val="clear" w:color="auto" w:fill="FEE9DD"/>
      <w:spacing w:before="0" w:after="160" w:line="264" w:lineRule="auto"/>
      <w:ind w:left="170" w:right="113"/>
    </w:pPr>
    <w:rPr>
      <w:color w:val="676C73"/>
      <w:sz w:val="18"/>
      <w:szCs w:val="18"/>
    </w:rPr>
  </w:style>
  <w:style w:type="paragraph" w:styleId="Header">
    <w:name w:val="header"/>
    <w:basedOn w:val="Normal"/>
    <w:uiPriority w:val="99"/>
    <w:unhideWhenUsed/>
    <w:pPr>
      <w:tabs>
        <w:tab w:val="right" w:pos="9298"/>
      </w:tabs>
      <w:spacing w:after="0" w:line="240" w:lineRule="auto"/>
    </w:pPr>
    <w:rPr>
      <w:color w:val="676C73"/>
      <w:sz w:val="15"/>
      <w:szCs w:val="15"/>
    </w:rPr>
  </w:style>
  <w:style w:type="paragraph" w:styleId="Footer">
    <w:name w:val="footer"/>
    <w:basedOn w:val="Normal"/>
    <w:uiPriority w:val="99"/>
    <w:unhideWhenUsed/>
    <w:pPr>
      <w:spacing w:after="0" w:line="240" w:lineRule="auto"/>
    </w:pPr>
    <w:rPr>
      <w:color w:val="676C73"/>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Filebird Templates</Application>
  <Company>Filebird</Company>
  <Pages>6</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letter and costs agreement</dc:title>
  <dc:subject>Filebird template</dc:subject>
  <dc:creator>Filebird</dc:creator>
  <cp:keywords>Filebird Templates</cp:keywords>
  <dc:description>A plain-English engagement letter and costs agreement. A starting point only: check it against your jurisdiction’s rules.</dc:description>
  <cp:lastModifiedBy>Filebird</cp:lastModifiedBy>
  <dcterms:created xsi:type="dcterms:W3CDTF">2026-10-20T00:00:00Z</dcterms:created>
  <dcterms:modified xsi:type="dcterms:W3CDTF">2026-10-20T00:00:00Z</dcterms:modified>
</cp:coreProperties>
</file>