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9C56382" w14:textId="7F81B0EB" w:rsidR="000F108B" w:rsidRDefault="001F2B17" w:rsidP="00235853">
      <w:r>
        <w:rPr>
          <w:noProof/>
        </w:rPr>
        <mc:AlternateContent>
          <mc:Choice Requires="wpg">
            <w:drawing>
              <wp:anchor distT="0" distB="0" distL="114300" distR="114300" simplePos="0" relativeHeight="251677696" behindDoc="0" locked="0" layoutInCell="1" allowOverlap="1" wp14:anchorId="62F50521" wp14:editId="2FEF0467">
                <wp:simplePos x="0" y="0"/>
                <wp:positionH relativeFrom="column">
                  <wp:posOffset>-751114</wp:posOffset>
                </wp:positionH>
                <wp:positionV relativeFrom="paragraph">
                  <wp:posOffset>-914400</wp:posOffset>
                </wp:positionV>
                <wp:extent cx="7692390" cy="10741025"/>
                <wp:effectExtent l="0" t="0" r="0" b="15875"/>
                <wp:wrapNone/>
                <wp:docPr id="78740683" name="Group 31"/>
                <wp:cNvGraphicFramePr/>
                <a:graphic xmlns:a="http://schemas.openxmlformats.org/drawingml/2006/main">
                  <a:graphicData uri="http://schemas.microsoft.com/office/word/2010/wordprocessingGroup">
                    <wpg:wgp>
                      <wpg:cNvGrpSpPr/>
                      <wpg:grpSpPr>
                        <a:xfrm>
                          <a:off x="0" y="0"/>
                          <a:ext cx="7692390" cy="10741025"/>
                          <a:chOff x="-82662" y="-181864"/>
                          <a:chExt cx="7692629" cy="10741152"/>
                        </a:xfrm>
                      </wpg:grpSpPr>
                      <wps:wsp>
                        <wps:cNvPr id="698615390" name="Rectangle 26"/>
                        <wps:cNvSpPr/>
                        <wps:spPr>
                          <a:xfrm>
                            <a:off x="-73137" y="-181864"/>
                            <a:ext cx="7619492" cy="10741152"/>
                          </a:xfrm>
                          <a:prstGeom prst="rect">
                            <a:avLst/>
                          </a:prstGeom>
                          <a:solidFill>
                            <a:schemeClr val="tx1">
                              <a:alpha val="19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A91EC1" w14:textId="77777777" w:rsidR="00F73151" w:rsidRDefault="00F73151" w:rsidP="00F731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621601" name="Text Box 27"/>
                        <wps:cNvSpPr txBox="1"/>
                        <wps:spPr>
                          <a:xfrm>
                            <a:off x="-82662" y="1634234"/>
                            <a:ext cx="7692629" cy="1048513"/>
                          </a:xfrm>
                          <a:prstGeom prst="rect">
                            <a:avLst/>
                          </a:prstGeom>
                          <a:noFill/>
                          <a:ln w="6350">
                            <a:noFill/>
                          </a:ln>
                        </wps:spPr>
                        <wps:txbx>
                          <w:txbxContent>
                            <w:p w14:paraId="0923727F" w14:textId="501BE284" w:rsidR="001F059D" w:rsidRPr="001F2B17" w:rsidRDefault="006B576F" w:rsidP="001C6A9D">
                              <w:pPr>
                                <w:pStyle w:val="Title"/>
                                <w:rPr>
                                  <w:sz w:val="44"/>
                                  <w:szCs w:val="44"/>
                                </w:rPr>
                              </w:pPr>
                              <w:r w:rsidRPr="001F2B17">
                                <w:rPr>
                                  <w:sz w:val="44"/>
                                  <w:szCs w:val="44"/>
                                </w:rPr>
                                <w:t>Simpson v Transport</w:t>
                              </w:r>
                              <w:r w:rsidR="004B2C5A" w:rsidRPr="001F2B17">
                                <w:rPr>
                                  <w:sz w:val="44"/>
                                  <w:szCs w:val="44"/>
                                </w:rPr>
                                <w:t xml:space="preserve"> Accident Commission [2025] VSCA </w:t>
                              </w:r>
                              <w:r w:rsidR="00A23D8F" w:rsidRPr="001F2B17">
                                <w:rPr>
                                  <w:sz w:val="44"/>
                                  <w:szCs w:val="44"/>
                                </w:rPr>
                                <w:t>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844352" name="Straight Connector 27"/>
                        <wps:cNvCnPr/>
                        <wps:spPr>
                          <a:xfrm>
                            <a:off x="317019" y="1597660"/>
                            <a:ext cx="6913077"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76197336" name="Straight Connector 27"/>
                        <wps:cNvCnPr/>
                        <wps:spPr>
                          <a:xfrm>
                            <a:off x="317018" y="2160227"/>
                            <a:ext cx="691307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74965720" name="Text Box 27"/>
                        <wps:cNvSpPr txBox="1"/>
                        <wps:spPr>
                          <a:xfrm>
                            <a:off x="63627" y="2242885"/>
                            <a:ext cx="7546340" cy="512064"/>
                          </a:xfrm>
                          <a:prstGeom prst="rect">
                            <a:avLst/>
                          </a:prstGeom>
                          <a:noFill/>
                          <a:ln w="6350">
                            <a:noFill/>
                          </a:ln>
                        </wps:spPr>
                        <wps:txbx>
                          <w:txbxContent>
                            <w:p w14:paraId="7B295F16" w14:textId="05921700" w:rsidR="00262BED" w:rsidRPr="00262BED" w:rsidRDefault="00A23D8F" w:rsidP="00235853">
                              <w:pPr>
                                <w:pStyle w:val="Subtitle"/>
                              </w:pPr>
                              <w:r>
                                <w:t>A Case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F50521" id="Group 31" o:spid="_x0000_s1026" style="position:absolute;margin-left:-59.15pt;margin-top:-1in;width:605.7pt;height:845.75pt;z-index:251677696;mso-width-relative:margin" coordorigin="-826,-1818" coordsize="76926,107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">
                <v:rect id="Rectangle 26" o:spid="_x0000_s1027" style="position:absolute;left:-731;top:-1818;width:76194;height:1074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" fillcolor="black [3213]" strokecolor="#030e13 [484]" strokeweight="1pt">
                  <v:fill opacity="12336f"/>
                  <v:textbox>
                    <w:txbxContent>
                      <w:p w14:paraId="39A91EC1" w14:textId="77777777" w:rsidR="00F73151" w:rsidRDefault="00F73151" w:rsidP="00F73151">
                        <w:pPr>
                          <w:jc w:val="center"/>
                        </w:pPr>
                      </w:p>
                    </w:txbxContent>
                  </v:textbox>
                </v:rect>
                <v:shapetype id="_x0000_t202" coordsize="21600,21600" o:spt="202" path="m,l,21600r21600,l21600,xe">
                  <v:stroke joinstyle="miter"/>
                  <v:path gradientshapeok="t" o:connecttype="rect"/>
                </v:shapetype>
                <v:shape id="_x0000_s1028" type="#_x0000_t202" style="position:absolute;left:-826;top:16342;width:76925;height:10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" filled="f" stroked="f" strokeweight=".5pt">
                  <v:textbox>
                    <w:txbxContent>
                      <w:p w14:paraId="0923727F" w14:textId="501BE284" w:rsidR="001F059D" w:rsidRPr="001F2B17" w:rsidRDefault="006B576F" w:rsidP="001C6A9D">
                        <w:pPr>
                          <w:pStyle w:val="Title"/>
                          <w:rPr>
                            <w:sz w:val="44"/>
                            <w:szCs w:val="44"/>
                          </w:rPr>
                        </w:pPr>
                        <w:r w:rsidRPr="001F2B17">
                          <w:rPr>
                            <w:sz w:val="44"/>
                            <w:szCs w:val="44"/>
                          </w:rPr>
                          <w:t>Simpson v Transport</w:t>
                        </w:r>
                        <w:r w:rsidR="004B2C5A" w:rsidRPr="001F2B17">
                          <w:rPr>
                            <w:sz w:val="44"/>
                            <w:szCs w:val="44"/>
                          </w:rPr>
                          <w:t xml:space="preserve"> Accident Commission [2025] VSCA </w:t>
                        </w:r>
                        <w:r w:rsidR="00A23D8F" w:rsidRPr="001F2B17">
                          <w:rPr>
                            <w:sz w:val="44"/>
                            <w:szCs w:val="44"/>
                          </w:rPr>
                          <w:t>241</w:t>
                        </w:r>
                      </w:p>
                    </w:txbxContent>
                  </v:textbox>
                </v:shape>
                <v:line id="Straight Connector 27" o:spid="_x0000_s1029" style="position:absolute;visibility:visible;mso-wrap-style:square" from="3170,15976" to="72300,15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" strokecolor="white [3212]" strokeweight="2pt">
                  <v:stroke joinstyle="miter"/>
                </v:line>
                <v:line id="Straight Connector 27" o:spid="_x0000_s1030" style="position:absolute;visibility:visible;mso-wrap-style:square" from="3170,21602" to="72300,21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" strokecolor="white [3212]" strokeweight="2pt">
                  <v:stroke joinstyle="miter"/>
                </v:line>
                <v:shape id="_x0000_s1031" type="#_x0000_t202" style="position:absolute;left:636;top:22428;width:75463;height:5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" filled="f" stroked="f" strokeweight=".5pt">
                  <v:textbox>
                    <w:txbxContent>
                      <w:p w14:paraId="7B295F16" w14:textId="05921700" w:rsidR="00262BED" w:rsidRPr="00262BED" w:rsidRDefault="00A23D8F" w:rsidP="00235853">
                        <w:pPr>
                          <w:pStyle w:val="Subtitle"/>
                        </w:pPr>
                        <w:r>
                          <w:t>A Case Summary</w:t>
                        </w:r>
                      </w:p>
                    </w:txbxContent>
                  </v:textbox>
                </v:shape>
              </v:group>
            </w:pict>
          </mc:Fallback>
        </mc:AlternateContent>
      </w:r>
      <w:r w:rsidR="009F5D96">
        <w:rPr>
          <w:noProof/>
        </w:rPr>
        <w:drawing>
          <wp:anchor distT="0" distB="0" distL="114300" distR="114300" simplePos="0" relativeHeight="251645947" behindDoc="0" locked="0" layoutInCell="1" allowOverlap="1" wp14:anchorId="7728E0E8" wp14:editId="2D6D25B4">
            <wp:simplePos x="0" y="0"/>
            <wp:positionH relativeFrom="column">
              <wp:posOffset>-863600</wp:posOffset>
            </wp:positionH>
            <wp:positionV relativeFrom="paragraph">
              <wp:posOffset>-1828800</wp:posOffset>
            </wp:positionV>
            <wp:extent cx="8737600" cy="12609830"/>
            <wp:effectExtent l="0" t="0" r="0" b="1270"/>
            <wp:wrapNone/>
            <wp:docPr id="70632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28162" name="Picture 706328162"/>
                    <pic:cNvPicPr/>
                  </pic:nvPicPr>
                  <pic:blipFill>
                    <a:blip r:embed="rId8">
                      <a:extLst>
                        <a:ext uri="{28A0092B-C50C-407E-A947-70E740481C1C}">
                          <a14:useLocalDpi xmlns:a14="http://schemas.microsoft.com/office/drawing/2010/main" val="0"/>
                        </a:ext>
                      </a:extLst>
                    </a:blip>
                    <a:stretch>
                      <a:fillRect/>
                    </a:stretch>
                  </pic:blipFill>
                  <pic:spPr>
                    <a:xfrm>
                      <a:off x="0" y="0"/>
                      <a:ext cx="8738353" cy="12610917"/>
                    </a:xfrm>
                    <a:prstGeom prst="rect">
                      <a:avLst/>
                    </a:prstGeom>
                  </pic:spPr>
                </pic:pic>
              </a:graphicData>
            </a:graphic>
            <wp14:sizeRelH relativeFrom="margin">
              <wp14:pctWidth>0</wp14:pctWidth>
            </wp14:sizeRelH>
            <wp14:sizeRelV relativeFrom="margin">
              <wp14:pctHeight>0</wp14:pctHeight>
            </wp14:sizeRelV>
          </wp:anchor>
        </w:drawing>
      </w:r>
      <w:r w:rsidR="00E23ACE">
        <w:rPr>
          <w:noProof/>
        </w:rPr>
        <mc:AlternateContent>
          <mc:Choice Requires="wps">
            <w:drawing>
              <wp:anchor distT="0" distB="0" distL="114300" distR="114300" simplePos="0" relativeHeight="251685888" behindDoc="0" locked="0" layoutInCell="1" allowOverlap="1" wp14:anchorId="2612F2EA" wp14:editId="7C8F7065">
                <wp:simplePos x="0" y="0"/>
                <wp:positionH relativeFrom="column">
                  <wp:posOffset>4639075</wp:posOffset>
                </wp:positionH>
                <wp:positionV relativeFrom="paragraph">
                  <wp:posOffset>8597265</wp:posOffset>
                </wp:positionV>
                <wp:extent cx="2048256" cy="382397"/>
                <wp:effectExtent l="0" t="0" r="0" b="0"/>
                <wp:wrapNone/>
                <wp:docPr id="2036535871" name="Text Box 21"/>
                <wp:cNvGraphicFramePr/>
                <a:graphic xmlns:a="http://schemas.openxmlformats.org/drawingml/2006/main">
                  <a:graphicData uri="http://schemas.microsoft.com/office/word/2010/wordprocessingShape">
                    <wps:wsp>
                      <wps:cNvSpPr txBox="1"/>
                      <wps:spPr>
                        <a:xfrm>
                          <a:off x="0" y="0"/>
                          <a:ext cx="2048256" cy="382397"/>
                        </a:xfrm>
                        <a:prstGeom prst="rect">
                          <a:avLst/>
                        </a:prstGeom>
                        <a:noFill/>
                        <a:ln w="6350">
                          <a:noFill/>
                        </a:ln>
                      </wps:spPr>
                      <wps:txbx>
                        <w:txbxContent>
                          <w:p w14:paraId="27451D67" w14:textId="6A1B16E2" w:rsidR="00262BED" w:rsidRPr="00262BED" w:rsidRDefault="00262BED" w:rsidP="00235853">
                            <w:pPr>
                              <w:pStyle w:val="Subtitle"/>
                            </w:pPr>
                            <w:r w:rsidRPr="00262BED">
                              <w:t xml:space="preserve">Law Student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F2EA" id="Text Box 21" o:spid="_x0000_s1032" type="#_x0000_t202" style="position:absolute;margin-left:365.3pt;margin-top:676.95pt;width:161.3pt;height:3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" filled="f" stroked="f" strokeweight=".5pt">
                <v:textbox>
                  <w:txbxContent>
                    <w:p w14:paraId="27451D67" w14:textId="6A1B16E2" w:rsidR="00262BED" w:rsidRPr="00262BED" w:rsidRDefault="00262BED" w:rsidP="00235853">
                      <w:pPr>
                        <w:pStyle w:val="Subtitle"/>
                      </w:pPr>
                      <w:r w:rsidRPr="00262BED">
                        <w:t xml:space="preserve">Law Student Review </w:t>
                      </w:r>
                    </w:p>
                  </w:txbxContent>
                </v:textbox>
              </v:shape>
            </w:pict>
          </mc:Fallback>
        </mc:AlternateContent>
      </w:r>
      <w:r w:rsidR="00E23ACE">
        <w:rPr>
          <w:noProof/>
        </w:rPr>
        <mc:AlternateContent>
          <mc:Choice Requires="wps">
            <w:drawing>
              <wp:anchor distT="0" distB="0" distL="114300" distR="114300" simplePos="0" relativeHeight="251684864" behindDoc="0" locked="0" layoutInCell="1" allowOverlap="1" wp14:anchorId="7A1C0EEE" wp14:editId="36E2FA23">
                <wp:simplePos x="0" y="0"/>
                <wp:positionH relativeFrom="column">
                  <wp:posOffset>-598552</wp:posOffset>
                </wp:positionH>
                <wp:positionV relativeFrom="paragraph">
                  <wp:posOffset>8594852</wp:posOffset>
                </wp:positionV>
                <wp:extent cx="2047875" cy="389890"/>
                <wp:effectExtent l="0" t="0" r="0" b="0"/>
                <wp:wrapNone/>
                <wp:docPr id="1600177898" name="Text Box 21"/>
                <wp:cNvGraphicFramePr/>
                <a:graphic xmlns:a="http://schemas.openxmlformats.org/drawingml/2006/main">
                  <a:graphicData uri="http://schemas.microsoft.com/office/word/2010/wordprocessingShape">
                    <wps:wsp>
                      <wps:cNvSpPr txBox="1"/>
                      <wps:spPr>
                        <a:xfrm>
                          <a:off x="0" y="0"/>
                          <a:ext cx="2047875" cy="389890"/>
                        </a:xfrm>
                        <a:prstGeom prst="rect">
                          <a:avLst/>
                        </a:prstGeom>
                        <a:noFill/>
                        <a:ln w="6350">
                          <a:noFill/>
                        </a:ln>
                      </wps:spPr>
                      <wps:txbx>
                        <w:txbxContent>
                          <w:p w14:paraId="3B17B765" w14:textId="66E052E5" w:rsidR="000F108B" w:rsidRDefault="000F108B" w:rsidP="00A23D8F">
                            <w:pPr>
                              <w:pStyle w:val="Subtitle"/>
                            </w:pPr>
                            <w:r w:rsidRPr="00262BED">
                              <w:t xml:space="preserve">By </w:t>
                            </w:r>
                            <w:r w:rsidR="00D84B65">
                              <w:t>Jiya Yadav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C0EEE" id="_x0000_s1033" type="#_x0000_t202" style="position:absolute;margin-left:-47.15pt;margin-top:676.75pt;width:161.25pt;height:3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" filled="f" stroked="f" strokeweight=".5pt">
                <v:textbox>
                  <w:txbxContent>
                    <w:p w14:paraId="3B17B765" w14:textId="66E052E5" w:rsidR="000F108B" w:rsidRDefault="000F108B" w:rsidP="00A23D8F">
                      <w:pPr>
                        <w:pStyle w:val="Subtitle"/>
                      </w:pPr>
                      <w:r w:rsidRPr="00262BED">
                        <w:t xml:space="preserve">By </w:t>
                      </w:r>
                      <w:r w:rsidR="00D84B65">
                        <w:t>Jiya Yadav</w:t>
                      </w:r>
                    </w:p>
                  </w:txbxContent>
                </v:textbox>
              </v:shape>
            </w:pict>
          </mc:Fallback>
        </mc:AlternateContent>
      </w:r>
      <w:r w:rsidR="007A4BF8">
        <w:rPr>
          <w:noProof/>
        </w:rPr>
        <mc:AlternateContent>
          <mc:Choice Requires="wps">
            <w:drawing>
              <wp:anchor distT="0" distB="0" distL="114300" distR="114300" simplePos="0" relativeHeight="251667456" behindDoc="0" locked="0" layoutInCell="1" allowOverlap="1" wp14:anchorId="7760C708" wp14:editId="15B218CC">
                <wp:simplePos x="0" y="0"/>
                <wp:positionH relativeFrom="column">
                  <wp:posOffset>-746760</wp:posOffset>
                </wp:positionH>
                <wp:positionV relativeFrom="paragraph">
                  <wp:posOffset>-914400</wp:posOffset>
                </wp:positionV>
                <wp:extent cx="7107428" cy="0"/>
                <wp:effectExtent l="0" t="12700" r="17780" b="12700"/>
                <wp:wrapNone/>
                <wp:docPr id="38297992" name="Straight Connector 27"/>
                <wp:cNvGraphicFramePr/>
                <a:graphic xmlns:a="http://schemas.openxmlformats.org/drawingml/2006/main">
                  <a:graphicData uri="http://schemas.microsoft.com/office/word/2010/wordprocessingShape">
                    <wps:wsp>
                      <wps:cNvCnPr/>
                      <wps:spPr>
                        <a:xfrm>
                          <a:off x="0" y="0"/>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26F7FF" id="Straight Connector 2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pt,-1in" to="500.85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" strokecolor="white [3212]" strokeweight="2pt">
                <v:stroke joinstyle="miter"/>
              </v:line>
            </w:pict>
          </mc:Fallback>
        </mc:AlternateContent>
      </w:r>
      <w:r w:rsidR="000F108B">
        <w:br w:type="page"/>
      </w:r>
    </w:p>
    <w:p w14:paraId="6695B61E" w14:textId="53F9FDF4" w:rsidR="00FD42E0" w:rsidRDefault="001F059D" w:rsidP="00D74462">
      <w:pPr>
        <w:pStyle w:val="Heading1"/>
      </w:pPr>
      <w:r w:rsidRPr="00E23ACE">
        <w:lastRenderedPageBreak/>
        <w:t xml:space="preserve">I </w:t>
      </w:r>
      <w:r w:rsidR="004E1F25">
        <w:t>INTRODUCTION</w:t>
      </w:r>
    </w:p>
    <w:p w14:paraId="3537B799" w14:textId="77777777" w:rsidR="004E1F25" w:rsidRPr="004E1F25" w:rsidRDefault="004E1F25" w:rsidP="004E1F25">
      <w:pPr>
        <w:spacing w:after="0"/>
        <w:rPr>
          <w:rFonts w:eastAsia="Times New Roman"/>
          <w:lang w:eastAsia="en-GB"/>
        </w:rPr>
      </w:pPr>
      <w:r w:rsidRPr="004E1F25">
        <w:rPr>
          <w:rFonts w:eastAsia="Times New Roman"/>
          <w:i/>
          <w:iCs/>
          <w:color w:val="000000"/>
          <w:lang w:eastAsia="en-GB"/>
        </w:rPr>
        <w:t>Simpson v Transport Accident Commission</w:t>
      </w:r>
      <w:r w:rsidRPr="004E1F25">
        <w:rPr>
          <w:rFonts w:eastAsia="Times New Roman"/>
          <w:color w:val="000000"/>
          <w:lang w:eastAsia="en-GB"/>
        </w:rPr>
        <w:t xml:space="preserve"> examines the ‘serious’ injury threshold that regulates access to damages under a statutory compensation scheme. The central issue was whether a psychiatric disorder met the statutory definition of ‘serious’ injury. While common law litigation is costly and complex, statutory compensation schemes provide a more accessible pathway for individuals to recover damages, however access is limited by strict thresholds that prioritise efficiency and consistency over full compensation. The Court clarifies the distinction between ‘severe’ and ‘serious’ injury, confirming the high threshold required for injuries to qualify under the Act</w:t>
      </w:r>
      <w:r w:rsidRPr="004E1F25">
        <w:rPr>
          <w:rFonts w:eastAsia="Times New Roman"/>
          <w:color w:val="000000"/>
          <w:vertAlign w:val="superscript"/>
          <w:lang w:eastAsia="en-GB"/>
        </w:rPr>
        <w:footnoteReference w:id="1"/>
      </w:r>
      <w:r w:rsidRPr="004E1F25">
        <w:rPr>
          <w:rFonts w:eastAsia="Times New Roman"/>
          <w:color w:val="000000"/>
          <w:lang w:eastAsia="en-GB"/>
        </w:rPr>
        <w:t>.</w:t>
      </w:r>
    </w:p>
    <w:p w14:paraId="358B43EC" w14:textId="75D57CB2" w:rsidR="004E1F25" w:rsidRPr="004E1F25" w:rsidRDefault="004E1F25" w:rsidP="004E1F25">
      <w:pPr>
        <w:jc w:val="center"/>
        <w:outlineLvl w:val="0"/>
        <w:rPr>
          <w:b/>
          <w:bCs/>
          <w:color w:val="000000" w:themeColor="text1"/>
          <w:sz w:val="28"/>
          <w:szCs w:val="28"/>
        </w:rPr>
      </w:pPr>
      <w:r w:rsidRPr="004E1F25">
        <w:rPr>
          <w:b/>
          <w:bCs/>
          <w:color w:val="000000" w:themeColor="text1"/>
          <w:sz w:val="28"/>
          <w:szCs w:val="28"/>
        </w:rPr>
        <w:t>I</w:t>
      </w:r>
      <w:r>
        <w:rPr>
          <w:b/>
          <w:bCs/>
          <w:color w:val="000000" w:themeColor="text1"/>
          <w:sz w:val="28"/>
          <w:szCs w:val="28"/>
        </w:rPr>
        <w:t>I CASE BRIEF</w:t>
      </w:r>
    </w:p>
    <w:p w14:paraId="7849B57B" w14:textId="77777777" w:rsidR="004E1F25" w:rsidRPr="007874BC" w:rsidRDefault="004E1F25" w:rsidP="004E1F25">
      <w:pPr>
        <w:spacing w:after="0"/>
        <w:jc w:val="center"/>
        <w:rPr>
          <w:rFonts w:eastAsia="Times New Roman"/>
          <w:lang w:eastAsia="en-GB"/>
        </w:rPr>
      </w:pPr>
      <w:r w:rsidRPr="007874BC">
        <w:rPr>
          <w:rFonts w:eastAsia="Times New Roman"/>
          <w:color w:val="000000"/>
          <w:lang w:eastAsia="en-GB"/>
        </w:rPr>
        <w:t>A</w:t>
      </w:r>
      <w:r w:rsidRPr="007874BC">
        <w:rPr>
          <w:rFonts w:eastAsia="Times New Roman"/>
          <w:i/>
          <w:iCs/>
          <w:color w:val="000000"/>
          <w:lang w:eastAsia="en-GB"/>
        </w:rPr>
        <w:t xml:space="preserve">     Facts and Procedural History</w:t>
      </w:r>
    </w:p>
    <w:p w14:paraId="3EC42BC4" w14:textId="77777777" w:rsidR="004E1F25" w:rsidRPr="004E1F25" w:rsidRDefault="004E1F25" w:rsidP="004E1F25">
      <w:pPr>
        <w:spacing w:after="0"/>
        <w:rPr>
          <w:rFonts w:eastAsia="Times New Roman"/>
          <w:lang w:eastAsia="en-GB"/>
        </w:rPr>
      </w:pPr>
      <w:r w:rsidRPr="004E1F25">
        <w:rPr>
          <w:rFonts w:eastAsia="Times New Roman"/>
          <w:color w:val="000000"/>
          <w:lang w:eastAsia="en-GB"/>
        </w:rPr>
        <w:t>Ian Simpson sustained injuries as a result of a transport accident on 2 September 2016, in which a truck collided with the motorcycle that he was riding in Todd Road, Melbourne</w:t>
      </w:r>
      <w:r w:rsidRPr="004E1F25">
        <w:rPr>
          <w:rFonts w:eastAsia="Times New Roman"/>
          <w:color w:val="000000"/>
          <w:vertAlign w:val="superscript"/>
          <w:lang w:eastAsia="en-GB"/>
        </w:rPr>
        <w:footnoteReference w:id="2"/>
      </w:r>
      <w:r w:rsidRPr="004E1F25">
        <w:rPr>
          <w:rFonts w:eastAsia="Times New Roman"/>
          <w:color w:val="000000"/>
          <w:lang w:eastAsia="en-GB"/>
        </w:rPr>
        <w:t>. </w:t>
      </w:r>
    </w:p>
    <w:p w14:paraId="06CFD041" w14:textId="77777777" w:rsidR="004E1F25" w:rsidRPr="004E1F25" w:rsidRDefault="004E1F25" w:rsidP="004E1F25">
      <w:pPr>
        <w:spacing w:after="0"/>
        <w:rPr>
          <w:rFonts w:eastAsia="Times New Roman"/>
          <w:lang w:eastAsia="en-GB"/>
        </w:rPr>
      </w:pPr>
      <w:r w:rsidRPr="004E1F25">
        <w:rPr>
          <w:rFonts w:eastAsia="Times New Roman"/>
          <w:color w:val="000000"/>
          <w:lang w:eastAsia="en-GB"/>
        </w:rPr>
        <w:t>As a consequence of the accident, the applicant suffered from a Conversion Disorder which involved ongoing symptoms of hand twitching and pseudo-neurological symptomatology</w:t>
      </w:r>
      <w:r w:rsidRPr="004E1F25">
        <w:rPr>
          <w:rFonts w:eastAsia="Times New Roman"/>
          <w:color w:val="000000"/>
          <w:vertAlign w:val="superscript"/>
          <w:lang w:eastAsia="en-GB"/>
        </w:rPr>
        <w:footnoteReference w:id="3"/>
      </w:r>
      <w:r w:rsidRPr="004E1F25">
        <w:rPr>
          <w:rFonts w:eastAsia="Times New Roman"/>
          <w:color w:val="000000"/>
          <w:lang w:eastAsia="en-GB"/>
        </w:rPr>
        <w:t>. </w:t>
      </w:r>
    </w:p>
    <w:p w14:paraId="6D74FD1E" w14:textId="77777777" w:rsidR="004E1F25" w:rsidRPr="004E1F25" w:rsidRDefault="004E1F25" w:rsidP="004E1F25">
      <w:pPr>
        <w:spacing w:after="0"/>
        <w:rPr>
          <w:rFonts w:eastAsia="Times New Roman"/>
          <w:lang w:eastAsia="en-GB"/>
        </w:rPr>
      </w:pPr>
      <w:r w:rsidRPr="004E1F25">
        <w:rPr>
          <w:rFonts w:eastAsia="Times New Roman"/>
          <w:color w:val="000000"/>
          <w:lang w:eastAsia="en-GB"/>
        </w:rPr>
        <w:t xml:space="preserve">Pursuant to </w:t>
      </w:r>
      <w:r w:rsidRPr="004E1F25">
        <w:rPr>
          <w:rFonts w:eastAsia="Times New Roman"/>
          <w:i/>
          <w:iCs/>
          <w:color w:val="000000"/>
          <w:lang w:eastAsia="en-GB"/>
        </w:rPr>
        <w:t>s93(4)(d) of the Transport Accident Act 1986</w:t>
      </w:r>
      <w:r w:rsidRPr="004E1F25">
        <w:rPr>
          <w:rFonts w:eastAsia="Times New Roman"/>
          <w:color w:val="000000"/>
          <w:lang w:eastAsia="en-GB"/>
        </w:rPr>
        <w:t>, the applicant filed an originating motion in the County Court seeking leave to commence a proceeding at common law for the recovery of common law damages. </w:t>
      </w:r>
    </w:p>
    <w:p w14:paraId="3C1F47E2" w14:textId="77777777" w:rsidR="004E1F25" w:rsidRPr="004E1F25" w:rsidRDefault="004E1F25" w:rsidP="004E1F25">
      <w:pPr>
        <w:spacing w:after="0"/>
        <w:rPr>
          <w:rFonts w:eastAsia="Times New Roman"/>
          <w:lang w:eastAsia="en-GB"/>
        </w:rPr>
      </w:pPr>
    </w:p>
    <w:p w14:paraId="171576CE" w14:textId="173739AF" w:rsidR="004E1F25" w:rsidRDefault="004E1F25" w:rsidP="004E1F25">
      <w:pPr>
        <w:spacing w:after="0"/>
        <w:rPr>
          <w:rFonts w:eastAsia="Times New Roman"/>
          <w:lang w:eastAsia="en-GB"/>
        </w:rPr>
      </w:pPr>
      <w:r w:rsidRPr="004E1F25">
        <w:rPr>
          <w:rFonts w:eastAsia="Times New Roman"/>
          <w:color w:val="000000"/>
          <w:lang w:eastAsia="en-GB"/>
        </w:rPr>
        <w:t>The County Court judge was not satisfied that the nature, symptoms and consequences of the applicant’s conditions were ‘severe’ and concluded that the condition did not meet the statutory test of ‘severe’ when compared with a spectrum of comparable cases</w:t>
      </w:r>
      <w:r w:rsidRPr="004E1F25">
        <w:rPr>
          <w:rFonts w:eastAsia="Times New Roman"/>
          <w:color w:val="000000"/>
          <w:vertAlign w:val="superscript"/>
          <w:lang w:eastAsia="en-GB"/>
        </w:rPr>
        <w:footnoteReference w:id="4"/>
      </w:r>
      <w:r w:rsidRPr="004E1F25">
        <w:rPr>
          <w:rFonts w:eastAsia="Times New Roman"/>
          <w:color w:val="000000"/>
          <w:lang w:eastAsia="en-GB"/>
        </w:rPr>
        <w:t>. As a result, the applicant sought leave to appeal against the decision of the judge. The appeal was brought to the Victorian Supreme Court of Appeal (‘VSCA’), on the grounds that the trial judge had erred in determining that the applicant had not sustained severe mental or behavioural disturbance as a result of the incident and failed to adopt and properly apply the test for causation.</w:t>
      </w:r>
    </w:p>
    <w:p w14:paraId="474D0D53" w14:textId="77777777" w:rsidR="007874BC" w:rsidRPr="004E1F25" w:rsidRDefault="007874BC" w:rsidP="004E1F25">
      <w:pPr>
        <w:spacing w:after="0"/>
        <w:rPr>
          <w:rFonts w:eastAsia="Times New Roman"/>
          <w:lang w:eastAsia="en-GB"/>
        </w:rPr>
      </w:pPr>
    </w:p>
    <w:p w14:paraId="2D7B7E2D" w14:textId="77777777" w:rsidR="004E1F25" w:rsidRPr="007874BC" w:rsidRDefault="004E1F25" w:rsidP="004E1F25">
      <w:pPr>
        <w:spacing w:after="0"/>
        <w:jc w:val="center"/>
        <w:rPr>
          <w:rFonts w:eastAsia="Times New Roman"/>
          <w:lang w:eastAsia="en-GB"/>
        </w:rPr>
      </w:pPr>
      <w:r w:rsidRPr="007874BC">
        <w:rPr>
          <w:rFonts w:eastAsia="Times New Roman"/>
          <w:color w:val="000000"/>
          <w:lang w:eastAsia="en-GB"/>
        </w:rPr>
        <w:t>B</w:t>
      </w:r>
      <w:r w:rsidRPr="004E1F25">
        <w:rPr>
          <w:rFonts w:eastAsia="Times New Roman"/>
          <w:b/>
          <w:bCs/>
          <w:i/>
          <w:iCs/>
          <w:color w:val="000000"/>
          <w:lang w:eastAsia="en-GB"/>
        </w:rPr>
        <w:t xml:space="preserve">     </w:t>
      </w:r>
      <w:r w:rsidRPr="007874BC">
        <w:rPr>
          <w:rFonts w:eastAsia="Times New Roman"/>
          <w:i/>
          <w:iCs/>
          <w:color w:val="000000"/>
          <w:lang w:eastAsia="en-GB"/>
        </w:rPr>
        <w:t>Legal Issues </w:t>
      </w:r>
    </w:p>
    <w:p w14:paraId="75A446CE" w14:textId="77777777" w:rsidR="004E1F25" w:rsidRPr="004E1F25" w:rsidRDefault="004E1F25" w:rsidP="004E1F25">
      <w:pPr>
        <w:spacing w:after="0"/>
        <w:rPr>
          <w:rFonts w:eastAsia="Times New Roman"/>
          <w:lang w:eastAsia="en-GB"/>
        </w:rPr>
      </w:pPr>
      <w:r w:rsidRPr="004E1F25">
        <w:rPr>
          <w:rFonts w:eastAsia="Times New Roman"/>
          <w:color w:val="000000"/>
          <w:lang w:eastAsia="en-GB"/>
        </w:rPr>
        <w:lastRenderedPageBreak/>
        <w:t xml:space="preserve">There were three key legal issues left for determination by the VSCA. First, whether the trial judge erred in determining that the applicant’s injury did not constitute a severe long-term mental or severe long-term behavioural disturbance or disorder within the meaning of </w:t>
      </w:r>
      <w:r w:rsidRPr="004E1F25">
        <w:rPr>
          <w:rFonts w:eastAsia="Times New Roman"/>
          <w:i/>
          <w:iCs/>
          <w:color w:val="000000"/>
          <w:lang w:eastAsia="en-GB"/>
        </w:rPr>
        <w:t>s93 of the Transport Accident Act 1986</w:t>
      </w:r>
      <w:r w:rsidRPr="004E1F25">
        <w:rPr>
          <w:rFonts w:eastAsia="Times New Roman"/>
          <w:color w:val="000000"/>
          <w:lang w:eastAsia="en-GB"/>
        </w:rPr>
        <w:t>. Second, whether the trial judge failed to adopt and apply the correct test for causation, in particular whether the transport accident was a cause of the applicant’s injuries and their consequences. Third, whether the trial judge’s reasons were inadequate in failing to disclose a sufficient process of reasoning to justify the refusal of the application. </w:t>
      </w:r>
    </w:p>
    <w:p w14:paraId="3A3D5176" w14:textId="77777777" w:rsidR="004E1F25" w:rsidRPr="004E1F25" w:rsidRDefault="004E1F25" w:rsidP="004E1F25">
      <w:pPr>
        <w:spacing w:after="0"/>
        <w:rPr>
          <w:rFonts w:eastAsia="Times New Roman"/>
          <w:lang w:eastAsia="en-GB"/>
        </w:rPr>
      </w:pPr>
    </w:p>
    <w:p w14:paraId="5D6AE2AC" w14:textId="77777777" w:rsidR="004E1F25" w:rsidRPr="007874BC" w:rsidRDefault="004E1F25" w:rsidP="004E1F25">
      <w:pPr>
        <w:spacing w:after="0"/>
        <w:jc w:val="center"/>
        <w:rPr>
          <w:rFonts w:eastAsia="Times New Roman"/>
          <w:lang w:eastAsia="en-GB"/>
        </w:rPr>
      </w:pPr>
      <w:r w:rsidRPr="007874BC">
        <w:rPr>
          <w:rFonts w:eastAsia="Times New Roman"/>
          <w:color w:val="000000"/>
          <w:lang w:eastAsia="en-GB"/>
        </w:rPr>
        <w:t xml:space="preserve">C     </w:t>
      </w:r>
      <w:r w:rsidRPr="007874BC">
        <w:rPr>
          <w:rFonts w:eastAsia="Times New Roman"/>
          <w:i/>
          <w:iCs/>
          <w:color w:val="000000"/>
          <w:lang w:eastAsia="en-GB"/>
        </w:rPr>
        <w:t>Outcome</w:t>
      </w:r>
    </w:p>
    <w:p w14:paraId="176408C3" w14:textId="0986E306" w:rsidR="004E1F25" w:rsidRDefault="004E1F25" w:rsidP="004E1F25">
      <w:pPr>
        <w:spacing w:after="0"/>
        <w:rPr>
          <w:rFonts w:eastAsia="Times New Roman"/>
          <w:lang w:eastAsia="en-GB"/>
        </w:rPr>
      </w:pPr>
      <w:r w:rsidRPr="004E1F25">
        <w:rPr>
          <w:rFonts w:eastAsia="Times New Roman"/>
          <w:color w:val="000000"/>
          <w:lang w:eastAsia="en-GB"/>
        </w:rPr>
        <w:t xml:space="preserve">The VSCA refused leave to appeal, thereby upholding the decision of the County Court that the applicant had not sustained a ‘serious injury’ within the meaning of </w:t>
      </w:r>
      <w:r w:rsidRPr="004E1F25">
        <w:rPr>
          <w:rFonts w:eastAsia="Times New Roman"/>
          <w:i/>
          <w:iCs/>
          <w:color w:val="000000"/>
          <w:lang w:eastAsia="en-GB"/>
        </w:rPr>
        <w:t>s 93 of the Transport Accident Act 1986</w:t>
      </w:r>
      <w:r w:rsidRPr="004E1F25">
        <w:rPr>
          <w:rFonts w:eastAsia="Times New Roman"/>
          <w:i/>
          <w:iCs/>
          <w:color w:val="000000"/>
          <w:vertAlign w:val="superscript"/>
          <w:lang w:eastAsia="en-GB"/>
        </w:rPr>
        <w:footnoteReference w:id="5"/>
      </w:r>
      <w:r w:rsidRPr="004E1F25">
        <w:rPr>
          <w:rFonts w:eastAsia="Times New Roman"/>
          <w:color w:val="000000"/>
          <w:lang w:eastAsia="en-GB"/>
        </w:rPr>
        <w:t>.</w:t>
      </w:r>
    </w:p>
    <w:p w14:paraId="5FCD7FE7" w14:textId="77777777" w:rsidR="007874BC" w:rsidRPr="004E1F25" w:rsidRDefault="007874BC" w:rsidP="004E1F25">
      <w:pPr>
        <w:spacing w:after="0"/>
        <w:rPr>
          <w:rFonts w:eastAsia="Times New Roman"/>
          <w:lang w:eastAsia="en-GB"/>
        </w:rPr>
      </w:pPr>
    </w:p>
    <w:p w14:paraId="73B0DCA1" w14:textId="77777777" w:rsidR="004E1F25" w:rsidRPr="007874BC" w:rsidRDefault="004E1F25" w:rsidP="004E1F25">
      <w:pPr>
        <w:spacing w:after="0"/>
        <w:jc w:val="center"/>
        <w:rPr>
          <w:rFonts w:eastAsia="Times New Roman"/>
          <w:lang w:eastAsia="en-GB"/>
        </w:rPr>
      </w:pPr>
      <w:r w:rsidRPr="007874BC">
        <w:rPr>
          <w:rFonts w:eastAsia="Times New Roman"/>
          <w:color w:val="000000"/>
          <w:lang w:eastAsia="en-GB"/>
        </w:rPr>
        <w:t>D</w:t>
      </w:r>
      <w:r w:rsidRPr="007874BC">
        <w:rPr>
          <w:rFonts w:eastAsia="Times New Roman"/>
          <w:i/>
          <w:iCs/>
          <w:color w:val="000000"/>
          <w:lang w:eastAsia="en-GB"/>
        </w:rPr>
        <w:t xml:space="preserve">     Legal Reasoning</w:t>
      </w:r>
    </w:p>
    <w:p w14:paraId="630D0ABE" w14:textId="77777777" w:rsidR="004E1F25" w:rsidRPr="004E1F25" w:rsidRDefault="004E1F25" w:rsidP="004E1F25">
      <w:pPr>
        <w:spacing w:after="0"/>
        <w:rPr>
          <w:rFonts w:eastAsia="Times New Roman"/>
          <w:lang w:eastAsia="en-GB"/>
        </w:rPr>
      </w:pPr>
      <w:r w:rsidRPr="004E1F25">
        <w:rPr>
          <w:rFonts w:eastAsia="Times New Roman"/>
          <w:color w:val="000000"/>
          <w:lang w:eastAsia="en-GB"/>
        </w:rPr>
        <w:t>The trial judge found that the plaintiff had not sustained a serious injury. In particular, the judge emphasised that the applicant’s symptoms had abated and were presently intermittent, enabling the applicant to find new employment and continue driving his motorcycle. While her Honour was satisfied that the injury had a moderate impact on the applicant’s social life, it did not however significantly impact the ability to perform activities of daily living</w:t>
      </w:r>
      <w:r w:rsidRPr="004E1F25">
        <w:rPr>
          <w:rFonts w:eastAsia="Times New Roman"/>
          <w:color w:val="000000"/>
          <w:vertAlign w:val="superscript"/>
          <w:lang w:eastAsia="en-GB"/>
        </w:rPr>
        <w:footnoteReference w:id="6"/>
      </w:r>
      <w:r w:rsidRPr="004E1F25">
        <w:rPr>
          <w:rFonts w:eastAsia="Times New Roman"/>
          <w:color w:val="000000"/>
          <w:lang w:eastAsia="en-GB"/>
        </w:rPr>
        <w:t>. Her Honour concluded that the nature, symptoms and consequences of the injury are not subjectively ‘severe’ for the plaintiff and even if they are, when assessed objectively, the disorder does not meet the requisite statutory test of being ‘severe’</w:t>
      </w:r>
      <w:r w:rsidRPr="004E1F25">
        <w:rPr>
          <w:rFonts w:eastAsia="Times New Roman"/>
          <w:color w:val="000000"/>
          <w:vertAlign w:val="superscript"/>
          <w:lang w:eastAsia="en-GB"/>
        </w:rPr>
        <w:footnoteReference w:id="7"/>
      </w:r>
      <w:r w:rsidRPr="004E1F25">
        <w:rPr>
          <w:rFonts w:eastAsia="Times New Roman"/>
          <w:color w:val="000000"/>
          <w:lang w:eastAsia="en-GB"/>
        </w:rPr>
        <w:t>. </w:t>
      </w:r>
    </w:p>
    <w:p w14:paraId="0661F76A" w14:textId="77777777" w:rsidR="004E1F25" w:rsidRPr="004E1F25" w:rsidRDefault="004E1F25" w:rsidP="004E1F25">
      <w:pPr>
        <w:spacing w:after="0"/>
        <w:rPr>
          <w:rFonts w:eastAsia="Times New Roman"/>
          <w:lang w:eastAsia="en-GB"/>
        </w:rPr>
      </w:pPr>
    </w:p>
    <w:p w14:paraId="775D4F8F" w14:textId="77777777" w:rsidR="004E1F25" w:rsidRPr="004E1F25" w:rsidRDefault="004E1F25" w:rsidP="004E1F25">
      <w:pPr>
        <w:spacing w:after="0"/>
        <w:rPr>
          <w:rFonts w:eastAsia="Times New Roman"/>
          <w:lang w:eastAsia="en-GB"/>
        </w:rPr>
      </w:pPr>
      <w:r w:rsidRPr="004E1F25">
        <w:rPr>
          <w:rFonts w:eastAsia="Times New Roman"/>
          <w:color w:val="000000"/>
          <w:lang w:eastAsia="en-GB"/>
        </w:rPr>
        <w:t xml:space="preserve">It was contended that the trial judge erred by failing to </w:t>
      </w:r>
      <w:proofErr w:type="gramStart"/>
      <w:r w:rsidRPr="004E1F25">
        <w:rPr>
          <w:rFonts w:eastAsia="Times New Roman"/>
          <w:color w:val="000000"/>
          <w:lang w:eastAsia="en-GB"/>
        </w:rPr>
        <w:t>take into account</w:t>
      </w:r>
      <w:proofErr w:type="gramEnd"/>
      <w:r w:rsidRPr="004E1F25">
        <w:rPr>
          <w:rFonts w:eastAsia="Times New Roman"/>
          <w:color w:val="000000"/>
          <w:lang w:eastAsia="en-GB"/>
        </w:rPr>
        <w:t xml:space="preserve"> each of the symptoms suffered by the applicant, their cumulative impact and resulting consequences</w:t>
      </w:r>
      <w:r w:rsidRPr="004E1F25">
        <w:rPr>
          <w:rFonts w:eastAsia="Times New Roman"/>
          <w:color w:val="000000"/>
          <w:vertAlign w:val="superscript"/>
          <w:lang w:eastAsia="en-GB"/>
        </w:rPr>
        <w:footnoteReference w:id="8"/>
      </w:r>
      <w:r w:rsidRPr="004E1F25">
        <w:rPr>
          <w:rFonts w:eastAsia="Times New Roman"/>
          <w:color w:val="000000"/>
          <w:lang w:eastAsia="en-GB"/>
        </w:rPr>
        <w:t xml:space="preserve">. The applicant further argued that the trial judge failed to properly apply the correct test for causation by excluding certain symptoms and consequences from consideration. In response, counsel for the respondent submitted that the trial judge had correctly examined the impact of the injury on the applicant as a whole by considering the consequences of the disorder and how the applicant would have been had the injury </w:t>
      </w:r>
      <w:r w:rsidRPr="004E1F25">
        <w:rPr>
          <w:rFonts w:eastAsia="Times New Roman"/>
          <w:color w:val="000000"/>
          <w:lang w:eastAsia="en-GB"/>
        </w:rPr>
        <w:lastRenderedPageBreak/>
        <w:t>not occurred</w:t>
      </w:r>
      <w:r w:rsidRPr="004E1F25">
        <w:rPr>
          <w:rFonts w:eastAsia="Times New Roman"/>
          <w:color w:val="000000"/>
          <w:vertAlign w:val="superscript"/>
          <w:lang w:eastAsia="en-GB"/>
        </w:rPr>
        <w:footnoteReference w:id="9"/>
      </w:r>
      <w:r w:rsidRPr="004E1F25">
        <w:rPr>
          <w:rFonts w:eastAsia="Times New Roman"/>
          <w:color w:val="000000"/>
          <w:lang w:eastAsia="en-GB"/>
        </w:rPr>
        <w:t>. It was further submitted that any symptoms of anxiety and depression were not part of the applicant’s claim and were correctly not considered. A third ground concerning the adequacy of reasons was initially raised but later abandoned. </w:t>
      </w:r>
    </w:p>
    <w:p w14:paraId="51C207AD" w14:textId="77777777" w:rsidR="004E1F25" w:rsidRPr="004E1F25" w:rsidRDefault="004E1F25" w:rsidP="004E1F25">
      <w:pPr>
        <w:spacing w:after="0"/>
        <w:rPr>
          <w:rFonts w:eastAsia="Times New Roman"/>
          <w:lang w:eastAsia="en-GB"/>
        </w:rPr>
      </w:pPr>
    </w:p>
    <w:p w14:paraId="1BAD52E3" w14:textId="77777777" w:rsidR="004E1F25" w:rsidRPr="004E1F25" w:rsidRDefault="004E1F25" w:rsidP="004E1F25">
      <w:pPr>
        <w:spacing w:after="0"/>
        <w:rPr>
          <w:rFonts w:eastAsia="Times New Roman"/>
          <w:lang w:eastAsia="en-GB"/>
        </w:rPr>
      </w:pPr>
      <w:r w:rsidRPr="004E1F25">
        <w:rPr>
          <w:rFonts w:eastAsia="Times New Roman"/>
          <w:color w:val="000000"/>
          <w:lang w:eastAsia="en-GB"/>
        </w:rPr>
        <w:t>The Court of Appeal affirmed that in determining whether a physical injury satisfies the test of a ‘serious long-term impairment or loss of a body function’, the injury, when judged by comparison with other cases in the range of possible impairments or losses, must be one which can be fairly described as at least ‘very considerable’</w:t>
      </w:r>
      <w:r w:rsidRPr="004E1F25">
        <w:rPr>
          <w:rFonts w:eastAsia="Times New Roman"/>
          <w:color w:val="000000"/>
          <w:vertAlign w:val="superscript"/>
          <w:lang w:eastAsia="en-GB"/>
        </w:rPr>
        <w:footnoteReference w:id="10"/>
      </w:r>
      <w:r w:rsidRPr="004E1F25">
        <w:rPr>
          <w:rFonts w:eastAsia="Times New Roman"/>
          <w:color w:val="000000"/>
          <w:lang w:eastAsia="en-GB"/>
        </w:rPr>
        <w:t>. The Court emphasised that the threshold for psychiatric injury is more stringent and requires a ‘severe’ condition</w:t>
      </w:r>
      <w:r w:rsidRPr="004E1F25">
        <w:rPr>
          <w:rFonts w:eastAsia="Times New Roman"/>
          <w:color w:val="000000"/>
          <w:vertAlign w:val="superscript"/>
          <w:lang w:eastAsia="en-GB"/>
        </w:rPr>
        <w:footnoteReference w:id="11"/>
      </w:r>
      <w:r w:rsidRPr="004E1F25">
        <w:rPr>
          <w:rFonts w:eastAsia="Times New Roman"/>
          <w:color w:val="000000"/>
          <w:lang w:eastAsia="en-GB"/>
        </w:rPr>
        <w:t>. Applying this test, the Court found that the applicant did not meet the threshold as the symptoms had abated and he retained the capacity to perform activities of daily life</w:t>
      </w:r>
      <w:r w:rsidRPr="004E1F25">
        <w:rPr>
          <w:rFonts w:eastAsia="Times New Roman"/>
          <w:color w:val="000000"/>
          <w:vertAlign w:val="superscript"/>
          <w:lang w:eastAsia="en-GB"/>
        </w:rPr>
        <w:footnoteReference w:id="12"/>
      </w:r>
      <w:r w:rsidRPr="004E1F25">
        <w:rPr>
          <w:rFonts w:eastAsia="Times New Roman"/>
          <w:color w:val="000000"/>
          <w:lang w:eastAsia="en-GB"/>
        </w:rPr>
        <w:t>. Accordingly, the application for leave to appeal was refused</w:t>
      </w:r>
      <w:r w:rsidRPr="004E1F25">
        <w:rPr>
          <w:rFonts w:eastAsia="Times New Roman"/>
          <w:color w:val="000000"/>
          <w:vertAlign w:val="superscript"/>
          <w:lang w:eastAsia="en-GB"/>
        </w:rPr>
        <w:footnoteReference w:id="13"/>
      </w:r>
      <w:r w:rsidRPr="004E1F25">
        <w:rPr>
          <w:rFonts w:eastAsia="Times New Roman"/>
          <w:color w:val="000000"/>
          <w:lang w:eastAsia="en-GB"/>
        </w:rPr>
        <w:t>.</w:t>
      </w:r>
    </w:p>
    <w:p w14:paraId="63519C8A" w14:textId="77777777" w:rsidR="004E1F25" w:rsidRPr="004E1F25" w:rsidRDefault="004E1F25" w:rsidP="004E1F25">
      <w:pPr>
        <w:spacing w:after="0"/>
        <w:rPr>
          <w:rFonts w:eastAsia="Times New Roman"/>
          <w:lang w:eastAsia="en-GB"/>
        </w:rPr>
      </w:pPr>
    </w:p>
    <w:p w14:paraId="4CEF3E50" w14:textId="38C323EA" w:rsidR="004E1F25" w:rsidRPr="007874BC" w:rsidRDefault="004E1F25" w:rsidP="004E1F25">
      <w:pPr>
        <w:spacing w:after="0"/>
        <w:jc w:val="center"/>
        <w:rPr>
          <w:rFonts w:eastAsia="Times New Roman"/>
          <w:lang w:eastAsia="en-GB"/>
        </w:rPr>
      </w:pPr>
      <w:r w:rsidRPr="007874BC">
        <w:rPr>
          <w:rFonts w:eastAsia="Times New Roman"/>
          <w:color w:val="000000"/>
          <w:lang w:eastAsia="en-GB"/>
        </w:rPr>
        <w:t>E</w:t>
      </w:r>
      <w:r w:rsidRPr="007874BC">
        <w:rPr>
          <w:rFonts w:eastAsia="Times New Roman"/>
          <w:i/>
          <w:iCs/>
          <w:color w:val="000000"/>
          <w:lang w:eastAsia="en-GB"/>
        </w:rPr>
        <w:t xml:space="preserve">     Ratio </w:t>
      </w:r>
      <w:r w:rsidR="007874BC">
        <w:rPr>
          <w:rFonts w:eastAsia="Times New Roman"/>
          <w:i/>
          <w:iCs/>
          <w:color w:val="000000"/>
          <w:lang w:eastAsia="en-GB"/>
        </w:rPr>
        <w:t>D</w:t>
      </w:r>
      <w:r w:rsidRPr="007874BC">
        <w:rPr>
          <w:rFonts w:eastAsia="Times New Roman"/>
          <w:i/>
          <w:iCs/>
          <w:color w:val="000000"/>
          <w:lang w:eastAsia="en-GB"/>
        </w:rPr>
        <w:t>ecidendi</w:t>
      </w:r>
    </w:p>
    <w:p w14:paraId="11365749" w14:textId="77777777" w:rsidR="004E1F25" w:rsidRPr="004E1F25" w:rsidRDefault="004E1F25" w:rsidP="004E1F25">
      <w:pPr>
        <w:spacing w:after="0"/>
        <w:rPr>
          <w:rFonts w:eastAsia="Times New Roman"/>
          <w:lang w:eastAsia="en-GB"/>
        </w:rPr>
      </w:pPr>
      <w:r w:rsidRPr="004E1F25">
        <w:rPr>
          <w:rFonts w:eastAsia="Times New Roman"/>
          <w:color w:val="000000"/>
          <w:lang w:eastAsia="en-GB"/>
        </w:rPr>
        <w:t xml:space="preserve">Where a claimant alleges a psychiatric injury under </w:t>
      </w:r>
      <w:r w:rsidRPr="004E1F25">
        <w:rPr>
          <w:rFonts w:eastAsia="Times New Roman"/>
          <w:i/>
          <w:iCs/>
          <w:color w:val="000000"/>
          <w:lang w:eastAsia="en-GB"/>
        </w:rPr>
        <w:t>s 93 of the Transport Accident Act 1986</w:t>
      </w:r>
      <w:r w:rsidRPr="004E1F25">
        <w:rPr>
          <w:rFonts w:eastAsia="Times New Roman"/>
          <w:color w:val="000000"/>
          <w:lang w:eastAsia="en-GB"/>
        </w:rPr>
        <w:t>, the injury must constitute a severe long-term mental or behavioural disturbance or disorder. This requires the injury to be more than ‘very considerable’ and assessed through a two-stage process involving both the subjective impact on the claimant and an objective comparison with the range of comparable cases</w:t>
      </w:r>
      <w:r w:rsidRPr="004E1F25">
        <w:rPr>
          <w:rFonts w:eastAsia="Times New Roman"/>
          <w:color w:val="000000"/>
          <w:vertAlign w:val="superscript"/>
          <w:lang w:eastAsia="en-GB"/>
        </w:rPr>
        <w:footnoteReference w:id="14"/>
      </w:r>
      <w:r w:rsidRPr="004E1F25">
        <w:rPr>
          <w:rFonts w:eastAsia="Times New Roman"/>
          <w:color w:val="000000"/>
          <w:lang w:eastAsia="en-GB"/>
        </w:rPr>
        <w:t>.</w:t>
      </w:r>
    </w:p>
    <w:p w14:paraId="6CBF4549" w14:textId="77777777" w:rsidR="004E1F25" w:rsidRPr="004E1F25" w:rsidRDefault="004E1F25" w:rsidP="004E1F25">
      <w:pPr>
        <w:spacing w:after="0"/>
        <w:rPr>
          <w:rFonts w:eastAsia="Times New Roman"/>
          <w:lang w:eastAsia="en-GB"/>
        </w:rPr>
      </w:pPr>
    </w:p>
    <w:p w14:paraId="00D20373" w14:textId="77777777" w:rsidR="004E1F25" w:rsidRPr="007874BC" w:rsidRDefault="004E1F25" w:rsidP="004E1F25">
      <w:pPr>
        <w:spacing w:after="0"/>
        <w:jc w:val="center"/>
        <w:rPr>
          <w:rFonts w:eastAsia="Times New Roman"/>
          <w:lang w:eastAsia="en-GB"/>
        </w:rPr>
      </w:pPr>
      <w:r w:rsidRPr="007874BC">
        <w:rPr>
          <w:rFonts w:eastAsia="Times New Roman"/>
          <w:color w:val="000000"/>
          <w:lang w:eastAsia="en-GB"/>
        </w:rPr>
        <w:t>F</w:t>
      </w:r>
      <w:r w:rsidRPr="007874BC">
        <w:rPr>
          <w:rFonts w:eastAsia="Times New Roman"/>
          <w:i/>
          <w:iCs/>
          <w:color w:val="000000"/>
          <w:lang w:eastAsia="en-GB"/>
        </w:rPr>
        <w:t xml:space="preserve">     Obiter Dicta</w:t>
      </w:r>
    </w:p>
    <w:p w14:paraId="13DB04E8" w14:textId="77777777" w:rsidR="004E1F25" w:rsidRDefault="004E1F25" w:rsidP="004E1F25">
      <w:pPr>
        <w:spacing w:after="0"/>
        <w:rPr>
          <w:rFonts w:eastAsia="Times New Roman"/>
          <w:lang w:eastAsia="en-GB"/>
        </w:rPr>
      </w:pPr>
      <w:r w:rsidRPr="004E1F25">
        <w:rPr>
          <w:rFonts w:eastAsia="Times New Roman"/>
          <w:color w:val="000000"/>
          <w:lang w:eastAsia="en-GB"/>
        </w:rPr>
        <w:t>The Court also emphasised that the assessment of psychiatric injury requires consideration of the claimant’s retained functional capacity, including their ability to work and perform daily activities</w:t>
      </w:r>
      <w:r w:rsidRPr="004E1F25">
        <w:rPr>
          <w:rFonts w:eastAsia="Times New Roman"/>
          <w:color w:val="000000"/>
          <w:vertAlign w:val="superscript"/>
          <w:lang w:eastAsia="en-GB"/>
        </w:rPr>
        <w:footnoteReference w:id="15"/>
      </w:r>
      <w:r w:rsidRPr="004E1F25">
        <w:rPr>
          <w:rFonts w:eastAsia="Times New Roman"/>
          <w:color w:val="000000"/>
          <w:lang w:eastAsia="en-GB"/>
        </w:rPr>
        <w:t>. These observations highlight that the existence of symptoms alone is insufficient, and that the overall impact of the injury must be evaluated in determining whether it is ‘severe’.</w:t>
      </w:r>
      <w:r w:rsidRPr="004E1F25">
        <w:rPr>
          <w:rFonts w:eastAsia="Times New Roman"/>
          <w:lang w:eastAsia="en-GB"/>
        </w:rPr>
        <w:br/>
      </w:r>
    </w:p>
    <w:p w14:paraId="737D00BC" w14:textId="68AB8864" w:rsidR="000C1C2C" w:rsidRPr="000C1C2C" w:rsidRDefault="000C1C2C" w:rsidP="000C1C2C">
      <w:pPr>
        <w:jc w:val="center"/>
        <w:outlineLvl w:val="0"/>
        <w:rPr>
          <w:b/>
          <w:bCs/>
          <w:color w:val="000000" w:themeColor="text1"/>
          <w:sz w:val="28"/>
          <w:szCs w:val="28"/>
        </w:rPr>
      </w:pPr>
      <w:r w:rsidRPr="000C1C2C">
        <w:rPr>
          <w:b/>
          <w:bCs/>
          <w:color w:val="000000" w:themeColor="text1"/>
          <w:sz w:val="28"/>
          <w:szCs w:val="28"/>
        </w:rPr>
        <w:t>I</w:t>
      </w:r>
      <w:r>
        <w:rPr>
          <w:b/>
          <w:bCs/>
          <w:color w:val="000000" w:themeColor="text1"/>
          <w:sz w:val="28"/>
          <w:szCs w:val="28"/>
        </w:rPr>
        <w:t>II COMMENTARY ON CASE SIGNIFICANCE</w:t>
      </w:r>
    </w:p>
    <w:p w14:paraId="6B4FE7D0" w14:textId="77777777" w:rsidR="000C1C2C" w:rsidRPr="004E1F25" w:rsidRDefault="000C1C2C" w:rsidP="004E1F25">
      <w:pPr>
        <w:spacing w:after="0"/>
        <w:rPr>
          <w:rFonts w:eastAsia="Times New Roman"/>
          <w:lang w:eastAsia="en-GB"/>
        </w:rPr>
      </w:pPr>
    </w:p>
    <w:p w14:paraId="4EF60C61" w14:textId="77777777" w:rsidR="004E1F25" w:rsidRPr="004E1F25" w:rsidRDefault="004E1F25" w:rsidP="004E1F25">
      <w:pPr>
        <w:spacing w:after="0"/>
        <w:rPr>
          <w:rFonts w:eastAsia="Times New Roman"/>
          <w:lang w:eastAsia="en-GB"/>
        </w:rPr>
      </w:pPr>
      <w:r w:rsidRPr="004E1F25">
        <w:rPr>
          <w:rFonts w:eastAsia="Times New Roman"/>
          <w:color w:val="000000"/>
          <w:sz w:val="22"/>
          <w:szCs w:val="22"/>
          <w:lang w:eastAsia="en-GB"/>
        </w:rPr>
        <w:lastRenderedPageBreak/>
        <w:t xml:space="preserve">The decision in </w:t>
      </w:r>
      <w:r w:rsidRPr="004E1F25">
        <w:rPr>
          <w:rFonts w:eastAsia="Times New Roman"/>
          <w:i/>
          <w:iCs/>
          <w:color w:val="000000"/>
          <w:sz w:val="22"/>
          <w:szCs w:val="22"/>
          <w:lang w:eastAsia="en-GB"/>
        </w:rPr>
        <w:t xml:space="preserve">Simpson v Transport Accident Commission </w:t>
      </w:r>
      <w:r w:rsidRPr="004E1F25">
        <w:rPr>
          <w:rFonts w:eastAsia="Times New Roman"/>
          <w:color w:val="000000"/>
          <w:sz w:val="22"/>
          <w:szCs w:val="22"/>
          <w:lang w:eastAsia="en-GB"/>
        </w:rPr>
        <w:t>reinforces the high threshold required for psychiatric injuries to qualify as ‘serious’ under a statutory compensation scheme. Claimants must now demonstrate that injuries sustained from transport accidents are ‘very considerable’ when assessed across a range of comparable cases. The Court places emphasis on the functionality of the applicant rather than basing the test on symptoms alone. This reflects the limits of compensatory justice within a statutory framework. More broadly, the case demonstrates that recovery is contingent not on the existence of injury, but on whether the injury meets strict statutory thresholds.</w:t>
      </w:r>
    </w:p>
    <w:p w14:paraId="54B204E1" w14:textId="439C9867" w:rsidR="000F108B" w:rsidRDefault="000F108B" w:rsidP="00235853">
      <w:r>
        <w:br w:type="page"/>
      </w:r>
    </w:p>
    <w:p w14:paraId="698F75F1" w14:textId="1ED3DC73" w:rsidR="000F108B" w:rsidRDefault="001C6A9D" w:rsidP="00235853">
      <w:r>
        <w:rPr>
          <w:noProof/>
        </w:rPr>
        <w:lastRenderedPageBreak/>
        <mc:AlternateContent>
          <mc:Choice Requires="wpg">
            <w:drawing>
              <wp:anchor distT="0" distB="0" distL="114300" distR="114300" simplePos="0" relativeHeight="251681792" behindDoc="0" locked="0" layoutInCell="1" allowOverlap="1" wp14:anchorId="121B674F" wp14:editId="1C551674">
                <wp:simplePos x="0" y="0"/>
                <wp:positionH relativeFrom="column">
                  <wp:posOffset>-685800</wp:posOffset>
                </wp:positionH>
                <wp:positionV relativeFrom="paragraph">
                  <wp:posOffset>1902460</wp:posOffset>
                </wp:positionV>
                <wp:extent cx="7546340" cy="1084580"/>
                <wp:effectExtent l="0" t="12700" r="0" b="7620"/>
                <wp:wrapNone/>
                <wp:docPr id="168221322" name="Group 31"/>
                <wp:cNvGraphicFramePr/>
                <a:graphic xmlns:a="http://schemas.openxmlformats.org/drawingml/2006/main">
                  <a:graphicData uri="http://schemas.microsoft.com/office/word/2010/wordprocessingGroup">
                    <wpg:wgp>
                      <wpg:cNvGrpSpPr/>
                      <wpg:grpSpPr>
                        <a:xfrm>
                          <a:off x="0" y="0"/>
                          <a:ext cx="7546340" cy="1084580"/>
                          <a:chOff x="35306" y="1597660"/>
                          <a:chExt cx="7546340" cy="1085088"/>
                        </a:xfrm>
                      </wpg:grpSpPr>
                      <wps:wsp>
                        <wps:cNvPr id="1493187613" name="Text Box 27"/>
                        <wps:cNvSpPr txBox="1"/>
                        <wps:spPr>
                          <a:xfrm>
                            <a:off x="35306" y="1914008"/>
                            <a:ext cx="7546340" cy="488193"/>
                          </a:xfrm>
                          <a:prstGeom prst="rect">
                            <a:avLst/>
                          </a:prstGeom>
                          <a:noFill/>
                          <a:ln w="6350">
                            <a:noFill/>
                          </a:ln>
                        </wps:spPr>
                        <wps:txbx>
                          <w:txbxContent>
                            <w:p w14:paraId="2AEBA7A0" w14:textId="4F439EFE" w:rsidR="009470FA" w:rsidRPr="001C6A9D" w:rsidRDefault="009470FA" w:rsidP="001C6A9D">
                              <w:pPr>
                                <w:pStyle w:val="Title"/>
                                <w:rPr>
                                  <w:rStyle w:val="Strong"/>
                                </w:rPr>
                              </w:pPr>
                              <w:r w:rsidRPr="001C6A9D">
                                <w:rPr>
                                  <w:rStyle w:val="Strong"/>
                                </w:rPr>
                                <w:t>LAW STUDENT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6141420" name="Straight Connector 27"/>
                        <wps:cNvCnPr/>
                        <wps:spPr>
                          <a:xfrm>
                            <a:off x="256032" y="1597660"/>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89456829" name="Straight Connector 27"/>
                        <wps:cNvCnPr/>
                        <wps:spPr>
                          <a:xfrm>
                            <a:off x="256032" y="2682748"/>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1B674F" id="_x0000_s1034" style="position:absolute;margin-left:-54pt;margin-top:149.8pt;width:594.2pt;height:85.4pt;z-index:251681792;mso-width-relative:margin;mso-height-relative:margin" coordorigin="353,15976" coordsize="75463,10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">
                <v:shape id="_x0000_s1035" type="#_x0000_t202" style="position:absolute;left:353;top:19140;width:75463;height:4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" filled="f" stroked="f" strokeweight=".5pt">
                  <v:textbox>
                    <w:txbxContent>
                      <w:p w14:paraId="2AEBA7A0" w14:textId="4F439EFE" w:rsidR="009470FA" w:rsidRPr="001C6A9D" w:rsidRDefault="009470FA" w:rsidP="001C6A9D">
                        <w:pPr>
                          <w:pStyle w:val="Title"/>
                          <w:rPr>
                            <w:rStyle w:val="Strong"/>
                          </w:rPr>
                        </w:pPr>
                        <w:r w:rsidRPr="001C6A9D">
                          <w:rPr>
                            <w:rStyle w:val="Strong"/>
                          </w:rPr>
                          <w:t>LAW STUDENT REVIEW</w:t>
                        </w:r>
                      </w:p>
                    </w:txbxContent>
                  </v:textbox>
                </v:shape>
                <v:line id="Straight Connector 27" o:spid="_x0000_s1036" style="position:absolute;visibility:visible;mso-wrap-style:square" from="2560,15976" to="73634,15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" strokecolor="white [3212]" strokeweight="2pt">
                  <v:stroke joinstyle="miter"/>
                </v:line>
                <v:line id="Straight Connector 27" o:spid="_x0000_s1037" style="position:absolute;visibility:visible;mso-wrap-style:square" from="2560,26827" to="73634,2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" strokecolor="white [3212]" strokeweight="2pt">
                  <v:stroke joinstyle="miter"/>
                </v:line>
              </v:group>
            </w:pict>
          </mc:Fallback>
        </mc:AlternateContent>
      </w:r>
      <w:r w:rsidR="0095632F">
        <w:rPr>
          <w:noProof/>
        </w:rPr>
        <mc:AlternateContent>
          <mc:Choice Requires="wps">
            <w:drawing>
              <wp:anchor distT="0" distB="0" distL="114300" distR="114300" simplePos="0" relativeHeight="251683840" behindDoc="0" locked="0" layoutInCell="1" allowOverlap="1" wp14:anchorId="2BE59E55" wp14:editId="40BCEAFD">
                <wp:simplePos x="0" y="0"/>
                <wp:positionH relativeFrom="column">
                  <wp:posOffset>-161544</wp:posOffset>
                </wp:positionH>
                <wp:positionV relativeFrom="paragraph">
                  <wp:posOffset>3340608</wp:posOffset>
                </wp:positionV>
                <wp:extent cx="6449568" cy="560832"/>
                <wp:effectExtent l="0" t="0" r="0" b="0"/>
                <wp:wrapNone/>
                <wp:docPr id="1144751722" name="Text Box 27"/>
                <wp:cNvGraphicFramePr/>
                <a:graphic xmlns:a="http://schemas.openxmlformats.org/drawingml/2006/main">
                  <a:graphicData uri="http://schemas.microsoft.com/office/word/2010/wordprocessingShape">
                    <wps:wsp>
                      <wps:cNvSpPr txBox="1"/>
                      <wps:spPr>
                        <a:xfrm>
                          <a:off x="0" y="0"/>
                          <a:ext cx="6449568" cy="560832"/>
                        </a:xfrm>
                        <a:prstGeom prst="rect">
                          <a:avLst/>
                        </a:prstGeom>
                        <a:noFill/>
                        <a:ln w="6350">
                          <a:noFill/>
                        </a:ln>
                      </wps:spPr>
                      <wps:txbx>
                        <w:txbxContent>
                          <w:p w14:paraId="2D52EFFE" w14:textId="2A439BF2" w:rsidR="0095632F" w:rsidRPr="00E23ACE" w:rsidRDefault="0095632F" w:rsidP="00235853">
                            <w:pPr>
                              <w:pStyle w:val="Subtitle"/>
                              <w:rPr>
                                <w:rStyle w:val="SubtleEmphasis"/>
                              </w:rPr>
                            </w:pPr>
                            <w:r w:rsidRPr="00E23ACE">
                              <w:rPr>
                                <w:rStyle w:val="SubtleEmphasis"/>
                              </w:rPr>
                              <w:t xml:space="preserve">Disclaimer: The views expressed herein are solely those of the author and do not necessarily reflect </w:t>
                            </w:r>
                            <w:r w:rsidR="00E0232C" w:rsidRPr="00E23ACE">
                              <w:rPr>
                                <w:rStyle w:val="SubtleEmphasis"/>
                              </w:rPr>
                              <w:t>other authors or the Law Student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9E55" id="Text Box 27" o:spid="_x0000_s1038" type="#_x0000_t202" style="position:absolute;margin-left:-12.7pt;margin-top:263.05pt;width:507.85pt;height:4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" filled="f" stroked="f" strokeweight=".5pt">
                <v:textbox>
                  <w:txbxContent>
                    <w:p w14:paraId="2D52EFFE" w14:textId="2A439BF2" w:rsidR="0095632F" w:rsidRPr="00E23ACE" w:rsidRDefault="0095632F" w:rsidP="00235853">
                      <w:pPr>
                        <w:pStyle w:val="Subtitle"/>
                        <w:rPr>
                          <w:rStyle w:val="SubtleEmphasis"/>
                        </w:rPr>
                      </w:pPr>
                      <w:r w:rsidRPr="00E23ACE">
                        <w:rPr>
                          <w:rStyle w:val="SubtleEmphasis"/>
                        </w:rPr>
                        <w:t xml:space="preserve">Disclaimer: The views expressed herein are solely those of the author and do not necessarily reflect </w:t>
                      </w:r>
                      <w:r w:rsidR="00E0232C" w:rsidRPr="00E23ACE">
                        <w:rPr>
                          <w:rStyle w:val="SubtleEmphasis"/>
                        </w:rPr>
                        <w:t>other authors or the Law Student Review</w:t>
                      </w:r>
                    </w:p>
                  </w:txbxContent>
                </v:textbox>
              </v:shape>
            </w:pict>
          </mc:Fallback>
        </mc:AlternateContent>
      </w:r>
      <w:r w:rsidR="008A391C">
        <w:rPr>
          <w:noProof/>
        </w:rPr>
        <mc:AlternateContent>
          <mc:Choice Requires="wps">
            <w:drawing>
              <wp:anchor distT="0" distB="0" distL="114300" distR="114300" simplePos="0" relativeHeight="251646972" behindDoc="0" locked="0" layoutInCell="1" allowOverlap="1" wp14:anchorId="2CEEBA33" wp14:editId="685847FB">
                <wp:simplePos x="0" y="0"/>
                <wp:positionH relativeFrom="column">
                  <wp:posOffset>-685165</wp:posOffset>
                </wp:positionH>
                <wp:positionV relativeFrom="paragraph">
                  <wp:posOffset>-926465</wp:posOffset>
                </wp:positionV>
                <wp:extent cx="7545720" cy="10668000"/>
                <wp:effectExtent l="0" t="0" r="10795" b="12700"/>
                <wp:wrapNone/>
                <wp:docPr id="1958028090" name="Rectangle 32"/>
                <wp:cNvGraphicFramePr/>
                <a:graphic xmlns:a="http://schemas.openxmlformats.org/drawingml/2006/main">
                  <a:graphicData uri="http://schemas.microsoft.com/office/word/2010/wordprocessingShape">
                    <wps:wsp>
                      <wps:cNvSpPr/>
                      <wps:spPr>
                        <a:xfrm>
                          <a:off x="0" y="0"/>
                          <a:ext cx="7545720" cy="106680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01373" id="Rectangle 32" o:spid="_x0000_s1026" style="position:absolute;margin-left:-53.95pt;margin-top:-72.95pt;width:594.15pt;height:840pt;z-index:2516469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" fillcolor="#0e2841 [3215]" strokecolor="#030e13 [484]" strokeweight="1pt"/>
            </w:pict>
          </mc:Fallback>
        </mc:AlternateContent>
      </w:r>
      <w:r w:rsidR="00EF6D7D">
        <w:rPr>
          <w:noProof/>
        </w:rPr>
        <mc:AlternateContent>
          <mc:Choice Requires="wps">
            <w:drawing>
              <wp:anchor distT="0" distB="0" distL="114300" distR="114300" simplePos="0" relativeHeight="251662336" behindDoc="0" locked="0" layoutInCell="1" allowOverlap="1" wp14:anchorId="0C3EA4BA" wp14:editId="6ACC2562">
                <wp:simplePos x="0" y="0"/>
                <wp:positionH relativeFrom="column">
                  <wp:posOffset>-685800</wp:posOffset>
                </wp:positionH>
                <wp:positionV relativeFrom="paragraph">
                  <wp:posOffset>-926592</wp:posOffset>
                </wp:positionV>
                <wp:extent cx="6668770" cy="0"/>
                <wp:effectExtent l="0" t="0" r="11430" b="12700"/>
                <wp:wrapNone/>
                <wp:docPr id="1913028425" name="Straight Connector 22"/>
                <wp:cNvGraphicFramePr/>
                <a:graphic xmlns:a="http://schemas.openxmlformats.org/drawingml/2006/main">
                  <a:graphicData uri="http://schemas.microsoft.com/office/word/2010/wordprocessingShape">
                    <wps:wsp>
                      <wps:cNvCnPr/>
                      <wps:spPr>
                        <a:xfrm>
                          <a:off x="0" y="0"/>
                          <a:ext cx="666877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2638F" id="Straight Connector 2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72.95pt" to="471.1pt,-7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" strokecolor="white [3212]" strokeweight=".5pt">
                <v:stroke joinstyle="miter"/>
              </v:line>
            </w:pict>
          </mc:Fallback>
        </mc:AlternateContent>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0B35D6A" w14:textId="77777777" w:rsidR="00AD1C99" w:rsidRDefault="00AD1C99" w:rsidP="00235853">
      <w:r>
        <w:separator/>
      </w:r>
    </w:p>
  </w:endnote>
  <w:endnote w:type="continuationSeparator" w:id="0">
    <w:p w14:paraId="77D4EC20" w14:textId="77777777" w:rsidR="00AD1C99" w:rsidRDefault="00AD1C99" w:rsidP="00235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23585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235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1B0F5DF" w14:textId="32A2F460" w:rsidR="00334ADB" w:rsidRDefault="00000000" w:rsidP="00235853">
    <w:pPr>
      <w:pStyle w:val="Footer"/>
      <w:jc w:val="right"/>
    </w:pPr>
    <w:sdt>
      <w:sdtPr>
        <w:rPr>
          <w:rStyle w:val="PageNumber"/>
        </w:rPr>
        <w:id w:val="1063142190"/>
        <w:docPartObj>
          <w:docPartGallery w:val="Page Numbers (Bottom of Page)"/>
          <w:docPartUnique/>
        </w:docPartObj>
      </w:sdtPr>
      <w:sdtContent>
        <w:r w:rsidR="00334ADB">
          <w:rPr>
            <w:rStyle w:val="PageNumber"/>
          </w:rPr>
          <w:fldChar w:fldCharType="begin"/>
        </w:r>
        <w:r w:rsidR="00334ADB">
          <w:rPr>
            <w:rStyle w:val="PageNumber"/>
          </w:rPr>
          <w:instrText xml:space="preserve"> PAGE </w:instrText>
        </w:r>
        <w:r w:rsidR="00334ADB">
          <w:rPr>
            <w:rStyle w:val="PageNumber"/>
          </w:rPr>
          <w:fldChar w:fldCharType="separate"/>
        </w:r>
        <w:r w:rsidR="00334ADB">
          <w:rPr>
            <w:rStyle w:val="PageNumber"/>
            <w:noProof/>
          </w:rPr>
          <w:t>3</w:t>
        </w:r>
        <w:r w:rsidR="00334ADB">
          <w:rPr>
            <w:rStyle w:val="PageNumber"/>
          </w:rPr>
          <w:fldChar w:fldCharType="end"/>
        </w:r>
      </w:sdtContent>
    </w:sdt>
    <w:r w:rsidR="00235853">
      <w:rPr>
        <w:rStyle w:val="PageNumber"/>
      </w:rPr>
      <w:t xml:space="preserve"> </w:t>
    </w:r>
    <w:r w:rsidR="00334ADB">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40C2A64" w14:textId="77777777" w:rsidR="00AD1C99" w:rsidRDefault="00AD1C99" w:rsidP="00235853">
      <w:r>
        <w:separator/>
      </w:r>
    </w:p>
  </w:footnote>
  <w:footnote w:type="continuationSeparator" w:id="0">
    <w:p w14:paraId="52CB2F14" w14:textId="77777777" w:rsidR="00AD1C99" w:rsidRDefault="00AD1C99" w:rsidP="00235853">
      <w:r>
        <w:continuationSeparator/>
      </w:r>
    </w:p>
  </w:footnote>
  <w:footnote w:id="1">
    <w:p w14:paraId="5045BB68"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w:t>
      </w:r>
      <w:r w:rsidRPr="00C35970">
        <w:rPr>
          <w:rFonts w:ascii="Times New Roman" w:hAnsi="Times New Roman" w:cs="Times New Roman"/>
          <w:i/>
          <w:iCs/>
        </w:rPr>
        <w:t>Simpson v Transport Accident Commission</w:t>
      </w:r>
      <w:r w:rsidRPr="00C35970">
        <w:rPr>
          <w:rFonts w:ascii="Times New Roman" w:hAnsi="Times New Roman" w:cs="Times New Roman"/>
        </w:rPr>
        <w:t xml:space="preserve"> [2025] VSCA 241, [57].</w:t>
      </w:r>
    </w:p>
  </w:footnote>
  <w:footnote w:id="2">
    <w:p w14:paraId="1E335A47" w14:textId="46D8F76E"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[1].</w:t>
      </w:r>
      <w:r w:rsidR="00D84B65" w:rsidRPr="00C35970">
        <w:rPr>
          <w:rFonts w:ascii="Times New Roman" w:hAnsi="Times New Roman" w:cs="Times New Roman"/>
        </w:rPr>
        <w:t xml:space="preserve"> </w:t>
      </w:r>
    </w:p>
  </w:footnote>
  <w:footnote w:id="3">
    <w:p w14:paraId="331B12F0"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[2].</w:t>
      </w:r>
    </w:p>
  </w:footnote>
  <w:footnote w:id="4">
    <w:p w14:paraId="30B23D0E"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[45].</w:t>
      </w:r>
    </w:p>
  </w:footnote>
  <w:footnote w:id="5">
    <w:p w14:paraId="40DD20F2"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[97].</w:t>
      </w:r>
    </w:p>
  </w:footnote>
  <w:footnote w:id="6">
    <w:p w14:paraId="7E45BC1A"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[91]-[95].</w:t>
      </w:r>
    </w:p>
  </w:footnote>
  <w:footnote w:id="7">
    <w:p w14:paraId="544E29A1"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[45].</w:t>
      </w:r>
    </w:p>
  </w:footnote>
  <w:footnote w:id="8">
    <w:p w14:paraId="559FECD0"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[48].</w:t>
      </w:r>
    </w:p>
  </w:footnote>
  <w:footnote w:id="9">
    <w:p w14:paraId="734CD3E8"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[51].</w:t>
      </w:r>
    </w:p>
  </w:footnote>
  <w:footnote w:id="10">
    <w:p w14:paraId="656A5E25"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[56].</w:t>
      </w:r>
    </w:p>
  </w:footnote>
  <w:footnote w:id="11">
    <w:p w14:paraId="3CAA9CD0"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[57].</w:t>
      </w:r>
    </w:p>
  </w:footnote>
  <w:footnote w:id="12">
    <w:p w14:paraId="784EBC90"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[41].</w:t>
      </w:r>
    </w:p>
  </w:footnote>
  <w:footnote w:id="13">
    <w:p w14:paraId="7FA4DAD1"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[97].</w:t>
      </w:r>
    </w:p>
  </w:footnote>
  <w:footnote w:id="14">
    <w:p w14:paraId="726B8387"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[44].</w:t>
      </w:r>
    </w:p>
  </w:footnote>
  <w:footnote w:id="15">
    <w:p w14:paraId="21A1B8C6" w14:textId="77777777" w:rsidR="004E1F25" w:rsidRPr="00C35970" w:rsidRDefault="004E1F25">
      <w:pPr>
        <w:pStyle w:val="FootnoteText"/>
        <w:rPr>
          <w:rFonts w:ascii="Times New Roman" w:hAnsi="Times New Roman" w:cs="Times New Roman"/>
        </w:rPr>
      </w:pPr>
      <w:r w:rsidRPr="00C35970">
        <w:rPr>
          <w:rStyle w:val="FootnoteReference"/>
          <w:rFonts w:ascii="Times New Roman" w:hAnsi="Times New Roman" w:cs="Times New Roman"/>
        </w:rPr>
        <w:footnoteRef/>
      </w:r>
      <w:r w:rsidRPr="00C35970">
        <w:rPr>
          <w:rFonts w:ascii="Times New Roman" w:hAnsi="Times New Roman" w:cs="Times New Roman"/>
        </w:rPr>
        <w:t xml:space="preserve"> Ibid [41].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A0C0E2C"/>
    <w:multiLevelType w:val="hybridMultilevel"/>
    <w:tmpl w:val="A0F2FCF6"/>
    <w:lvl w:ilvl="0" w:tplc="232E0528">
      <w:start w:val="3"/>
      <w:numFmt w:val="upperRoman"/>
      <w:lvlText w:val="%1."/>
      <w:lvlJc w:val="right"/>
      <w:pPr>
        <w:tabs>
          <w:tab w:val="num" w:pos="720"/>
        </w:tabs>
        <w:ind w:left="720" w:hanging="360"/>
      </w:pPr>
    </w:lvl>
    <w:lvl w:ilvl="1" w:tplc="1AF20A1A" w:tentative="1">
      <w:start w:val="1"/>
      <w:numFmt w:val="decimal"/>
      <w:lvlText w:val="%2."/>
      <w:lvlJc w:val="left"/>
      <w:pPr>
        <w:tabs>
          <w:tab w:val="num" w:pos="1440"/>
        </w:tabs>
        <w:ind w:left="1440" w:hanging="360"/>
      </w:pPr>
    </w:lvl>
    <w:lvl w:ilvl="2" w:tplc="E76A5FE4" w:tentative="1">
      <w:start w:val="1"/>
      <w:numFmt w:val="decimal"/>
      <w:lvlText w:val="%3."/>
      <w:lvlJc w:val="left"/>
      <w:pPr>
        <w:tabs>
          <w:tab w:val="num" w:pos="2160"/>
        </w:tabs>
        <w:ind w:left="2160" w:hanging="360"/>
      </w:pPr>
    </w:lvl>
    <w:lvl w:ilvl="3" w:tplc="04C432EC" w:tentative="1">
      <w:start w:val="1"/>
      <w:numFmt w:val="decimal"/>
      <w:lvlText w:val="%4."/>
      <w:lvlJc w:val="left"/>
      <w:pPr>
        <w:tabs>
          <w:tab w:val="num" w:pos="2880"/>
        </w:tabs>
        <w:ind w:left="2880" w:hanging="360"/>
      </w:pPr>
    </w:lvl>
    <w:lvl w:ilvl="4" w:tplc="E96EADC2" w:tentative="1">
      <w:start w:val="1"/>
      <w:numFmt w:val="decimal"/>
      <w:lvlText w:val="%5."/>
      <w:lvlJc w:val="left"/>
      <w:pPr>
        <w:tabs>
          <w:tab w:val="num" w:pos="3600"/>
        </w:tabs>
        <w:ind w:left="3600" w:hanging="360"/>
      </w:pPr>
    </w:lvl>
    <w:lvl w:ilvl="5" w:tplc="572A7F24" w:tentative="1">
      <w:start w:val="1"/>
      <w:numFmt w:val="decimal"/>
      <w:lvlText w:val="%6."/>
      <w:lvlJc w:val="left"/>
      <w:pPr>
        <w:tabs>
          <w:tab w:val="num" w:pos="4320"/>
        </w:tabs>
        <w:ind w:left="4320" w:hanging="360"/>
      </w:pPr>
    </w:lvl>
    <w:lvl w:ilvl="6" w:tplc="E7821506" w:tentative="1">
      <w:start w:val="1"/>
      <w:numFmt w:val="decimal"/>
      <w:lvlText w:val="%7."/>
      <w:lvlJc w:val="left"/>
      <w:pPr>
        <w:tabs>
          <w:tab w:val="num" w:pos="5040"/>
        </w:tabs>
        <w:ind w:left="5040" w:hanging="360"/>
      </w:pPr>
    </w:lvl>
    <w:lvl w:ilvl="7" w:tplc="00FC11AC" w:tentative="1">
      <w:start w:val="1"/>
      <w:numFmt w:val="decimal"/>
      <w:lvlText w:val="%8."/>
      <w:lvlJc w:val="left"/>
      <w:pPr>
        <w:tabs>
          <w:tab w:val="num" w:pos="5760"/>
        </w:tabs>
        <w:ind w:left="5760" w:hanging="360"/>
      </w:pPr>
    </w:lvl>
    <w:lvl w:ilvl="8" w:tplc="6A9079B8" w:tentative="1">
      <w:start w:val="1"/>
      <w:numFmt w:val="decimal"/>
      <w:lvlText w:val="%9."/>
      <w:lvlJc w:val="left"/>
      <w:pPr>
        <w:tabs>
          <w:tab w:val="num" w:pos="6480"/>
        </w:tabs>
        <w:ind w:left="6480" w:hanging="360"/>
      </w:pPr>
    </w:lvl>
  </w:abstractNum>
  <w:abstractNum w:abstractNumId="1" w15:restartNumberingAfterBreak="0">
    <w:nsid w:val="43985FF8"/>
    <w:multiLevelType w:val="multilevel"/>
    <w:tmpl w:val="F4E24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FD4610"/>
    <w:multiLevelType w:val="hybridMultilevel"/>
    <w:tmpl w:val="36F6F45E"/>
    <w:lvl w:ilvl="0" w:tplc="6658A4A8">
      <w:start w:val="2"/>
      <w:numFmt w:val="upperRoman"/>
      <w:lvlText w:val="%1."/>
      <w:lvlJc w:val="right"/>
      <w:pPr>
        <w:tabs>
          <w:tab w:val="num" w:pos="720"/>
        </w:tabs>
        <w:ind w:left="720" w:hanging="360"/>
      </w:pPr>
    </w:lvl>
    <w:lvl w:ilvl="1" w:tplc="3A4036AA" w:tentative="1">
      <w:start w:val="1"/>
      <w:numFmt w:val="decimal"/>
      <w:lvlText w:val="%2."/>
      <w:lvlJc w:val="left"/>
      <w:pPr>
        <w:tabs>
          <w:tab w:val="num" w:pos="1440"/>
        </w:tabs>
        <w:ind w:left="1440" w:hanging="360"/>
      </w:pPr>
    </w:lvl>
    <w:lvl w:ilvl="2" w:tplc="60E00468" w:tentative="1">
      <w:start w:val="1"/>
      <w:numFmt w:val="decimal"/>
      <w:lvlText w:val="%3."/>
      <w:lvlJc w:val="left"/>
      <w:pPr>
        <w:tabs>
          <w:tab w:val="num" w:pos="2160"/>
        </w:tabs>
        <w:ind w:left="2160" w:hanging="360"/>
      </w:pPr>
    </w:lvl>
    <w:lvl w:ilvl="3" w:tplc="7F2655BA" w:tentative="1">
      <w:start w:val="1"/>
      <w:numFmt w:val="decimal"/>
      <w:lvlText w:val="%4."/>
      <w:lvlJc w:val="left"/>
      <w:pPr>
        <w:tabs>
          <w:tab w:val="num" w:pos="2880"/>
        </w:tabs>
        <w:ind w:left="2880" w:hanging="360"/>
      </w:pPr>
    </w:lvl>
    <w:lvl w:ilvl="4" w:tplc="3F24A1E0" w:tentative="1">
      <w:start w:val="1"/>
      <w:numFmt w:val="decimal"/>
      <w:lvlText w:val="%5."/>
      <w:lvlJc w:val="left"/>
      <w:pPr>
        <w:tabs>
          <w:tab w:val="num" w:pos="3600"/>
        </w:tabs>
        <w:ind w:left="3600" w:hanging="360"/>
      </w:pPr>
    </w:lvl>
    <w:lvl w:ilvl="5" w:tplc="8F728998" w:tentative="1">
      <w:start w:val="1"/>
      <w:numFmt w:val="decimal"/>
      <w:lvlText w:val="%6."/>
      <w:lvlJc w:val="left"/>
      <w:pPr>
        <w:tabs>
          <w:tab w:val="num" w:pos="4320"/>
        </w:tabs>
        <w:ind w:left="4320" w:hanging="360"/>
      </w:pPr>
    </w:lvl>
    <w:lvl w:ilvl="6" w:tplc="3724E656" w:tentative="1">
      <w:start w:val="1"/>
      <w:numFmt w:val="decimal"/>
      <w:lvlText w:val="%7."/>
      <w:lvlJc w:val="left"/>
      <w:pPr>
        <w:tabs>
          <w:tab w:val="num" w:pos="5040"/>
        </w:tabs>
        <w:ind w:left="5040" w:hanging="360"/>
      </w:pPr>
    </w:lvl>
    <w:lvl w:ilvl="7" w:tplc="F42E48B2" w:tentative="1">
      <w:start w:val="1"/>
      <w:numFmt w:val="decimal"/>
      <w:lvlText w:val="%8."/>
      <w:lvlJc w:val="left"/>
      <w:pPr>
        <w:tabs>
          <w:tab w:val="num" w:pos="5760"/>
        </w:tabs>
        <w:ind w:left="5760" w:hanging="360"/>
      </w:pPr>
    </w:lvl>
    <w:lvl w:ilvl="8" w:tplc="5EF43018" w:tentative="1">
      <w:start w:val="1"/>
      <w:numFmt w:val="decimal"/>
      <w:lvlText w:val="%9."/>
      <w:lvlJc w:val="left"/>
      <w:pPr>
        <w:tabs>
          <w:tab w:val="num" w:pos="6480"/>
        </w:tabs>
        <w:ind w:left="6480" w:hanging="360"/>
      </w:pPr>
    </w:lvl>
  </w:abstractNum>
  <w:num w:numId="1" w16cid:durableId="53744261">
    <w:abstractNumId w:val="1"/>
    <w:lvlOverride w:ilvl="0">
      <w:lvl w:ilvl="0">
        <w:numFmt w:val="upperRoman"/>
        <w:lvlText w:val="%1."/>
        <w:lvlJc w:val="right"/>
      </w:lvl>
    </w:lvlOverride>
  </w:num>
  <w:num w:numId="2" w16cid:durableId="862985185">
    <w:abstractNumId w:val="2"/>
  </w:num>
  <w:num w:numId="3" w16cid:durableId="193798149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C1C2C"/>
    <w:rsid w:val="000D128E"/>
    <w:rsid w:val="000F108B"/>
    <w:rsid w:val="00111C95"/>
    <w:rsid w:val="00134090"/>
    <w:rsid w:val="00137E3E"/>
    <w:rsid w:val="00147DC9"/>
    <w:rsid w:val="00166E10"/>
    <w:rsid w:val="00175486"/>
    <w:rsid w:val="001A3BD0"/>
    <w:rsid w:val="001B7DFD"/>
    <w:rsid w:val="001C6A9D"/>
    <w:rsid w:val="001F059D"/>
    <w:rsid w:val="001F21E4"/>
    <w:rsid w:val="001F2B17"/>
    <w:rsid w:val="001F7F8C"/>
    <w:rsid w:val="0021596B"/>
    <w:rsid w:val="00220042"/>
    <w:rsid w:val="0023078B"/>
    <w:rsid w:val="00235853"/>
    <w:rsid w:val="00240E95"/>
    <w:rsid w:val="00262BED"/>
    <w:rsid w:val="0027444B"/>
    <w:rsid w:val="00285268"/>
    <w:rsid w:val="00294CA4"/>
    <w:rsid w:val="002D6AA4"/>
    <w:rsid w:val="002E103D"/>
    <w:rsid w:val="002F23C0"/>
    <w:rsid w:val="00300E0C"/>
    <w:rsid w:val="0032017D"/>
    <w:rsid w:val="00334ADB"/>
    <w:rsid w:val="00341B1E"/>
    <w:rsid w:val="00344A17"/>
    <w:rsid w:val="00356093"/>
    <w:rsid w:val="00394886"/>
    <w:rsid w:val="00397912"/>
    <w:rsid w:val="003A02E1"/>
    <w:rsid w:val="003A1CFB"/>
    <w:rsid w:val="003B7C76"/>
    <w:rsid w:val="003C2E5F"/>
    <w:rsid w:val="003E43B4"/>
    <w:rsid w:val="003E7BC4"/>
    <w:rsid w:val="00404131"/>
    <w:rsid w:val="00404DD3"/>
    <w:rsid w:val="00405FCE"/>
    <w:rsid w:val="004428B7"/>
    <w:rsid w:val="00454AE5"/>
    <w:rsid w:val="0046317F"/>
    <w:rsid w:val="00464656"/>
    <w:rsid w:val="0046610A"/>
    <w:rsid w:val="00480B5D"/>
    <w:rsid w:val="00482078"/>
    <w:rsid w:val="00483774"/>
    <w:rsid w:val="00483FDC"/>
    <w:rsid w:val="004B2C5A"/>
    <w:rsid w:val="004D2AC4"/>
    <w:rsid w:val="004D4240"/>
    <w:rsid w:val="004E1F25"/>
    <w:rsid w:val="004E3D64"/>
    <w:rsid w:val="004E66C5"/>
    <w:rsid w:val="004F4891"/>
    <w:rsid w:val="00531BB6"/>
    <w:rsid w:val="00553DD0"/>
    <w:rsid w:val="00564DFA"/>
    <w:rsid w:val="00571DCD"/>
    <w:rsid w:val="00580005"/>
    <w:rsid w:val="00580B86"/>
    <w:rsid w:val="0058507A"/>
    <w:rsid w:val="00596E11"/>
    <w:rsid w:val="005A2FB7"/>
    <w:rsid w:val="005A6F4D"/>
    <w:rsid w:val="005D092F"/>
    <w:rsid w:val="005E1FFE"/>
    <w:rsid w:val="00601F4E"/>
    <w:rsid w:val="00602F53"/>
    <w:rsid w:val="006059CA"/>
    <w:rsid w:val="00610E85"/>
    <w:rsid w:val="00613015"/>
    <w:rsid w:val="006137B4"/>
    <w:rsid w:val="00621706"/>
    <w:rsid w:val="00630EB4"/>
    <w:rsid w:val="00634D86"/>
    <w:rsid w:val="00671CA5"/>
    <w:rsid w:val="00691C4F"/>
    <w:rsid w:val="006B0791"/>
    <w:rsid w:val="006B576F"/>
    <w:rsid w:val="006B7BEF"/>
    <w:rsid w:val="006C0C11"/>
    <w:rsid w:val="006C458F"/>
    <w:rsid w:val="006F60E7"/>
    <w:rsid w:val="006F651C"/>
    <w:rsid w:val="00714231"/>
    <w:rsid w:val="00727A61"/>
    <w:rsid w:val="0076135F"/>
    <w:rsid w:val="0076785F"/>
    <w:rsid w:val="007769FF"/>
    <w:rsid w:val="007874BC"/>
    <w:rsid w:val="007969BD"/>
    <w:rsid w:val="007A4BF8"/>
    <w:rsid w:val="007B1D20"/>
    <w:rsid w:val="007B71B0"/>
    <w:rsid w:val="007C4F96"/>
    <w:rsid w:val="007D2217"/>
    <w:rsid w:val="007F17E8"/>
    <w:rsid w:val="00805941"/>
    <w:rsid w:val="00806120"/>
    <w:rsid w:val="0080654C"/>
    <w:rsid w:val="008132C3"/>
    <w:rsid w:val="008215DC"/>
    <w:rsid w:val="0083314C"/>
    <w:rsid w:val="00840943"/>
    <w:rsid w:val="00843BE6"/>
    <w:rsid w:val="0085433B"/>
    <w:rsid w:val="00893441"/>
    <w:rsid w:val="008A391C"/>
    <w:rsid w:val="008B0CF6"/>
    <w:rsid w:val="008B7194"/>
    <w:rsid w:val="008B7902"/>
    <w:rsid w:val="008F57CF"/>
    <w:rsid w:val="009035F2"/>
    <w:rsid w:val="009142C9"/>
    <w:rsid w:val="00924A66"/>
    <w:rsid w:val="00930211"/>
    <w:rsid w:val="0093046D"/>
    <w:rsid w:val="00944B71"/>
    <w:rsid w:val="009470FA"/>
    <w:rsid w:val="0095632F"/>
    <w:rsid w:val="00962EBB"/>
    <w:rsid w:val="009929D2"/>
    <w:rsid w:val="00997C34"/>
    <w:rsid w:val="009C531C"/>
    <w:rsid w:val="009D06C6"/>
    <w:rsid w:val="009E1A7D"/>
    <w:rsid w:val="009F5D96"/>
    <w:rsid w:val="00A01517"/>
    <w:rsid w:val="00A03A12"/>
    <w:rsid w:val="00A0638E"/>
    <w:rsid w:val="00A23D8F"/>
    <w:rsid w:val="00A502FB"/>
    <w:rsid w:val="00A540EA"/>
    <w:rsid w:val="00A830C0"/>
    <w:rsid w:val="00A97FC9"/>
    <w:rsid w:val="00AA3760"/>
    <w:rsid w:val="00AA67FB"/>
    <w:rsid w:val="00AD1C99"/>
    <w:rsid w:val="00AD2504"/>
    <w:rsid w:val="00B02D14"/>
    <w:rsid w:val="00B15DDE"/>
    <w:rsid w:val="00B33213"/>
    <w:rsid w:val="00B46C49"/>
    <w:rsid w:val="00B832BA"/>
    <w:rsid w:val="00B868C3"/>
    <w:rsid w:val="00B97C02"/>
    <w:rsid w:val="00BA00F7"/>
    <w:rsid w:val="00BB66EB"/>
    <w:rsid w:val="00BC443F"/>
    <w:rsid w:val="00BC6547"/>
    <w:rsid w:val="00BD62C4"/>
    <w:rsid w:val="00BE5553"/>
    <w:rsid w:val="00C00C1E"/>
    <w:rsid w:val="00C35970"/>
    <w:rsid w:val="00C41993"/>
    <w:rsid w:val="00C63EA7"/>
    <w:rsid w:val="00C65049"/>
    <w:rsid w:val="00C8782D"/>
    <w:rsid w:val="00C94C21"/>
    <w:rsid w:val="00CB7B0F"/>
    <w:rsid w:val="00CE2659"/>
    <w:rsid w:val="00D1061C"/>
    <w:rsid w:val="00D14884"/>
    <w:rsid w:val="00D30760"/>
    <w:rsid w:val="00D5782C"/>
    <w:rsid w:val="00D67988"/>
    <w:rsid w:val="00D74462"/>
    <w:rsid w:val="00D75D0F"/>
    <w:rsid w:val="00D774EF"/>
    <w:rsid w:val="00D84B65"/>
    <w:rsid w:val="00D94C07"/>
    <w:rsid w:val="00DC1F28"/>
    <w:rsid w:val="00DE365C"/>
    <w:rsid w:val="00DE7698"/>
    <w:rsid w:val="00DF314C"/>
    <w:rsid w:val="00E00CF1"/>
    <w:rsid w:val="00E0232C"/>
    <w:rsid w:val="00E030D6"/>
    <w:rsid w:val="00E160C6"/>
    <w:rsid w:val="00E179B4"/>
    <w:rsid w:val="00E23ACE"/>
    <w:rsid w:val="00E35F81"/>
    <w:rsid w:val="00E45958"/>
    <w:rsid w:val="00E6116E"/>
    <w:rsid w:val="00E6236F"/>
    <w:rsid w:val="00E660C7"/>
    <w:rsid w:val="00E95486"/>
    <w:rsid w:val="00EC40F3"/>
    <w:rsid w:val="00EF6D7D"/>
    <w:rsid w:val="00EF7F99"/>
    <w:rsid w:val="00F05EA0"/>
    <w:rsid w:val="00F1081F"/>
    <w:rsid w:val="00F15FF2"/>
    <w:rsid w:val="00F166DC"/>
    <w:rsid w:val="00F22977"/>
    <w:rsid w:val="00F3602A"/>
    <w:rsid w:val="00F52A96"/>
    <w:rsid w:val="00F6794E"/>
    <w:rsid w:val="00F73151"/>
    <w:rsid w:val="00F74AD5"/>
    <w:rsid w:val="00F76D99"/>
    <w:rsid w:val="00F772BB"/>
    <w:rsid w:val="00F81255"/>
    <w:rsid w:val="00F84D64"/>
    <w:rsid w:val="00F90EB4"/>
    <w:rsid w:val="00F972AD"/>
    <w:rsid w:val="00FA4988"/>
    <w:rsid w:val="00FA4E12"/>
    <w:rsid w:val="00FB2581"/>
    <w:rsid w:val="00FB5B18"/>
    <w:rsid w:val="00FD42E0"/>
    <w:rsid w:val="00FD531E"/>
    <w:rsid w:val="00FE034A"/>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853"/>
    <w:pPr>
      <w:spacing w:after="240" w:line="360" w:lineRule="auto"/>
    </w:pPr>
    <w:rPr>
      <w:rFonts w:ascii="Times New Roman" w:hAnsi="Times New Roman" w:cs="Times New Roman"/>
    </w:rPr>
  </w:style>
  <w:style w:type="paragraph" w:styleId="Heading1">
    <w:name w:val="heading 1"/>
    <w:basedOn w:val="Normal"/>
    <w:next w:val="Normal"/>
    <w:link w:val="Heading1Char"/>
    <w:uiPriority w:val="9"/>
    <w:qFormat/>
    <w:rsid w:val="00E23ACE"/>
    <w:pPr>
      <w:jc w:val="center"/>
      <w:outlineLvl w:val="0"/>
    </w:pPr>
    <w:rPr>
      <w:b/>
      <w:bCs/>
      <w:color w:val="000000" w:themeColor="text1"/>
      <w:sz w:val="28"/>
      <w:szCs w:val="28"/>
    </w:rPr>
  </w:style>
  <w:style w:type="paragraph" w:styleId="Heading2">
    <w:name w:val="heading 2"/>
    <w:basedOn w:val="Normal"/>
    <w:next w:val="Normal"/>
    <w:link w:val="Heading2Char"/>
    <w:uiPriority w:val="9"/>
    <w:unhideWhenUsed/>
    <w:qFormat/>
    <w:rsid w:val="00235853"/>
    <w:pPr>
      <w:outlineLvl w:val="1"/>
    </w:pPr>
    <w:rPr>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ACE"/>
    <w:rPr>
      <w:rFonts w:ascii="Times New Roman"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235853"/>
    <w:rPr>
      <w:rFonts w:ascii="Times New Roman" w:hAnsi="Times New Roman" w:cs="Times New Roman"/>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C6A9D"/>
    <w:pPr>
      <w:jc w:val="center"/>
    </w:pPr>
    <w:rPr>
      <w:color w:val="FFFFFF" w:themeColor="background1"/>
      <w:sz w:val="48"/>
      <w:szCs w:val="48"/>
    </w:rPr>
  </w:style>
  <w:style w:type="character" w:customStyle="1" w:styleId="TitleChar">
    <w:name w:val="Title Char"/>
    <w:basedOn w:val="DefaultParagraphFont"/>
    <w:link w:val="Title"/>
    <w:uiPriority w:val="10"/>
    <w:rsid w:val="001C6A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262BED"/>
    <w:pPr>
      <w:spacing w:after="0"/>
      <w:jc w:val="center"/>
    </w:pPr>
    <w:rPr>
      <w:i/>
      <w:iCs/>
      <w:color w:val="FFFFFF" w:themeColor="background1"/>
      <w:sz w:val="36"/>
      <w:szCs w:val="36"/>
    </w:rPr>
  </w:style>
  <w:style w:type="character" w:customStyle="1" w:styleId="SubtitleChar">
    <w:name w:val="Subtitle Char"/>
    <w:basedOn w:val="DefaultParagraphFont"/>
    <w:link w:val="Subtitle"/>
    <w:uiPriority w:val="11"/>
    <w:rsid w:val="00262BE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character" w:styleId="SubtleEmphasis">
    <w:name w:val="Subtle Emphasis"/>
    <w:uiPriority w:val="19"/>
    <w:qFormat/>
    <w:rsid w:val="00E23ACE"/>
    <w:rPr>
      <w:sz w:val="24"/>
      <w:szCs w:val="24"/>
    </w:rPr>
  </w:style>
  <w:style w:type="character" w:styleId="Strong">
    <w:name w:val="Strong"/>
    <w:uiPriority w:val="22"/>
    <w:qFormat/>
    <w:rsid w:val="001C6A9D"/>
  </w:style>
  <w:style w:type="paragraph" w:styleId="FootnoteText">
    <w:name w:val="footnote text"/>
    <w:basedOn w:val="Normal"/>
    <w:link w:val="FootnoteTextChar"/>
    <w:uiPriority w:val="99"/>
    <w:semiHidden/>
    <w:unhideWhenUsed/>
    <w:rsid w:val="004E1F25"/>
    <w:pPr>
      <w:spacing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4E1F25"/>
    <w:rPr>
      <w:kern w:val="2"/>
      <w:sz w:val="20"/>
      <w:szCs w:val="20"/>
      <w14:ligatures w14:val="standardContextual"/>
    </w:rPr>
  </w:style>
  <w:style w:type="character" w:styleId="FootnoteReference">
    <w:name w:val="footnote reference"/>
    <w:basedOn w:val="DefaultParagraphFont"/>
    <w:uiPriority w:val="99"/>
    <w:semiHidden/>
    <w:unhideWhenUsed/>
    <w:rsid w:val="004E1F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8C12E-0CC6-9048-B462-92C22EB8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3</cp:revision>
  <dcterms:created xsi:type="dcterms:W3CDTF">2026-05-16T07:34:00Z</dcterms:created>
  <dcterms:modified xsi:type="dcterms:W3CDTF">2026-07-03T04:30:00Z</dcterms:modified>
</cp:coreProperties>
</file>