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C56382" w14:textId="7E91E109" w:rsidR="000F108B" w:rsidRDefault="00753A9F" w:rsidP="00235853">
      <w:r>
        <w:rPr>
          <w:noProof/>
        </w:rPr>
        <w:drawing>
          <wp:anchor distT="0" distB="0" distL="114300" distR="114300" simplePos="0" relativeHeight="251655165" behindDoc="0" locked="0" layoutInCell="1" allowOverlap="1" wp14:anchorId="005D5EAB" wp14:editId="57E61363">
            <wp:simplePos x="0" y="0"/>
            <wp:positionH relativeFrom="column">
              <wp:posOffset>-669925</wp:posOffset>
            </wp:positionH>
            <wp:positionV relativeFrom="paragraph">
              <wp:posOffset>-1517015</wp:posOffset>
            </wp:positionV>
            <wp:extent cx="8039100" cy="14382750"/>
            <wp:effectExtent l="0" t="0" r="0" b="6350"/>
            <wp:wrapNone/>
            <wp:docPr id="6592074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9207481" name="Picture 659207481"/>
                    <pic:cNvPicPr/>
                  </pic:nvPicPr>
                  <pic:blipFill>
                    <a:blip r:embed="rId7">
                      <a:extLst>
                        <a:ext uri="{28A0092B-C50C-407E-A947-70E740481C1C}">
                          <a14:useLocalDpi xmlns:a14="http://schemas.microsoft.com/office/drawing/2010/main" val="0"/>
                        </a:ext>
                      </a:extLst>
                    </a:blip>
                    <a:stretch>
                      <a:fillRect/>
                    </a:stretch>
                  </pic:blipFill>
                  <pic:spPr>
                    <a:xfrm>
                      <a:off x="0" y="0"/>
                      <a:ext cx="8039100" cy="14382750"/>
                    </a:xfrm>
                    <a:prstGeom prst="rect">
                      <a:avLst/>
                    </a:prstGeom>
                  </pic:spPr>
                </pic:pic>
              </a:graphicData>
            </a:graphic>
            <wp14:sizeRelH relativeFrom="margin">
              <wp14:pctWidth>0</wp14:pctWidth>
            </wp14:sizeRelH>
            <wp14:sizeRelV relativeFrom="margin">
              <wp14:pctHeight>0</wp14:pctHeight>
            </wp14:sizeRelV>
          </wp:anchor>
        </w:drawing>
      </w:r>
      <w:r w:rsidR="00E23ACE">
        <w:rPr>
          <w:noProof/>
        </w:rPr>
        <mc:AlternateContent>
          <mc:Choice Requires="wpg">
            <w:drawing>
              <wp:anchor distT="0" distB="0" distL="114300" distR="114300" simplePos="0" relativeHeight="251656190" behindDoc="0" locked="0" layoutInCell="1" allowOverlap="1" wp14:anchorId="62F50521" wp14:editId="43323D8C">
                <wp:simplePos x="0" y="0"/>
                <wp:positionH relativeFrom="column">
                  <wp:posOffset>-746760</wp:posOffset>
                </wp:positionH>
                <wp:positionV relativeFrom="paragraph">
                  <wp:posOffset>-914400</wp:posOffset>
                </wp:positionV>
                <wp:extent cx="7692391" cy="10741025"/>
                <wp:effectExtent l="0" t="0" r="0" b="15875"/>
                <wp:wrapNone/>
                <wp:docPr id="78740683" name="Group 31"/>
                <wp:cNvGraphicFramePr/>
                <a:graphic xmlns:a="http://schemas.openxmlformats.org/drawingml/2006/main">
                  <a:graphicData uri="http://schemas.microsoft.com/office/word/2010/wordprocessingGroup">
                    <wpg:wgp>
                      <wpg:cNvGrpSpPr/>
                      <wpg:grpSpPr>
                        <a:xfrm>
                          <a:off x="0" y="0"/>
                          <a:ext cx="7692391" cy="10741025"/>
                          <a:chOff x="-73137" y="-181864"/>
                          <a:chExt cx="7692630" cy="10741152"/>
                        </a:xfrm>
                      </wpg:grpSpPr>
                      <wps:wsp>
                        <wps:cNvPr id="698615390" name="Rectangle 26"/>
                        <wps:cNvSpPr/>
                        <wps:spPr>
                          <a:xfrm>
                            <a:off x="-73137" y="-181864"/>
                            <a:ext cx="7619492" cy="10741152"/>
                          </a:xfrm>
                          <a:prstGeom prst="rect">
                            <a:avLst/>
                          </a:prstGeom>
                          <a:solidFill>
                            <a:schemeClr val="tx1">
                              <a:alpha val="19000"/>
                            </a:schemeClr>
                          </a:solidFill>
                          <a:ln>
                            <a:solidFill>
                              <a:schemeClr val="accent1">
                                <a:shade val="15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9A91EC1" w14:textId="77777777" w:rsidR="00F73151" w:rsidRDefault="00F73151" w:rsidP="00F7315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52621601" name="Text Box 27"/>
                        <wps:cNvSpPr txBox="1"/>
                        <wps:spPr>
                          <a:xfrm>
                            <a:off x="-73136" y="1901952"/>
                            <a:ext cx="7692629" cy="512064"/>
                          </a:xfrm>
                          <a:prstGeom prst="rect">
                            <a:avLst/>
                          </a:prstGeom>
                          <a:noFill/>
                          <a:ln w="6350">
                            <a:noFill/>
                          </a:ln>
                        </wps:spPr>
                        <wps:txbx>
                          <w:txbxContent>
                            <w:p w14:paraId="0923727F" w14:textId="6EB61EDF" w:rsidR="001F059D" w:rsidRPr="001C6A9D" w:rsidRDefault="00DE6D79" w:rsidP="001C6A9D">
                              <w:pPr>
                                <w:pStyle w:val="Title"/>
                              </w:pPr>
                              <w:r>
                                <w:t xml:space="preserve">The Torrens System </w:t>
                              </w:r>
                              <w:r w:rsidR="00692771">
                                <w:t>and Indigenous Lang Right</w:t>
                              </w:r>
                              <w:r w:rsidR="008276DF">
                                <w: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62844352" name="Straight Connector 27"/>
                        <wps:cNvCnPr/>
                        <wps:spPr>
                          <a:xfrm>
                            <a:off x="317019" y="1597660"/>
                            <a:ext cx="6913077" cy="0"/>
                          </a:xfrm>
                          <a:prstGeom prst="line">
                            <a:avLst/>
                          </a:prstGeom>
                          <a:ln w="25400">
                            <a:solidFill>
                              <a:schemeClr val="bg1"/>
                            </a:solidFill>
                          </a:ln>
                        </wps:spPr>
                        <wps:style>
                          <a:lnRef idx="1">
                            <a:schemeClr val="accent1"/>
                          </a:lnRef>
                          <a:fillRef idx="0">
                            <a:schemeClr val="accent1"/>
                          </a:fillRef>
                          <a:effectRef idx="0">
                            <a:schemeClr val="accent1"/>
                          </a:effectRef>
                          <a:fontRef idx="minor">
                            <a:schemeClr val="tx1"/>
                          </a:fontRef>
                        </wps:style>
                        <wps:bodyPr/>
                      </wps:wsp>
                      <wps:wsp>
                        <wps:cNvPr id="1776197336" name="Straight Connector 27"/>
                        <wps:cNvCnPr/>
                        <wps:spPr>
                          <a:xfrm>
                            <a:off x="317019" y="2682748"/>
                            <a:ext cx="6913078" cy="0"/>
                          </a:xfrm>
                          <a:prstGeom prst="line">
                            <a:avLst/>
                          </a:prstGeom>
                          <a:ln w="25400">
                            <a:solidFill>
                              <a:schemeClr val="bg1"/>
                            </a:solidFill>
                          </a:ln>
                        </wps:spPr>
                        <wps:style>
                          <a:lnRef idx="1">
                            <a:schemeClr val="accent1"/>
                          </a:lnRef>
                          <a:fillRef idx="0">
                            <a:schemeClr val="accent1"/>
                          </a:fillRef>
                          <a:effectRef idx="0">
                            <a:schemeClr val="accent1"/>
                          </a:effectRef>
                          <a:fontRef idx="minor">
                            <a:schemeClr val="tx1"/>
                          </a:fontRef>
                        </wps:style>
                        <wps:bodyPr/>
                      </wps:wsp>
                      <wps:wsp>
                        <wps:cNvPr id="1674965720" name="Text Box 27"/>
                        <wps:cNvSpPr txBox="1"/>
                        <wps:spPr>
                          <a:xfrm>
                            <a:off x="0" y="2950464"/>
                            <a:ext cx="7546340" cy="512064"/>
                          </a:xfrm>
                          <a:prstGeom prst="rect">
                            <a:avLst/>
                          </a:prstGeom>
                          <a:noFill/>
                          <a:ln w="6350">
                            <a:noFill/>
                          </a:ln>
                        </wps:spPr>
                        <wps:txbx>
                          <w:txbxContent>
                            <w:p w14:paraId="7B295F16" w14:textId="73FD4FA3" w:rsidR="00262BED" w:rsidRPr="00262BED" w:rsidRDefault="008276DF" w:rsidP="00235853">
                              <w:pPr>
                                <w:pStyle w:val="Subtitle"/>
                              </w:pPr>
                              <w:r>
                                <w:t xml:space="preserve">A Critical Examination </w:t>
                              </w:r>
                              <w:r w:rsidR="00BC1DB0">
                                <w:t>of Indefeasibility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62F50521" id="Group 31" o:spid="_x0000_s1026" style="position:absolute;margin-left:-58.8pt;margin-top:-1in;width:605.7pt;height:845.75pt;z-index:251656190;mso-width-relative:margin" coordorigin="-731,-1818" coordsize="76926,10741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">
                <v:rect id="Rectangle 26" o:spid="_x0000_s1027" style="position:absolute;left:-731;top:-1818;width:76194;height:10741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" fillcolor="black [3213]" strokecolor="#030e13 [484]" strokeweight="1pt">
                  <v:fill opacity="12336f"/>
                  <v:textbox>
                    <w:txbxContent>
                      <w:p w14:paraId="39A91EC1" w14:textId="77777777" w:rsidR="00F73151" w:rsidRDefault="00F73151" w:rsidP="00F73151">
                        <w:pPr>
                          <w:jc w:val="center"/>
                        </w:pPr>
                      </w:p>
                    </w:txbxContent>
                  </v:textbox>
                </v:rect>
                <v:shapetype id="_x0000_t202" coordsize="21600,21600" o:spt="202" path="m,l,21600r21600,l21600,xe">
                  <v:stroke joinstyle="miter"/>
                  <v:path gradientshapeok="t" o:connecttype="rect"/>
                </v:shapetype>
                <v:shape id="_x0000_s1028" type="#_x0000_t202" style="position:absolute;left:-731;top:19019;width:76925;height:512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" filled="f" stroked="f" strokeweight=".5pt">
                  <v:textbox>
                    <w:txbxContent>
                      <w:p w14:paraId="0923727F" w14:textId="6EB61EDF" w:rsidR="001F059D" w:rsidRPr="001C6A9D" w:rsidRDefault="00DE6D79" w:rsidP="001C6A9D">
                        <w:pPr>
                          <w:pStyle w:val="Title"/>
                        </w:pPr>
                        <w:r>
                          <w:t xml:space="preserve">The Torrens System </w:t>
                        </w:r>
                        <w:r w:rsidR="00692771">
                          <w:t>and Indigenous Lang Right</w:t>
                        </w:r>
                        <w:r w:rsidR="008276DF">
                          <w:t>s</w:t>
                        </w:r>
                      </w:p>
                    </w:txbxContent>
                  </v:textbox>
                </v:shape>
                <v:line id="Straight Connector 27" o:spid="_x0000_s1029" style="position:absolute;visibility:visible;mso-wrap-style:square" from="3170,15976" to="72300,15976"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" strokecolor="white [3212]" strokeweight="2pt">
                  <v:stroke joinstyle="miter"/>
                </v:line>
                <v:line id="Straight Connector 27" o:spid="_x0000_s1030" style="position:absolute;visibility:visible;mso-wrap-style:square" from="3170,26827" to="72300,26827"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" strokecolor="white [3212]" strokeweight="2pt">
                  <v:stroke joinstyle="miter"/>
                </v:line>
                <v:shape id="_x0000_s1031" type="#_x0000_t202" style="position:absolute;top:29504;width:75463;height:512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" filled="f" stroked="f" strokeweight=".5pt">
                  <v:textbox>
                    <w:txbxContent>
                      <w:p w14:paraId="7B295F16" w14:textId="73FD4FA3" w:rsidR="00262BED" w:rsidRPr="00262BED" w:rsidRDefault="008276DF" w:rsidP="00235853">
                        <w:pPr>
                          <w:pStyle w:val="Subtitle"/>
                        </w:pPr>
                        <w:r>
                          <w:t xml:space="preserve">A Critical Examination </w:t>
                        </w:r>
                        <w:r w:rsidR="00BC1DB0">
                          <w:t>of Indefeasibility</w:t>
                        </w:r>
                      </w:p>
                    </w:txbxContent>
                  </v:textbox>
                </v:shape>
              </v:group>
            </w:pict>
          </mc:Fallback>
        </mc:AlternateContent>
      </w:r>
      <w:r w:rsidR="00E23ACE">
        <w:rPr>
          <w:noProof/>
        </w:rPr>
        <mc:AlternateContent>
          <mc:Choice Requires="wps">
            <w:drawing>
              <wp:anchor distT="0" distB="0" distL="114300" distR="114300" simplePos="0" relativeHeight="251658247" behindDoc="0" locked="0" layoutInCell="1" allowOverlap="1" wp14:anchorId="2612F2EA" wp14:editId="7C8F7065">
                <wp:simplePos x="0" y="0"/>
                <wp:positionH relativeFrom="column">
                  <wp:posOffset>4639075</wp:posOffset>
                </wp:positionH>
                <wp:positionV relativeFrom="paragraph">
                  <wp:posOffset>8597265</wp:posOffset>
                </wp:positionV>
                <wp:extent cx="2048256" cy="382397"/>
                <wp:effectExtent l="0" t="0" r="0" b="0"/>
                <wp:wrapNone/>
                <wp:docPr id="2036535871" name="Text Box 21"/>
                <wp:cNvGraphicFramePr/>
                <a:graphic xmlns:a="http://schemas.openxmlformats.org/drawingml/2006/main">
                  <a:graphicData uri="http://schemas.microsoft.com/office/word/2010/wordprocessingShape">
                    <wps:wsp>
                      <wps:cNvSpPr txBox="1"/>
                      <wps:spPr>
                        <a:xfrm>
                          <a:off x="0" y="0"/>
                          <a:ext cx="2048256" cy="382397"/>
                        </a:xfrm>
                        <a:prstGeom prst="rect">
                          <a:avLst/>
                        </a:prstGeom>
                        <a:noFill/>
                        <a:ln w="6350">
                          <a:noFill/>
                        </a:ln>
                      </wps:spPr>
                      <wps:txbx>
                        <w:txbxContent>
                          <w:p w14:paraId="27451D67" w14:textId="6A1B16E2" w:rsidR="00262BED" w:rsidRPr="00262BED" w:rsidRDefault="00262BED" w:rsidP="00235853">
                            <w:pPr>
                              <w:pStyle w:val="Subtitle"/>
                            </w:pPr>
                            <w:r w:rsidRPr="00262BED">
                              <w:t xml:space="preserve">Law Student Review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2612F2EA" id="Text Box 21" o:spid="_x0000_s1032" type="#_x0000_t202" style="position:absolute;margin-left:365.3pt;margin-top:676.95pt;width:161.3pt;height:30.1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" filled="f" stroked="f" strokeweight=".5pt">
                <v:textbox>
                  <w:txbxContent>
                    <w:p w14:paraId="27451D67" w14:textId="6A1B16E2" w:rsidR="00262BED" w:rsidRPr="00262BED" w:rsidRDefault="00262BED" w:rsidP="00235853">
                      <w:pPr>
                        <w:pStyle w:val="Subtitle"/>
                      </w:pPr>
                      <w:r w:rsidRPr="00262BED">
                        <w:t xml:space="preserve">Law Student Review </w:t>
                      </w:r>
                    </w:p>
                  </w:txbxContent>
                </v:textbox>
              </v:shape>
            </w:pict>
          </mc:Fallback>
        </mc:AlternateContent>
      </w:r>
      <w:r w:rsidR="00E23ACE">
        <w:rPr>
          <w:noProof/>
        </w:rPr>
        <mc:AlternateContent>
          <mc:Choice Requires="wps">
            <w:drawing>
              <wp:anchor distT="0" distB="0" distL="114300" distR="114300" simplePos="0" relativeHeight="251658246" behindDoc="0" locked="0" layoutInCell="1" allowOverlap="1" wp14:anchorId="7A1C0EEE" wp14:editId="2F7A358A">
                <wp:simplePos x="0" y="0"/>
                <wp:positionH relativeFrom="column">
                  <wp:posOffset>-598552</wp:posOffset>
                </wp:positionH>
                <wp:positionV relativeFrom="paragraph">
                  <wp:posOffset>8594852</wp:posOffset>
                </wp:positionV>
                <wp:extent cx="2047875" cy="389890"/>
                <wp:effectExtent l="0" t="0" r="0" b="0"/>
                <wp:wrapNone/>
                <wp:docPr id="1600177898" name="Text Box 21"/>
                <wp:cNvGraphicFramePr/>
                <a:graphic xmlns:a="http://schemas.openxmlformats.org/drawingml/2006/main">
                  <a:graphicData uri="http://schemas.microsoft.com/office/word/2010/wordprocessingShape">
                    <wps:wsp>
                      <wps:cNvSpPr txBox="1"/>
                      <wps:spPr>
                        <a:xfrm>
                          <a:off x="0" y="0"/>
                          <a:ext cx="2047875" cy="389890"/>
                        </a:xfrm>
                        <a:prstGeom prst="rect">
                          <a:avLst/>
                        </a:prstGeom>
                        <a:noFill/>
                        <a:ln w="6350">
                          <a:noFill/>
                        </a:ln>
                      </wps:spPr>
                      <wps:txbx>
                        <w:txbxContent>
                          <w:p w14:paraId="3B17B765" w14:textId="7F3CC229" w:rsidR="000F108B" w:rsidRDefault="000F108B" w:rsidP="009A0AC1">
                            <w:pPr>
                              <w:pStyle w:val="Subtitle"/>
                            </w:pPr>
                            <w:r w:rsidRPr="00262BED">
                              <w:t xml:space="preserve">By </w:t>
                            </w:r>
                            <w:r w:rsidR="009A0AC1">
                              <w:t>Saja El</w:t>
                            </w:r>
                            <w:r w:rsidR="00D63E85">
                              <w:t>kady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7A1C0EEE" id="_x0000_s1033" type="#_x0000_t202" style="position:absolute;margin-left:-47.15pt;margin-top:676.75pt;width:161.25pt;height:30.7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" filled="f" stroked="f" strokeweight=".5pt">
                <v:textbox>
                  <w:txbxContent>
                    <w:p w14:paraId="3B17B765" w14:textId="7F3CC229" w:rsidR="000F108B" w:rsidRDefault="000F108B" w:rsidP="009A0AC1">
                      <w:pPr>
                        <w:pStyle w:val="Subtitle"/>
                      </w:pPr>
                      <w:r w:rsidRPr="00262BED">
                        <w:t xml:space="preserve">By </w:t>
                      </w:r>
                      <w:proofErr w:type="spellStart"/>
                      <w:r w:rsidR="009A0AC1">
                        <w:t>Saja</w:t>
                      </w:r>
                      <w:proofErr w:type="spellEnd"/>
                      <w:r w:rsidR="009A0AC1">
                        <w:t xml:space="preserve"> </w:t>
                      </w:r>
                      <w:proofErr w:type="spellStart"/>
                      <w:r w:rsidR="009A0AC1">
                        <w:t>El</w:t>
                      </w:r>
                      <w:r w:rsidR="00D63E85">
                        <w:t>kady</w:t>
                      </w:r>
                      <w:proofErr w:type="spellEnd"/>
                    </w:p>
                  </w:txbxContent>
                </v:textbox>
              </v:shape>
            </w:pict>
          </mc:Fallback>
        </mc:AlternateContent>
      </w:r>
      <w:r w:rsidR="007A4BF8">
        <w:rPr>
          <w:noProof/>
        </w:rPr>
        <mc:AlternateContent>
          <mc:Choice Requires="wps">
            <w:drawing>
              <wp:anchor distT="0" distB="0" distL="114300" distR="114300" simplePos="0" relativeHeight="251658242" behindDoc="0" locked="0" layoutInCell="1" allowOverlap="1" wp14:anchorId="7760C708" wp14:editId="15B218CC">
                <wp:simplePos x="0" y="0"/>
                <wp:positionH relativeFrom="column">
                  <wp:posOffset>-746760</wp:posOffset>
                </wp:positionH>
                <wp:positionV relativeFrom="paragraph">
                  <wp:posOffset>-914400</wp:posOffset>
                </wp:positionV>
                <wp:extent cx="7107428" cy="0"/>
                <wp:effectExtent l="0" t="12700" r="17780" b="12700"/>
                <wp:wrapNone/>
                <wp:docPr id="38297992" name="Straight Connector 27"/>
                <wp:cNvGraphicFramePr/>
                <a:graphic xmlns:a="http://schemas.openxmlformats.org/drawingml/2006/main">
                  <a:graphicData uri="http://schemas.microsoft.com/office/word/2010/wordprocessingShape">
                    <wps:wsp>
                      <wps:cNvCnPr/>
                      <wps:spPr>
                        <a:xfrm>
                          <a:off x="0" y="0"/>
                          <a:ext cx="7107428" cy="0"/>
                        </a:xfrm>
                        <a:prstGeom prst="line">
                          <a:avLst/>
                        </a:prstGeom>
                        <a:ln w="25400">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cei="http://schemas.microsoft.com/office/word/2026/wordml/cei">
            <w:pict>
              <v:line w14:anchorId="7C26F7FF" id="Straight Connector 27" o:spid="_x0000_s1026" style="position:absolute;z-index:2516674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8.8pt,-1in" to="500.85pt,-1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" strokecolor="white [3212]" strokeweight="2pt">
                <v:stroke joinstyle="miter"/>
              </v:line>
            </w:pict>
          </mc:Fallback>
        </mc:AlternateContent>
      </w:r>
      <w:r w:rsidR="000F108B">
        <w:br w:type="page"/>
      </w:r>
    </w:p>
    <w:p w14:paraId="6695B61E" w14:textId="366CF29C" w:rsidR="00FD42E0" w:rsidRDefault="001F059D" w:rsidP="00D74462">
      <w:pPr>
        <w:pStyle w:val="Heading1"/>
      </w:pPr>
      <w:r w:rsidRPr="00E23ACE">
        <w:lastRenderedPageBreak/>
        <w:t xml:space="preserve">I </w:t>
      </w:r>
      <w:r w:rsidR="00EC3051">
        <w:t>INTRODUCTION</w:t>
      </w:r>
    </w:p>
    <w:p w14:paraId="7C7E397D" w14:textId="3A202756" w:rsidR="00EC3051" w:rsidRPr="00EC3051" w:rsidRDefault="00EC3051" w:rsidP="00EC3051">
      <w:pPr>
        <w:spacing w:before="240"/>
        <w:jc w:val="both"/>
        <w:rPr>
          <w:rFonts w:eastAsia="Times New Roman"/>
          <w:color w:val="000000" w:themeColor="text1"/>
        </w:rPr>
      </w:pPr>
      <w:r w:rsidRPr="00EC3051">
        <w:rPr>
          <w:rFonts w:eastAsia="Times New Roman"/>
        </w:rPr>
        <w:t>The Torrens system of land registration is founded on the principle of indefeasibility of title, whereby a registered proprietor obtains ownership that is protected from competing claims.</w:t>
      </w:r>
      <w:r w:rsidRPr="00EC3051">
        <w:rPr>
          <w:rFonts w:eastAsia="Times New Roman"/>
          <w:vertAlign w:val="superscript"/>
        </w:rPr>
        <w:footnoteReference w:id="1"/>
      </w:r>
      <w:r w:rsidRPr="00EC3051">
        <w:rPr>
          <w:rFonts w:eastAsia="Times New Roman"/>
        </w:rPr>
        <w:t xml:space="preserve"> While this doctrine provides certainty of land ownership, it does so rigidly within a legal framework established through the assertion of Crown sovereignty and the dispossession of Indigenous peoples from their traditional lands. As a result, tensions arise between the Torrens system's protection of registered title and Indigenous assertions of continuing connection to Country, sovereignty, and land rights. The case of </w:t>
      </w:r>
      <w:proofErr w:type="spellStart"/>
      <w:r w:rsidRPr="00EC3051">
        <w:rPr>
          <w:rFonts w:eastAsia="Times New Roman"/>
          <w:i/>
          <w:iCs/>
        </w:rPr>
        <w:t>Nyangbul</w:t>
      </w:r>
      <w:proofErr w:type="spellEnd"/>
      <w:r w:rsidRPr="00EC3051">
        <w:rPr>
          <w:rFonts w:eastAsia="Times New Roman"/>
          <w:i/>
          <w:iCs/>
        </w:rPr>
        <w:t xml:space="preserve"> v State of New South Wales</w:t>
      </w:r>
      <w:r w:rsidRPr="00EC3051">
        <w:rPr>
          <w:rFonts w:eastAsia="Times New Roman"/>
        </w:rPr>
        <w:t xml:space="preserve"> [2025] NSWCA 119 provides a lens through which this tension can be critically examined through Postcolonial Theory and Critical Race Theory ('CRT'). </w:t>
      </w:r>
      <w:r w:rsidRPr="00EC3051">
        <w:rPr>
          <w:rFonts w:eastAsia="Times New Roman"/>
          <w:color w:val="000000" w:themeColor="text1"/>
          <w:lang w:val="en-GB"/>
        </w:rPr>
        <w:t xml:space="preserve">While Postcolonialism explores the colonial foundations of Australian law through the displacement of Indigenous land ownership, CRT identifies how these colonial structures continue to operate through doctrines that, although appearing neutral, systematically exclude Indigenous claims. This raises the central question; whether the Torrens system can ever accommodate Indigenous sovereignty, or if indefeasibility will continue to structurally entrench settler-colonial ownership.  </w:t>
      </w:r>
    </w:p>
    <w:p w14:paraId="4A3B0252" w14:textId="67DA610E" w:rsidR="00EC3051" w:rsidRPr="00EC3051" w:rsidRDefault="00EC3051" w:rsidP="00EC3051">
      <w:pPr>
        <w:jc w:val="center"/>
        <w:outlineLvl w:val="0"/>
        <w:rPr>
          <w:b/>
          <w:bCs/>
          <w:color w:val="000000" w:themeColor="text1"/>
          <w:sz w:val="28"/>
          <w:szCs w:val="28"/>
        </w:rPr>
      </w:pPr>
      <w:r w:rsidRPr="00EC3051">
        <w:rPr>
          <w:b/>
          <w:bCs/>
          <w:color w:val="000000" w:themeColor="text1"/>
          <w:sz w:val="28"/>
          <w:szCs w:val="28"/>
        </w:rPr>
        <w:t>I</w:t>
      </w:r>
      <w:r>
        <w:rPr>
          <w:b/>
          <w:bCs/>
          <w:color w:val="000000" w:themeColor="text1"/>
          <w:sz w:val="28"/>
          <w:szCs w:val="28"/>
        </w:rPr>
        <w:t>I CASE SUMMARY</w:t>
      </w:r>
    </w:p>
    <w:p w14:paraId="21F064F5" w14:textId="77777777" w:rsidR="00EC3051" w:rsidRPr="00EC3051" w:rsidRDefault="00EC3051" w:rsidP="00EC3051">
      <w:pPr>
        <w:spacing w:before="240"/>
        <w:jc w:val="both"/>
        <w:rPr>
          <w:rFonts w:eastAsia="Times New Roman"/>
        </w:rPr>
      </w:pPr>
      <w:r w:rsidRPr="00EC3051">
        <w:rPr>
          <w:rFonts w:eastAsia="Times New Roman"/>
        </w:rPr>
        <w:t xml:space="preserve">The dispute arose over parcels of Crown land near Lennox Head, of which the State of New South Wales was the registered proprietor. The applicant, </w:t>
      </w:r>
      <w:proofErr w:type="spellStart"/>
      <w:r w:rsidRPr="00EC3051">
        <w:rPr>
          <w:rFonts w:eastAsia="Times New Roman"/>
        </w:rPr>
        <w:t>Jaabarun</w:t>
      </w:r>
      <w:proofErr w:type="spellEnd"/>
      <w:r w:rsidRPr="00EC3051">
        <w:rPr>
          <w:rFonts w:eastAsia="Times New Roman"/>
        </w:rPr>
        <w:t xml:space="preserve"> Nyangbul, occupied the land and established several structures without authorisation or consent.</w:t>
      </w:r>
      <w:r w:rsidRPr="00EC3051">
        <w:rPr>
          <w:rFonts w:eastAsia="Times New Roman"/>
          <w:vertAlign w:val="superscript"/>
        </w:rPr>
        <w:footnoteReference w:id="2"/>
      </w:r>
      <w:r w:rsidRPr="00EC3051">
        <w:rPr>
          <w:rFonts w:eastAsia="Times New Roman"/>
        </w:rPr>
        <w:t xml:space="preserve"> Following the applicant’s failure to remove the structures after several notices issued by the State, proceedings were commenced seeking a writ of possession. In </w:t>
      </w:r>
      <w:r w:rsidRPr="00EC3051">
        <w:rPr>
          <w:rFonts w:eastAsia="Times New Roman"/>
          <w:i/>
          <w:iCs/>
        </w:rPr>
        <w:t>New South Wales v Simpson</w:t>
      </w:r>
      <w:r w:rsidRPr="00EC3051">
        <w:rPr>
          <w:rFonts w:eastAsia="Times New Roman"/>
        </w:rPr>
        <w:t xml:space="preserve"> [2025], the primary judge struck out the applicant’s defences and granted final judgment in favour of the State, including the issue of a writ of possession. Following this outcome, the applicant sought a stay of execution pending appeal, asserting a right to remain on the land based on Indigenous sovereignty and cultural connection to the land. However, the New South Wales Court of Appeal dismissed the motion seeking a stay.</w:t>
      </w:r>
    </w:p>
    <w:p w14:paraId="1E5DDFFA" w14:textId="77777777" w:rsidR="00EC3051" w:rsidRPr="00EC3051" w:rsidRDefault="00EC3051" w:rsidP="00EC3051">
      <w:pPr>
        <w:spacing w:before="240"/>
        <w:jc w:val="both"/>
        <w:rPr>
          <w:rFonts w:eastAsia="Times New Roman"/>
          <w:b/>
          <w:bCs/>
          <w:sz w:val="28"/>
          <w:szCs w:val="28"/>
        </w:rPr>
      </w:pPr>
    </w:p>
    <w:p w14:paraId="209CEEFA" w14:textId="6487C247" w:rsidR="00EC3051" w:rsidRPr="00EC3051" w:rsidRDefault="00EC3051" w:rsidP="00EC3051">
      <w:pPr>
        <w:jc w:val="center"/>
        <w:outlineLvl w:val="0"/>
        <w:rPr>
          <w:b/>
          <w:bCs/>
          <w:color w:val="000000" w:themeColor="text1"/>
          <w:sz w:val="28"/>
          <w:szCs w:val="28"/>
        </w:rPr>
      </w:pPr>
      <w:r w:rsidRPr="00EC3051">
        <w:rPr>
          <w:b/>
          <w:bCs/>
          <w:color w:val="000000" w:themeColor="text1"/>
          <w:sz w:val="28"/>
          <w:szCs w:val="28"/>
        </w:rPr>
        <w:t>I</w:t>
      </w:r>
      <w:r>
        <w:rPr>
          <w:b/>
          <w:bCs/>
          <w:color w:val="000000" w:themeColor="text1"/>
          <w:sz w:val="28"/>
          <w:szCs w:val="28"/>
        </w:rPr>
        <w:t>II LEGAL REASONING</w:t>
      </w:r>
    </w:p>
    <w:p w14:paraId="74C7CF92" w14:textId="77777777" w:rsidR="00EC3051" w:rsidRPr="00EC3051" w:rsidRDefault="00EC3051" w:rsidP="00EC3051">
      <w:pPr>
        <w:spacing w:before="240"/>
        <w:jc w:val="both"/>
        <w:rPr>
          <w:rFonts w:eastAsia="Times New Roman"/>
        </w:rPr>
      </w:pPr>
      <w:r w:rsidRPr="00EC3051">
        <w:rPr>
          <w:rFonts w:eastAsia="Times New Roman"/>
        </w:rPr>
        <w:lastRenderedPageBreak/>
        <w:t xml:space="preserve">The dispute in </w:t>
      </w:r>
      <w:proofErr w:type="spellStart"/>
      <w:r w:rsidRPr="00EC3051">
        <w:rPr>
          <w:rFonts w:eastAsia="Times New Roman"/>
          <w:i/>
          <w:iCs/>
        </w:rPr>
        <w:t>Nyangbul</w:t>
      </w:r>
      <w:proofErr w:type="spellEnd"/>
      <w:r w:rsidRPr="00EC3051">
        <w:rPr>
          <w:rFonts w:eastAsia="Times New Roman"/>
          <w:i/>
          <w:iCs/>
        </w:rPr>
        <w:t xml:space="preserve"> </w:t>
      </w:r>
      <w:r w:rsidRPr="00EC3051">
        <w:rPr>
          <w:rFonts w:eastAsia="Times New Roman"/>
        </w:rPr>
        <w:t xml:space="preserve">highlights the State’s reliance on their registered title, reinforcing Crown-derived ownership as the dominant form of legal authority. The presiding judge, Griffiths </w:t>
      </w:r>
      <w:proofErr w:type="gramStart"/>
      <w:r w:rsidRPr="00EC3051">
        <w:rPr>
          <w:rFonts w:eastAsia="Times New Roman"/>
        </w:rPr>
        <w:t>AJA ,ruled</w:t>
      </w:r>
      <w:proofErr w:type="gramEnd"/>
      <w:r w:rsidRPr="00EC3051">
        <w:rPr>
          <w:rFonts w:eastAsia="Times New Roman"/>
        </w:rPr>
        <w:t xml:space="preserve"> that the applicant’s grounds of appeal based on Indigenous sovereignty fell against binding authority. Under the rulings of </w:t>
      </w:r>
      <w:r w:rsidRPr="00EC3051">
        <w:rPr>
          <w:rFonts w:eastAsia="Times New Roman"/>
          <w:i/>
          <w:iCs/>
        </w:rPr>
        <w:t>Coe v Commonwealth</w:t>
      </w:r>
      <w:r w:rsidRPr="00EC3051">
        <w:rPr>
          <w:rFonts w:eastAsia="Times New Roman"/>
        </w:rPr>
        <w:t>,</w:t>
      </w:r>
      <w:r w:rsidRPr="00EC3051">
        <w:rPr>
          <w:rFonts w:eastAsia="Times New Roman"/>
          <w:vertAlign w:val="superscript"/>
        </w:rPr>
        <w:footnoteReference w:id="3"/>
      </w:r>
      <w:r w:rsidRPr="00EC3051">
        <w:rPr>
          <w:rFonts w:eastAsia="Times New Roman"/>
        </w:rPr>
        <w:t xml:space="preserve"> the court relied heavily on the principle that Indigenous people do not have ‘legislative, executive or judicial organs by which sovereignty might be exercised’, meaning Indigenous sovereignty </w:t>
      </w:r>
      <w:bookmarkStart w:id="0" w:name="_Int_f4onUwjQ"/>
      <w:r w:rsidRPr="00EC3051">
        <w:rPr>
          <w:rFonts w:eastAsia="Times New Roman"/>
        </w:rPr>
        <w:t>in itself couldn’t</w:t>
      </w:r>
      <w:bookmarkEnd w:id="0"/>
      <w:r w:rsidRPr="00EC3051">
        <w:rPr>
          <w:rFonts w:eastAsia="Times New Roman"/>
        </w:rPr>
        <w:t xml:space="preserve"> be recognised as a legally valid concept.</w:t>
      </w:r>
      <w:r w:rsidRPr="00EC3051">
        <w:rPr>
          <w:rFonts w:eastAsia="Times New Roman"/>
          <w:vertAlign w:val="superscript"/>
        </w:rPr>
        <w:footnoteReference w:id="4"/>
      </w:r>
      <w:r w:rsidRPr="00EC3051">
        <w:rPr>
          <w:rFonts w:eastAsia="Times New Roman"/>
        </w:rPr>
        <w:t xml:space="preserve"> The decision is further reinforced through the decision of </w:t>
      </w:r>
      <w:r w:rsidRPr="00EC3051">
        <w:rPr>
          <w:rFonts w:eastAsia="Times New Roman"/>
          <w:i/>
          <w:iCs/>
        </w:rPr>
        <w:t>Mabo (No 2)</w:t>
      </w:r>
      <w:r w:rsidRPr="00EC3051">
        <w:rPr>
          <w:rFonts w:eastAsia="Times New Roman"/>
        </w:rPr>
        <w:t>,</w:t>
      </w:r>
      <w:r w:rsidRPr="00EC3051">
        <w:rPr>
          <w:rFonts w:eastAsia="Times New Roman"/>
          <w:vertAlign w:val="superscript"/>
        </w:rPr>
        <w:footnoteReference w:id="5"/>
      </w:r>
      <w:r w:rsidRPr="00EC3051">
        <w:rPr>
          <w:rFonts w:eastAsia="Times New Roman"/>
        </w:rPr>
        <w:t xml:space="preserve"> which explicates that rights belonging to native title exist within the framework of Crown sovereignty, and are therefore subordinate to the authority of the State. The courts utilised these decisions to conclude that such claims are ‘quite impossible in law to maintain’, removing any legal basis for asserting a competing system of sovereignty.</w:t>
      </w:r>
      <w:r w:rsidRPr="00EC3051">
        <w:rPr>
          <w:rFonts w:eastAsia="Times New Roman"/>
          <w:vertAlign w:val="superscript"/>
        </w:rPr>
        <w:footnoteReference w:id="6"/>
      </w:r>
      <w:r w:rsidRPr="00EC3051">
        <w:rPr>
          <w:rFonts w:eastAsia="Times New Roman"/>
        </w:rPr>
        <w:t xml:space="preserve"> </w:t>
      </w:r>
    </w:p>
    <w:p w14:paraId="4734FDED" w14:textId="5958EF9B" w:rsidR="00EC3051" w:rsidRPr="00EC3051" w:rsidRDefault="00EC3051" w:rsidP="00EC3051">
      <w:pPr>
        <w:jc w:val="center"/>
        <w:outlineLvl w:val="0"/>
        <w:rPr>
          <w:b/>
          <w:bCs/>
          <w:color w:val="000000" w:themeColor="text1"/>
          <w:sz w:val="28"/>
          <w:szCs w:val="28"/>
        </w:rPr>
      </w:pPr>
      <w:r w:rsidRPr="00EC3051">
        <w:rPr>
          <w:b/>
          <w:bCs/>
          <w:color w:val="000000" w:themeColor="text1"/>
          <w:sz w:val="28"/>
          <w:szCs w:val="28"/>
        </w:rPr>
        <w:t>I</w:t>
      </w:r>
      <w:r>
        <w:rPr>
          <w:b/>
          <w:bCs/>
          <w:color w:val="000000" w:themeColor="text1"/>
          <w:sz w:val="28"/>
          <w:szCs w:val="28"/>
        </w:rPr>
        <w:t>V CRITICAL RACE THEORY AND FORMAL NEUTRALITY</w:t>
      </w:r>
    </w:p>
    <w:p w14:paraId="6F3353EC" w14:textId="77777777" w:rsidR="00EC3051" w:rsidRPr="00EC3051" w:rsidRDefault="00EC3051" w:rsidP="00EC3051">
      <w:pPr>
        <w:spacing w:before="240"/>
        <w:jc w:val="both"/>
        <w:rPr>
          <w:rFonts w:asciiTheme="minorHAnsi" w:hAnsiTheme="minorHAnsi" w:cstheme="minorBidi"/>
        </w:rPr>
      </w:pPr>
      <w:r w:rsidRPr="00EC3051">
        <w:rPr>
          <w:rFonts w:eastAsia="Times New Roman"/>
        </w:rPr>
        <w:t xml:space="preserve">Under the lens of CRT, exclusionary principles of the law are exposed through the ‘normalcy of whiteness’ in judicial decision making, which underpins the institutionalised racism of the legal system. </w:t>
      </w:r>
      <w:r w:rsidRPr="00EC3051">
        <w:rPr>
          <w:rFonts w:eastAsia="Times New Roman"/>
          <w:vertAlign w:val="superscript"/>
        </w:rPr>
        <w:footnoteReference w:id="7"/>
      </w:r>
      <w:r w:rsidRPr="00EC3051">
        <w:rPr>
          <w:rFonts w:eastAsia="Times New Roman"/>
        </w:rPr>
        <w:t xml:space="preserve"> The concept of ‘whiteness as property’, inclusive of the right of possession and the right of exclusion, is reflected through the Court’s rigid application of the doctrine of indefeasibility.</w:t>
      </w:r>
      <w:r w:rsidRPr="00EC3051">
        <w:rPr>
          <w:rFonts w:eastAsia="Times New Roman"/>
          <w:vertAlign w:val="superscript"/>
        </w:rPr>
        <w:footnoteReference w:id="8"/>
      </w:r>
      <w:r w:rsidRPr="00EC3051">
        <w:rPr>
          <w:rFonts w:eastAsia="Times New Roman"/>
        </w:rPr>
        <w:t xml:space="preserve"> Although the law appears formally neutral, its application ultimately ensures that colonial ownership is upheld whilst Indigenous claims are systematically excluded.</w:t>
      </w:r>
    </w:p>
    <w:p w14:paraId="1F278131" w14:textId="77777777" w:rsidR="00EC3051" w:rsidRPr="00EC3051" w:rsidRDefault="00EC3051" w:rsidP="00EC3051">
      <w:pPr>
        <w:spacing w:before="240"/>
        <w:jc w:val="both"/>
        <w:rPr>
          <w:rFonts w:eastAsia="Times New Roman"/>
        </w:rPr>
      </w:pPr>
      <w:r w:rsidRPr="00EC3051">
        <w:rPr>
          <w:rFonts w:eastAsia="Times New Roman"/>
        </w:rPr>
        <w:t xml:space="preserve">The applicant’s failure to overcome the State’s indefeasible title reflects the Torrens system’s core function of excluding claims based on prior title. The State’s ownership of the land is rendered legally unquestionable through the doctrine of indefeasibility, which protects the registered proprietor from </w:t>
      </w:r>
      <w:proofErr w:type="gramStart"/>
      <w:r w:rsidRPr="00EC3051">
        <w:rPr>
          <w:rFonts w:eastAsia="Times New Roman"/>
        </w:rPr>
        <w:t>interests</w:t>
      </w:r>
      <w:proofErr w:type="gramEnd"/>
      <w:r w:rsidRPr="00EC3051">
        <w:rPr>
          <w:rFonts w:eastAsia="Times New Roman"/>
        </w:rPr>
        <w:t xml:space="preserve"> incapable of recognition within the existing legal framework. In this way, the Torrens system privileges Crown-derived ownership as the recognised basis of title while limiting the ability of Indigenous sovereignty claims to operate within Australian property law.</w:t>
      </w:r>
      <w:r w:rsidRPr="00EC3051">
        <w:rPr>
          <w:rFonts w:eastAsia="Times New Roman"/>
          <w:vertAlign w:val="superscript"/>
        </w:rPr>
        <w:footnoteReference w:id="9"/>
      </w:r>
    </w:p>
    <w:p w14:paraId="70DFB4EA" w14:textId="7BF5DB18" w:rsidR="00EC3051" w:rsidRPr="00EC3051" w:rsidRDefault="00EC3051" w:rsidP="00EC3051">
      <w:pPr>
        <w:jc w:val="center"/>
        <w:outlineLvl w:val="0"/>
        <w:rPr>
          <w:b/>
          <w:bCs/>
          <w:color w:val="000000" w:themeColor="text1"/>
          <w:sz w:val="28"/>
          <w:szCs w:val="28"/>
        </w:rPr>
      </w:pPr>
      <w:r>
        <w:rPr>
          <w:b/>
          <w:bCs/>
          <w:color w:val="000000" w:themeColor="text1"/>
          <w:sz w:val="28"/>
          <w:szCs w:val="28"/>
        </w:rPr>
        <w:lastRenderedPageBreak/>
        <w:t>V POSTCOLONIALISM AND INDIGENOUS SOVEREIGNTY</w:t>
      </w:r>
    </w:p>
    <w:p w14:paraId="6CFD140A" w14:textId="77777777" w:rsidR="00EC3051" w:rsidRPr="00EC3051" w:rsidRDefault="00EC3051" w:rsidP="00EC3051">
      <w:pPr>
        <w:spacing w:before="240"/>
        <w:jc w:val="both"/>
        <w:rPr>
          <w:rFonts w:eastAsia="Times New Roman"/>
          <w:color w:val="000000" w:themeColor="text1"/>
          <w:vertAlign w:val="superscript"/>
        </w:rPr>
      </w:pPr>
      <w:r w:rsidRPr="00EC3051">
        <w:rPr>
          <w:rFonts w:eastAsia="Times New Roman"/>
        </w:rPr>
        <w:t xml:space="preserve">From a postcolonial perspective, the decision reinforces the reality that systems established through colonisation continue to dominate contemporary legal frameworks. Nothing in the Court’s reasoning was intended to dispute the sovereignty of the applicant as a First Nations person, however such recognition was confined to a ‘spiritual notion’ devoid of legal enforceability. </w:t>
      </w:r>
      <w:r w:rsidRPr="00EC3051">
        <w:rPr>
          <w:rFonts w:eastAsia="Times New Roman"/>
          <w:vertAlign w:val="superscript"/>
        </w:rPr>
        <w:footnoteReference w:id="10"/>
      </w:r>
      <w:r w:rsidRPr="00EC3051">
        <w:rPr>
          <w:rFonts w:eastAsia="Times New Roman"/>
        </w:rPr>
        <w:t xml:space="preserve"> This reflects a form of recognition that acknowledges Indigenous sovereignty symbolically while maintaining Crown sovereignty as the controlling legal authority. T</w:t>
      </w:r>
      <w:r w:rsidRPr="00EC3051">
        <w:rPr>
          <w:rFonts w:eastAsia="Times New Roman"/>
          <w:color w:val="000000" w:themeColor="text1"/>
        </w:rPr>
        <w:t>his reflects a form of controlled recognition;</w:t>
      </w:r>
      <w:r w:rsidRPr="00EC3051">
        <w:rPr>
          <w:rFonts w:eastAsia="Times New Roman"/>
          <w:color w:val="000000" w:themeColor="text1"/>
          <w:vertAlign w:val="superscript"/>
        </w:rPr>
        <w:footnoteReference w:id="11"/>
      </w:r>
      <w:r w:rsidRPr="00EC3051">
        <w:rPr>
          <w:rFonts w:eastAsia="Times New Roman"/>
          <w:color w:val="000000" w:themeColor="text1"/>
        </w:rPr>
        <w:t xml:space="preserve"> </w:t>
      </w:r>
      <w:proofErr w:type="gramStart"/>
      <w:r w:rsidRPr="00EC3051">
        <w:rPr>
          <w:rFonts w:eastAsia="Times New Roman"/>
          <w:color w:val="000000" w:themeColor="text1"/>
        </w:rPr>
        <w:t>where</w:t>
      </w:r>
      <w:proofErr w:type="gramEnd"/>
      <w:r w:rsidRPr="00EC3051">
        <w:rPr>
          <w:rFonts w:eastAsia="Times New Roman"/>
          <w:color w:val="000000" w:themeColor="text1"/>
        </w:rPr>
        <w:t xml:space="preserve"> acknowledging that their sovereignty ‘has never been ceded or extinguished’ yet co-exists with Crown sovereignty, reinforces colonial authority.</w:t>
      </w:r>
      <w:r w:rsidRPr="00EC3051">
        <w:rPr>
          <w:rFonts w:eastAsia="Times New Roman"/>
          <w:color w:val="000000" w:themeColor="text1"/>
          <w:vertAlign w:val="superscript"/>
        </w:rPr>
        <w:footnoteReference w:id="12"/>
      </w:r>
    </w:p>
    <w:p w14:paraId="43F6A663" w14:textId="77777777" w:rsidR="00EC3051" w:rsidRPr="00EC3051" w:rsidRDefault="00EC3051" w:rsidP="00EC3051">
      <w:pPr>
        <w:spacing w:before="240"/>
        <w:jc w:val="both"/>
        <w:rPr>
          <w:rFonts w:asciiTheme="minorHAnsi" w:hAnsiTheme="minorHAnsi" w:cstheme="minorBidi"/>
        </w:rPr>
      </w:pPr>
      <w:r w:rsidRPr="00EC3051">
        <w:rPr>
          <w:rFonts w:eastAsia="Times New Roman"/>
        </w:rPr>
        <w:t>While the Court acknowledged the Bundjalung Nation’s custodianship as “entirely fitting”, such recognition was rendered legally ineffective because Indigenous claims fell outside enforceable doctrinal frameworks.</w:t>
      </w:r>
      <w:r w:rsidRPr="00EC3051">
        <w:rPr>
          <w:rFonts w:eastAsia="Times New Roman"/>
          <w:vertAlign w:val="superscript"/>
        </w:rPr>
        <w:footnoteReference w:id="13"/>
      </w:r>
      <w:r w:rsidRPr="00EC3051">
        <w:rPr>
          <w:rFonts w:eastAsia="Times New Roman"/>
        </w:rPr>
        <w:t xml:space="preserve"> Consistent with broader jurisprudence on Indigenous land rights, the decision reinforces the position that Indigenous sovereignty cannot operate independently within Australian law because Crown sovereignty remains legally dominant.</w:t>
      </w:r>
    </w:p>
    <w:p w14:paraId="7CB3A60C" w14:textId="0317BB9C" w:rsidR="005F4434" w:rsidRPr="005F4434" w:rsidRDefault="005F4434" w:rsidP="005F4434">
      <w:pPr>
        <w:jc w:val="center"/>
        <w:outlineLvl w:val="0"/>
        <w:rPr>
          <w:b/>
          <w:bCs/>
          <w:color w:val="000000" w:themeColor="text1"/>
          <w:sz w:val="28"/>
          <w:szCs w:val="28"/>
        </w:rPr>
      </w:pPr>
      <w:r>
        <w:rPr>
          <w:b/>
          <w:bCs/>
          <w:color w:val="000000" w:themeColor="text1"/>
          <w:sz w:val="28"/>
          <w:szCs w:val="28"/>
        </w:rPr>
        <w:t>VI CONCLUSION</w:t>
      </w:r>
    </w:p>
    <w:p w14:paraId="2ACD74C1" w14:textId="2643DB45" w:rsidR="00BE26DD" w:rsidRDefault="00EC3051" w:rsidP="0003529A">
      <w:pPr>
        <w:spacing w:before="240"/>
        <w:jc w:val="both"/>
        <w:rPr>
          <w:rFonts w:eastAsia="Times New Roman"/>
        </w:rPr>
      </w:pPr>
      <w:r w:rsidRPr="00EC3051">
        <w:rPr>
          <w:rFonts w:eastAsia="Times New Roman"/>
        </w:rPr>
        <w:t xml:space="preserve">Ultimately, </w:t>
      </w:r>
      <w:proofErr w:type="spellStart"/>
      <w:r w:rsidRPr="00EC3051">
        <w:rPr>
          <w:rFonts w:eastAsia="Times New Roman"/>
          <w:i/>
          <w:iCs/>
        </w:rPr>
        <w:t>Nyangbul</w:t>
      </w:r>
      <w:proofErr w:type="spellEnd"/>
      <w:r w:rsidRPr="00EC3051">
        <w:rPr>
          <w:rFonts w:eastAsia="Times New Roman"/>
        </w:rPr>
        <w:t xml:space="preserve"> demonstrates how doctrines presented as neutral continue to privilege settler-colonial authority while marginalising Indigenous claims. Through both postcolonial and CRT perspectives, the tension between Torrens indefeasibility and Indigenous sovereignty reveals the limits of Australian property law in recognising Indigenous claims outside the framework of Crown sovereignty.</w:t>
      </w:r>
    </w:p>
    <w:p w14:paraId="7DD2FDE2" w14:textId="77777777" w:rsidR="00BE26DD" w:rsidRDefault="00BE26DD" w:rsidP="0003529A">
      <w:pPr>
        <w:spacing w:before="240"/>
        <w:jc w:val="both"/>
        <w:rPr>
          <w:rFonts w:eastAsia="Times New Roman"/>
        </w:rPr>
      </w:pPr>
    </w:p>
    <w:p w14:paraId="445C37E0" w14:textId="77777777" w:rsidR="00BE26DD" w:rsidRDefault="00BE26DD" w:rsidP="0003529A">
      <w:pPr>
        <w:spacing w:before="240"/>
        <w:jc w:val="both"/>
        <w:rPr>
          <w:rFonts w:eastAsia="Times New Roman"/>
        </w:rPr>
      </w:pPr>
    </w:p>
    <w:p w14:paraId="0D27C00C" w14:textId="77777777" w:rsidR="00BE26DD" w:rsidRDefault="00BE26DD" w:rsidP="0003529A">
      <w:pPr>
        <w:spacing w:before="240"/>
        <w:jc w:val="both"/>
        <w:rPr>
          <w:rFonts w:eastAsia="Times New Roman"/>
        </w:rPr>
      </w:pPr>
    </w:p>
    <w:p w14:paraId="23D6B349" w14:textId="77777777" w:rsidR="00BE26DD" w:rsidRPr="0003529A" w:rsidRDefault="00BE26DD" w:rsidP="0003529A">
      <w:pPr>
        <w:spacing w:before="240"/>
        <w:jc w:val="both"/>
        <w:rPr>
          <w:rFonts w:asciiTheme="minorHAnsi" w:hAnsiTheme="minorHAnsi" w:cstheme="minorBidi"/>
        </w:rPr>
      </w:pPr>
    </w:p>
    <w:p w14:paraId="698F75F1" w14:textId="1ED3DC73" w:rsidR="000F108B" w:rsidRDefault="001C6A9D" w:rsidP="00235853">
      <w:r>
        <w:rPr>
          <w:noProof/>
        </w:rPr>
        <w:lastRenderedPageBreak/>
        <mc:AlternateContent>
          <mc:Choice Requires="wpg">
            <w:drawing>
              <wp:anchor distT="0" distB="0" distL="114300" distR="114300" simplePos="0" relativeHeight="251658244" behindDoc="0" locked="0" layoutInCell="1" allowOverlap="1" wp14:anchorId="121B674F" wp14:editId="1C551674">
                <wp:simplePos x="0" y="0"/>
                <wp:positionH relativeFrom="column">
                  <wp:posOffset>-685800</wp:posOffset>
                </wp:positionH>
                <wp:positionV relativeFrom="paragraph">
                  <wp:posOffset>1902460</wp:posOffset>
                </wp:positionV>
                <wp:extent cx="7546340" cy="1084580"/>
                <wp:effectExtent l="0" t="12700" r="0" b="7620"/>
                <wp:wrapNone/>
                <wp:docPr id="168221322" name="Group 31"/>
                <wp:cNvGraphicFramePr/>
                <a:graphic xmlns:a="http://schemas.openxmlformats.org/drawingml/2006/main">
                  <a:graphicData uri="http://schemas.microsoft.com/office/word/2010/wordprocessingGroup">
                    <wpg:wgp>
                      <wpg:cNvGrpSpPr/>
                      <wpg:grpSpPr>
                        <a:xfrm>
                          <a:off x="0" y="0"/>
                          <a:ext cx="7546340" cy="1084580"/>
                          <a:chOff x="35306" y="1597660"/>
                          <a:chExt cx="7546340" cy="1085088"/>
                        </a:xfrm>
                      </wpg:grpSpPr>
                      <wps:wsp>
                        <wps:cNvPr id="1493187613" name="Text Box 27"/>
                        <wps:cNvSpPr txBox="1"/>
                        <wps:spPr>
                          <a:xfrm>
                            <a:off x="35306" y="1914008"/>
                            <a:ext cx="7546340" cy="488193"/>
                          </a:xfrm>
                          <a:prstGeom prst="rect">
                            <a:avLst/>
                          </a:prstGeom>
                          <a:noFill/>
                          <a:ln w="6350">
                            <a:noFill/>
                          </a:ln>
                        </wps:spPr>
                        <wps:txbx>
                          <w:txbxContent>
                            <w:p w14:paraId="2AEBA7A0" w14:textId="4F439EFE" w:rsidR="009470FA" w:rsidRPr="001C6A9D" w:rsidRDefault="009470FA" w:rsidP="001C6A9D">
                              <w:pPr>
                                <w:pStyle w:val="Title"/>
                                <w:rPr>
                                  <w:rStyle w:val="Strong"/>
                                </w:rPr>
                              </w:pPr>
                              <w:r w:rsidRPr="001C6A9D">
                                <w:rPr>
                                  <w:rStyle w:val="Strong"/>
                                </w:rPr>
                                <w:t>LAW STUDENT REVIEW</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86141420" name="Straight Connector 27"/>
                        <wps:cNvCnPr/>
                        <wps:spPr>
                          <a:xfrm>
                            <a:off x="256032" y="1597660"/>
                            <a:ext cx="7107428" cy="0"/>
                          </a:xfrm>
                          <a:prstGeom prst="line">
                            <a:avLst/>
                          </a:prstGeom>
                          <a:ln w="25400">
                            <a:solidFill>
                              <a:schemeClr val="bg1"/>
                            </a:solidFill>
                          </a:ln>
                        </wps:spPr>
                        <wps:style>
                          <a:lnRef idx="1">
                            <a:schemeClr val="accent1"/>
                          </a:lnRef>
                          <a:fillRef idx="0">
                            <a:schemeClr val="accent1"/>
                          </a:fillRef>
                          <a:effectRef idx="0">
                            <a:schemeClr val="accent1"/>
                          </a:effectRef>
                          <a:fontRef idx="minor">
                            <a:schemeClr val="tx1"/>
                          </a:fontRef>
                        </wps:style>
                        <wps:bodyPr/>
                      </wps:wsp>
                      <wps:wsp>
                        <wps:cNvPr id="2089456829" name="Straight Connector 27"/>
                        <wps:cNvCnPr/>
                        <wps:spPr>
                          <a:xfrm>
                            <a:off x="256032" y="2682748"/>
                            <a:ext cx="7107428" cy="0"/>
                          </a:xfrm>
                          <a:prstGeom prst="line">
                            <a:avLst/>
                          </a:prstGeom>
                          <a:ln w="25400">
                            <a:solidFill>
                              <a:schemeClr val="bg1"/>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121B674F" id="_x0000_s1034" style="position:absolute;margin-left:-54pt;margin-top:149.8pt;width:594.2pt;height:85.4pt;z-index:251658244;mso-width-relative:margin;mso-height-relative:margin" coordorigin="353,15976" coordsize="75463,1085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">
                <v:shape id="_x0000_s1035" type="#_x0000_t202" style="position:absolute;left:353;top:19140;width:75463;height:488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" filled="f" stroked="f" strokeweight=".5pt">
                  <v:textbox>
                    <w:txbxContent>
                      <w:p w14:paraId="2AEBA7A0" w14:textId="4F439EFE" w:rsidR="009470FA" w:rsidRPr="001C6A9D" w:rsidRDefault="009470FA" w:rsidP="001C6A9D">
                        <w:pPr>
                          <w:pStyle w:val="Title"/>
                          <w:rPr>
                            <w:rStyle w:val="Strong"/>
                          </w:rPr>
                        </w:pPr>
                        <w:r w:rsidRPr="001C6A9D">
                          <w:rPr>
                            <w:rStyle w:val="Strong"/>
                          </w:rPr>
                          <w:t>LAW STUDENT REVIEW</w:t>
                        </w:r>
                      </w:p>
                    </w:txbxContent>
                  </v:textbox>
                </v:shape>
                <v:line id="Straight Connector 27" o:spid="_x0000_s1036" style="position:absolute;visibility:visible;mso-wrap-style:square" from="2560,15976" to="73634,15976"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" strokecolor="white [3212]" strokeweight="2pt">
                  <v:stroke joinstyle="miter"/>
                </v:line>
                <v:line id="Straight Connector 27" o:spid="_x0000_s1037" style="position:absolute;visibility:visible;mso-wrap-style:square" from="2560,26827" to="73634,26827"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" strokecolor="white [3212]" strokeweight="2pt">
                  <v:stroke joinstyle="miter"/>
                </v:line>
              </v:group>
            </w:pict>
          </mc:Fallback>
        </mc:AlternateContent>
      </w:r>
      <w:r w:rsidR="0095632F">
        <w:rPr>
          <w:noProof/>
        </w:rPr>
        <mc:AlternateContent>
          <mc:Choice Requires="wps">
            <w:drawing>
              <wp:anchor distT="0" distB="0" distL="114300" distR="114300" simplePos="0" relativeHeight="251658245" behindDoc="0" locked="0" layoutInCell="1" allowOverlap="1" wp14:anchorId="2BE59E55" wp14:editId="40BCEAFD">
                <wp:simplePos x="0" y="0"/>
                <wp:positionH relativeFrom="column">
                  <wp:posOffset>-161544</wp:posOffset>
                </wp:positionH>
                <wp:positionV relativeFrom="paragraph">
                  <wp:posOffset>3340608</wp:posOffset>
                </wp:positionV>
                <wp:extent cx="6449568" cy="560832"/>
                <wp:effectExtent l="0" t="0" r="0" b="0"/>
                <wp:wrapNone/>
                <wp:docPr id="1144751722" name="Text Box 27"/>
                <wp:cNvGraphicFramePr/>
                <a:graphic xmlns:a="http://schemas.openxmlformats.org/drawingml/2006/main">
                  <a:graphicData uri="http://schemas.microsoft.com/office/word/2010/wordprocessingShape">
                    <wps:wsp>
                      <wps:cNvSpPr txBox="1"/>
                      <wps:spPr>
                        <a:xfrm>
                          <a:off x="0" y="0"/>
                          <a:ext cx="6449568" cy="560832"/>
                        </a:xfrm>
                        <a:prstGeom prst="rect">
                          <a:avLst/>
                        </a:prstGeom>
                        <a:noFill/>
                        <a:ln w="6350">
                          <a:noFill/>
                        </a:ln>
                      </wps:spPr>
                      <wps:txbx>
                        <w:txbxContent>
                          <w:p w14:paraId="2D52EFFE" w14:textId="2A439BF2" w:rsidR="0095632F" w:rsidRPr="00E23ACE" w:rsidRDefault="0095632F" w:rsidP="00235853">
                            <w:pPr>
                              <w:pStyle w:val="Subtitle"/>
                              <w:rPr>
                                <w:rStyle w:val="SubtleEmphasis"/>
                              </w:rPr>
                            </w:pPr>
                            <w:r w:rsidRPr="00E23ACE">
                              <w:rPr>
                                <w:rStyle w:val="SubtleEmphasis"/>
                              </w:rPr>
                              <w:t xml:space="preserve">Disclaimer: The views expressed herein are solely those of the author and do not necessarily reflect </w:t>
                            </w:r>
                            <w:r w:rsidR="00E0232C" w:rsidRPr="00E23ACE">
                              <w:rPr>
                                <w:rStyle w:val="SubtleEmphasis"/>
                              </w:rPr>
                              <w:t>other authors or the Law Student Review</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2BE59E55" id="Text Box 27" o:spid="_x0000_s1038" type="#_x0000_t202" style="position:absolute;margin-left:-12.7pt;margin-top:263.05pt;width:507.85pt;height:44.15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" filled="f" stroked="f" strokeweight=".5pt">
                <v:textbox>
                  <w:txbxContent>
                    <w:p w14:paraId="2D52EFFE" w14:textId="2A439BF2" w:rsidR="0095632F" w:rsidRPr="00E23ACE" w:rsidRDefault="0095632F" w:rsidP="00235853">
                      <w:pPr>
                        <w:pStyle w:val="Subtitle"/>
                        <w:rPr>
                          <w:rStyle w:val="SubtleEmphasis"/>
                        </w:rPr>
                      </w:pPr>
                      <w:r w:rsidRPr="00E23ACE">
                        <w:rPr>
                          <w:rStyle w:val="SubtleEmphasis"/>
                        </w:rPr>
                        <w:t xml:space="preserve">Disclaimer: The views expressed herein are solely those of the author and do not necessarily reflect </w:t>
                      </w:r>
                      <w:r w:rsidR="00E0232C" w:rsidRPr="00E23ACE">
                        <w:rPr>
                          <w:rStyle w:val="SubtleEmphasis"/>
                        </w:rPr>
                        <w:t>other authors or the Law Student Review</w:t>
                      </w:r>
                    </w:p>
                  </w:txbxContent>
                </v:textbox>
              </v:shape>
            </w:pict>
          </mc:Fallback>
        </mc:AlternateContent>
      </w:r>
      <w:r w:rsidR="008A391C">
        <w:rPr>
          <w:noProof/>
        </w:rPr>
        <mc:AlternateContent>
          <mc:Choice Requires="wps">
            <w:drawing>
              <wp:anchor distT="0" distB="0" distL="114300" distR="114300" simplePos="0" relativeHeight="251658240" behindDoc="0" locked="0" layoutInCell="1" allowOverlap="1" wp14:anchorId="2CEEBA33" wp14:editId="685847FB">
                <wp:simplePos x="0" y="0"/>
                <wp:positionH relativeFrom="column">
                  <wp:posOffset>-685165</wp:posOffset>
                </wp:positionH>
                <wp:positionV relativeFrom="paragraph">
                  <wp:posOffset>-926465</wp:posOffset>
                </wp:positionV>
                <wp:extent cx="7545720" cy="10668000"/>
                <wp:effectExtent l="0" t="0" r="10795" b="12700"/>
                <wp:wrapNone/>
                <wp:docPr id="1958028090" name="Rectangle 32"/>
                <wp:cNvGraphicFramePr/>
                <a:graphic xmlns:a="http://schemas.openxmlformats.org/drawingml/2006/main">
                  <a:graphicData uri="http://schemas.microsoft.com/office/word/2010/wordprocessingShape">
                    <wps:wsp>
                      <wps:cNvSpPr/>
                      <wps:spPr>
                        <a:xfrm>
                          <a:off x="0" y="0"/>
                          <a:ext cx="7545720" cy="10668000"/>
                        </a:xfrm>
                        <a:prstGeom prst="rect">
                          <a:avLst/>
                        </a:prstGeom>
                        <a:solidFill>
                          <a:schemeClr val="tx2"/>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43D01373" id="Rectangle 32" o:spid="_x0000_s1026" style="position:absolute;margin-left:-53.95pt;margin-top:-72.95pt;width:594.15pt;height:840pt;z-index:2516469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" fillcolor="#0e2841 [3215]" strokecolor="#030e13 [484]" strokeweight="1pt"/>
            </w:pict>
          </mc:Fallback>
        </mc:AlternateContent>
      </w:r>
      <w:r w:rsidR="00EF6D7D">
        <w:rPr>
          <w:noProof/>
        </w:rPr>
        <mc:AlternateContent>
          <mc:Choice Requires="wps">
            <w:drawing>
              <wp:anchor distT="0" distB="0" distL="114300" distR="114300" simplePos="0" relativeHeight="251658241" behindDoc="0" locked="0" layoutInCell="1" allowOverlap="1" wp14:anchorId="0C3EA4BA" wp14:editId="6ACC2562">
                <wp:simplePos x="0" y="0"/>
                <wp:positionH relativeFrom="column">
                  <wp:posOffset>-685800</wp:posOffset>
                </wp:positionH>
                <wp:positionV relativeFrom="paragraph">
                  <wp:posOffset>-926592</wp:posOffset>
                </wp:positionV>
                <wp:extent cx="6668770" cy="0"/>
                <wp:effectExtent l="0" t="0" r="11430" b="12700"/>
                <wp:wrapNone/>
                <wp:docPr id="1913028425" name="Straight Connector 22"/>
                <wp:cNvGraphicFramePr/>
                <a:graphic xmlns:a="http://schemas.openxmlformats.org/drawingml/2006/main">
                  <a:graphicData uri="http://schemas.microsoft.com/office/word/2010/wordprocessingShape">
                    <wps:wsp>
                      <wps:cNvCnPr/>
                      <wps:spPr>
                        <a:xfrm>
                          <a:off x="0" y="0"/>
                          <a:ext cx="6668770" cy="0"/>
                        </a:xfrm>
                        <a:prstGeom prst="line">
                          <a:avLst/>
                        </a:prstGeom>
                        <a:ln>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cei="http://schemas.microsoft.com/office/word/2026/wordml/cei">
            <w:pict>
              <v:line w14:anchorId="0482638F" id="Straight Connector 22" o:spid="_x0000_s1026" style="position:absolute;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4pt,-72.95pt" to="471.1pt,-72.9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" strokecolor="white [3212]" strokeweight=".5pt">
                <v:stroke joinstyle="miter"/>
              </v:line>
            </w:pict>
          </mc:Fallback>
        </mc:AlternateContent>
      </w:r>
    </w:p>
    <w:sectPr w:rsidR="000F108B" w:rsidSect="00334ADB">
      <w:footerReference w:type="even" r:id="rId8"/>
      <w:footerReference w:type="default" r:id="rId9"/>
      <w:pgSz w:w="11906" w:h="16838"/>
      <w:pgMar w:top="1440" w:right="1080" w:bottom="1440" w:left="108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D27CC8" w14:textId="77777777" w:rsidR="00CD44DF" w:rsidRDefault="00CD44DF" w:rsidP="00235853">
      <w:r>
        <w:separator/>
      </w:r>
    </w:p>
  </w:endnote>
  <w:endnote w:type="continuationSeparator" w:id="0">
    <w:p w14:paraId="242FEBB1" w14:textId="77777777" w:rsidR="00CD44DF" w:rsidRDefault="00CD44DF" w:rsidP="002358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631162930"/>
      <w:docPartObj>
        <w:docPartGallery w:val="Page Numbers (Bottom of Page)"/>
        <w:docPartUnique/>
      </w:docPartObj>
    </w:sdtPr>
    <w:sdtContent>
      <w:p w14:paraId="4E6ABFC8" w14:textId="3653FED2" w:rsidR="00334ADB" w:rsidRDefault="00334ADB" w:rsidP="00235853">
        <w:pPr>
          <w:pStyle w:val="Foot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7D0A742B" w14:textId="77777777" w:rsidR="00334ADB" w:rsidRDefault="00334ADB" w:rsidP="0023585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B0F5DF" w14:textId="32A2F460" w:rsidR="00334ADB" w:rsidRDefault="00000000" w:rsidP="00235853">
    <w:pPr>
      <w:pStyle w:val="Footer"/>
      <w:jc w:val="right"/>
    </w:pPr>
    <w:sdt>
      <w:sdtPr>
        <w:rPr>
          <w:rStyle w:val="PageNumber"/>
        </w:rPr>
        <w:id w:val="1063142190"/>
        <w:docPartObj>
          <w:docPartGallery w:val="Page Numbers (Bottom of Page)"/>
          <w:docPartUnique/>
        </w:docPartObj>
      </w:sdtPr>
      <w:sdtContent>
        <w:r w:rsidR="00334ADB">
          <w:rPr>
            <w:rStyle w:val="PageNumber"/>
          </w:rPr>
          <w:fldChar w:fldCharType="begin"/>
        </w:r>
        <w:r w:rsidR="00334ADB">
          <w:rPr>
            <w:rStyle w:val="PageNumber"/>
          </w:rPr>
          <w:instrText xml:space="preserve"> PAGE </w:instrText>
        </w:r>
        <w:r w:rsidR="00334ADB">
          <w:rPr>
            <w:rStyle w:val="PageNumber"/>
          </w:rPr>
          <w:fldChar w:fldCharType="separate"/>
        </w:r>
        <w:r w:rsidR="00334ADB">
          <w:rPr>
            <w:rStyle w:val="PageNumber"/>
            <w:noProof/>
          </w:rPr>
          <w:t>3</w:t>
        </w:r>
        <w:r w:rsidR="00334ADB">
          <w:rPr>
            <w:rStyle w:val="PageNumber"/>
          </w:rPr>
          <w:fldChar w:fldCharType="end"/>
        </w:r>
      </w:sdtContent>
    </w:sdt>
    <w:r w:rsidR="00235853">
      <w:rPr>
        <w:rStyle w:val="PageNumber"/>
      </w:rPr>
      <w:t xml:space="preserve"> </w:t>
    </w:r>
    <w:r w:rsidR="00334ADB">
      <w:t>| PAGE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244643" w14:textId="77777777" w:rsidR="00CD44DF" w:rsidRDefault="00CD44DF" w:rsidP="00235853">
      <w:r>
        <w:separator/>
      </w:r>
    </w:p>
  </w:footnote>
  <w:footnote w:type="continuationSeparator" w:id="0">
    <w:p w14:paraId="45BE9C60" w14:textId="77777777" w:rsidR="00CD44DF" w:rsidRDefault="00CD44DF" w:rsidP="00235853">
      <w:r>
        <w:continuationSeparator/>
      </w:r>
    </w:p>
  </w:footnote>
  <w:footnote w:id="1">
    <w:p w14:paraId="098CD12F" w14:textId="59FF2686" w:rsidR="00EC3051" w:rsidRPr="00BE26DD" w:rsidRDefault="00EC3051" w:rsidP="55ED5891">
      <w:pPr>
        <w:pStyle w:val="FootnoteText"/>
        <w:rPr>
          <w:rFonts w:ascii="Times New Roman" w:eastAsia="Times New Roman" w:hAnsi="Times New Roman" w:cs="Times New Roman"/>
          <w:color w:val="000000" w:themeColor="text1"/>
        </w:rPr>
      </w:pPr>
      <w:r w:rsidRPr="00BE26DD">
        <w:rPr>
          <w:rStyle w:val="FootnoteReference"/>
          <w:rFonts w:ascii="Times New Roman" w:eastAsia="Times New Roman" w:hAnsi="Times New Roman" w:cs="Times New Roman"/>
        </w:rPr>
        <w:footnoteRef/>
      </w:r>
      <w:r w:rsidRPr="00BE26DD">
        <w:rPr>
          <w:rFonts w:ascii="Times New Roman" w:eastAsia="Times New Roman" w:hAnsi="Times New Roman" w:cs="Times New Roman"/>
        </w:rPr>
        <w:t xml:space="preserve"> </w:t>
      </w:r>
      <w:r w:rsidRPr="00BE26DD">
        <w:rPr>
          <w:rFonts w:ascii="Times New Roman" w:eastAsia="Times New Roman" w:hAnsi="Times New Roman" w:cs="Times New Roman"/>
          <w:i/>
          <w:iCs/>
          <w:color w:val="000000" w:themeColor="text1"/>
        </w:rPr>
        <w:t>Real Property Act</w:t>
      </w:r>
      <w:r w:rsidRPr="00BE26DD">
        <w:rPr>
          <w:rFonts w:ascii="Times New Roman" w:eastAsia="Times New Roman" w:hAnsi="Times New Roman" w:cs="Times New Roman"/>
          <w:color w:val="000000" w:themeColor="text1"/>
        </w:rPr>
        <w:t xml:space="preserve"> (1900) s 42. </w:t>
      </w:r>
    </w:p>
  </w:footnote>
  <w:footnote w:id="2">
    <w:p w14:paraId="7A41B776" w14:textId="77777777" w:rsidR="00EC3051" w:rsidRPr="00BE26DD" w:rsidRDefault="00EC3051" w:rsidP="55ED5891">
      <w:pPr>
        <w:pStyle w:val="FootnoteText"/>
        <w:rPr>
          <w:rFonts w:ascii="Times New Roman" w:eastAsia="Calibri" w:hAnsi="Times New Roman" w:cs="Times New Roman"/>
          <w:color w:val="000000" w:themeColor="text1"/>
        </w:rPr>
      </w:pPr>
      <w:r w:rsidRPr="00BE26DD">
        <w:rPr>
          <w:rStyle w:val="FootnoteReference"/>
          <w:rFonts w:ascii="Times New Roman" w:eastAsia="Times New Roman" w:hAnsi="Times New Roman" w:cs="Times New Roman"/>
        </w:rPr>
        <w:footnoteRef/>
      </w:r>
      <w:r w:rsidRPr="00BE26DD">
        <w:rPr>
          <w:rFonts w:ascii="Times New Roman" w:eastAsia="Times New Roman" w:hAnsi="Times New Roman" w:cs="Times New Roman"/>
        </w:rPr>
        <w:t xml:space="preserve"> </w:t>
      </w:r>
      <w:proofErr w:type="spellStart"/>
      <w:r w:rsidRPr="00BE26DD">
        <w:rPr>
          <w:rFonts w:ascii="Times New Roman" w:eastAsia="Times New Roman" w:hAnsi="Times New Roman" w:cs="Times New Roman"/>
          <w:i/>
          <w:iCs/>
          <w:color w:val="000000" w:themeColor="text1"/>
        </w:rPr>
        <w:t>Nyangbul</w:t>
      </w:r>
      <w:proofErr w:type="spellEnd"/>
      <w:r w:rsidRPr="00BE26DD">
        <w:rPr>
          <w:rFonts w:ascii="Times New Roman" w:eastAsia="Times New Roman" w:hAnsi="Times New Roman" w:cs="Times New Roman"/>
          <w:i/>
          <w:iCs/>
          <w:color w:val="000000" w:themeColor="text1"/>
        </w:rPr>
        <w:t xml:space="preserve"> v State of New South Wales</w:t>
      </w:r>
      <w:r w:rsidRPr="00BE26DD">
        <w:rPr>
          <w:rFonts w:ascii="Times New Roman" w:eastAsia="Times New Roman" w:hAnsi="Times New Roman" w:cs="Times New Roman"/>
          <w:color w:val="000000" w:themeColor="text1"/>
        </w:rPr>
        <w:t xml:space="preserve"> [2025] NSWCA 119 (‘</w:t>
      </w:r>
      <w:proofErr w:type="spellStart"/>
      <w:r w:rsidRPr="00BE26DD">
        <w:rPr>
          <w:rFonts w:ascii="Times New Roman" w:eastAsia="Times New Roman" w:hAnsi="Times New Roman" w:cs="Times New Roman"/>
          <w:i/>
          <w:iCs/>
          <w:color w:val="000000" w:themeColor="text1"/>
        </w:rPr>
        <w:t>Nyangbul</w:t>
      </w:r>
      <w:proofErr w:type="spellEnd"/>
      <w:r w:rsidRPr="00BE26DD">
        <w:rPr>
          <w:rFonts w:ascii="Times New Roman" w:eastAsia="Times New Roman" w:hAnsi="Times New Roman" w:cs="Times New Roman"/>
          <w:i/>
          <w:iCs/>
          <w:color w:val="000000" w:themeColor="text1"/>
        </w:rPr>
        <w:t>’</w:t>
      </w:r>
      <w:r w:rsidRPr="00BE26DD">
        <w:rPr>
          <w:rFonts w:ascii="Times New Roman" w:eastAsia="Times New Roman" w:hAnsi="Times New Roman" w:cs="Times New Roman"/>
          <w:color w:val="000000" w:themeColor="text1"/>
        </w:rPr>
        <w:t>).</w:t>
      </w:r>
    </w:p>
    <w:p w14:paraId="46281D55" w14:textId="77777777" w:rsidR="00EC3051" w:rsidRPr="00BE26DD" w:rsidRDefault="00EC3051" w:rsidP="55ED5891">
      <w:pPr>
        <w:pStyle w:val="FootnoteText"/>
        <w:rPr>
          <w:rFonts w:ascii="Times New Roman" w:hAnsi="Times New Roman" w:cs="Times New Roman"/>
        </w:rPr>
      </w:pPr>
    </w:p>
  </w:footnote>
  <w:footnote w:id="3">
    <w:p w14:paraId="0BFA1C46" w14:textId="77777777" w:rsidR="00EC3051" w:rsidRPr="00BE26DD" w:rsidRDefault="00EC3051" w:rsidP="55ED5891">
      <w:pPr>
        <w:pStyle w:val="FootnoteText"/>
        <w:rPr>
          <w:rFonts w:ascii="Times New Roman" w:hAnsi="Times New Roman" w:cs="Times New Roman"/>
        </w:rPr>
      </w:pPr>
      <w:r w:rsidRPr="00BE26DD">
        <w:rPr>
          <w:rStyle w:val="FootnoteReference"/>
          <w:rFonts w:ascii="Times New Roman" w:hAnsi="Times New Roman" w:cs="Times New Roman"/>
        </w:rPr>
        <w:footnoteRef/>
      </w:r>
      <w:r w:rsidRPr="00BE26DD">
        <w:rPr>
          <w:rFonts w:ascii="Times New Roman" w:hAnsi="Times New Roman" w:cs="Times New Roman"/>
        </w:rPr>
        <w:t xml:space="preserve"> </w:t>
      </w:r>
      <w:r w:rsidRPr="00BE26DD">
        <w:rPr>
          <w:rFonts w:ascii="Times New Roman" w:eastAsia="Times New Roman" w:hAnsi="Times New Roman" w:cs="Times New Roman"/>
          <w:i/>
          <w:iCs/>
          <w:color w:val="000000" w:themeColor="text1"/>
        </w:rPr>
        <w:t>Coe v Commonwealth</w:t>
      </w:r>
      <w:r w:rsidRPr="00BE26DD">
        <w:rPr>
          <w:rFonts w:ascii="Times New Roman" w:eastAsia="Times New Roman" w:hAnsi="Times New Roman" w:cs="Times New Roman"/>
          <w:color w:val="000000" w:themeColor="text1"/>
        </w:rPr>
        <w:t xml:space="preserve"> [1979] HCA 68; (1979) 53 ALJR 403, 408.</w:t>
      </w:r>
    </w:p>
  </w:footnote>
  <w:footnote w:id="4">
    <w:p w14:paraId="151B6D78" w14:textId="77777777" w:rsidR="00EC3051" w:rsidRPr="00BE26DD" w:rsidRDefault="00EC3051" w:rsidP="55ED5891">
      <w:pPr>
        <w:pStyle w:val="FootnoteText"/>
        <w:rPr>
          <w:rFonts w:ascii="Times New Roman" w:hAnsi="Times New Roman" w:cs="Times New Roman"/>
        </w:rPr>
      </w:pPr>
      <w:r w:rsidRPr="00BE26DD">
        <w:rPr>
          <w:rStyle w:val="FootnoteReference"/>
          <w:rFonts w:ascii="Times New Roman" w:hAnsi="Times New Roman" w:cs="Times New Roman"/>
        </w:rPr>
        <w:footnoteRef/>
      </w:r>
      <w:r w:rsidRPr="00BE26DD">
        <w:rPr>
          <w:rFonts w:ascii="Times New Roman" w:hAnsi="Times New Roman" w:cs="Times New Roman"/>
        </w:rPr>
        <w:t xml:space="preserve"> Ibid. </w:t>
      </w:r>
    </w:p>
  </w:footnote>
  <w:footnote w:id="5">
    <w:p w14:paraId="27C930DE" w14:textId="1553DEBA" w:rsidR="00EC3051" w:rsidRPr="00BE26DD" w:rsidRDefault="00EC3051" w:rsidP="55ED5891">
      <w:pPr>
        <w:pStyle w:val="FootnoteText"/>
        <w:rPr>
          <w:rFonts w:ascii="Times New Roman" w:eastAsia="Times New Roman" w:hAnsi="Times New Roman" w:cs="Times New Roman"/>
          <w:color w:val="000000" w:themeColor="text1"/>
        </w:rPr>
      </w:pPr>
      <w:r w:rsidRPr="00BE26DD">
        <w:rPr>
          <w:rStyle w:val="FootnoteReference"/>
          <w:rFonts w:ascii="Times New Roman" w:hAnsi="Times New Roman" w:cs="Times New Roman"/>
        </w:rPr>
        <w:footnoteRef/>
      </w:r>
      <w:r w:rsidRPr="00BE26DD">
        <w:rPr>
          <w:rFonts w:ascii="Times New Roman" w:hAnsi="Times New Roman" w:cs="Times New Roman"/>
        </w:rPr>
        <w:t xml:space="preserve"> </w:t>
      </w:r>
      <w:r w:rsidRPr="00BE26DD">
        <w:rPr>
          <w:rFonts w:ascii="Times New Roman" w:eastAsia="Times New Roman" w:hAnsi="Times New Roman" w:cs="Times New Roman"/>
          <w:i/>
          <w:iCs/>
          <w:color w:val="000000" w:themeColor="text1"/>
        </w:rPr>
        <w:t>Mabo v Queensland (No 2)</w:t>
      </w:r>
      <w:r w:rsidRPr="00BE26DD">
        <w:rPr>
          <w:rFonts w:ascii="Times New Roman" w:eastAsia="Times New Roman" w:hAnsi="Times New Roman" w:cs="Times New Roman"/>
          <w:color w:val="000000" w:themeColor="text1"/>
        </w:rPr>
        <w:t xml:space="preserve"> [1992] HCA 23; (1992) 175 CLR 1 (‘</w:t>
      </w:r>
      <w:r w:rsidRPr="00BE26DD">
        <w:rPr>
          <w:rFonts w:ascii="Times New Roman" w:eastAsia="Times New Roman" w:hAnsi="Times New Roman" w:cs="Times New Roman"/>
          <w:i/>
          <w:iCs/>
          <w:color w:val="000000" w:themeColor="text1"/>
        </w:rPr>
        <w:t>Mabo (No 2)’</w:t>
      </w:r>
      <w:r w:rsidRPr="00BE26DD">
        <w:rPr>
          <w:rFonts w:ascii="Times New Roman" w:eastAsia="Times New Roman" w:hAnsi="Times New Roman" w:cs="Times New Roman"/>
          <w:color w:val="000000" w:themeColor="text1"/>
        </w:rPr>
        <w:t>).</w:t>
      </w:r>
    </w:p>
  </w:footnote>
  <w:footnote w:id="6">
    <w:p w14:paraId="67E66CA6" w14:textId="2B05F714" w:rsidR="00EC3051" w:rsidRPr="00BE26DD" w:rsidRDefault="00EC3051" w:rsidP="55ED5891">
      <w:pPr>
        <w:pStyle w:val="FootnoteText"/>
        <w:rPr>
          <w:rFonts w:ascii="Times New Roman" w:eastAsia="Times New Roman" w:hAnsi="Times New Roman" w:cs="Times New Roman"/>
          <w:color w:val="000000" w:themeColor="text1"/>
        </w:rPr>
      </w:pPr>
      <w:r w:rsidRPr="00BE26DD">
        <w:rPr>
          <w:rStyle w:val="FootnoteReference"/>
          <w:rFonts w:ascii="Times New Roman" w:hAnsi="Times New Roman" w:cs="Times New Roman"/>
        </w:rPr>
        <w:footnoteRef/>
      </w:r>
      <w:r w:rsidRPr="00BE26DD">
        <w:rPr>
          <w:rFonts w:ascii="Times New Roman" w:hAnsi="Times New Roman" w:cs="Times New Roman"/>
        </w:rPr>
        <w:t xml:space="preserve"> </w:t>
      </w:r>
      <w:r w:rsidRPr="00BE26DD">
        <w:rPr>
          <w:rFonts w:ascii="Times New Roman" w:eastAsia="Times New Roman" w:hAnsi="Times New Roman" w:cs="Times New Roman"/>
          <w:i/>
          <w:iCs/>
          <w:color w:val="000000" w:themeColor="text1"/>
        </w:rPr>
        <w:t>Coe v Commonwealth</w:t>
      </w:r>
      <w:r w:rsidRPr="00BE26DD">
        <w:rPr>
          <w:rFonts w:ascii="Times New Roman" w:eastAsia="Times New Roman" w:hAnsi="Times New Roman" w:cs="Times New Roman"/>
          <w:color w:val="000000" w:themeColor="text1"/>
        </w:rPr>
        <w:t xml:space="preserve"> [1979] HCA 68; (1979) 53 ALJR 403, 408.</w:t>
      </w:r>
    </w:p>
  </w:footnote>
  <w:footnote w:id="7">
    <w:p w14:paraId="6F62AC71" w14:textId="69D61EF7" w:rsidR="00EC3051" w:rsidRPr="00BE26DD" w:rsidRDefault="00EC3051" w:rsidP="55ED5891">
      <w:pPr>
        <w:pStyle w:val="FootnoteText"/>
        <w:rPr>
          <w:rFonts w:ascii="Times New Roman" w:eastAsia="Calibri" w:hAnsi="Times New Roman" w:cs="Times New Roman"/>
          <w:color w:val="000000" w:themeColor="text1"/>
        </w:rPr>
      </w:pPr>
      <w:r w:rsidRPr="00BE26DD">
        <w:rPr>
          <w:rStyle w:val="FootnoteReference"/>
          <w:rFonts w:ascii="Times New Roman" w:hAnsi="Times New Roman" w:cs="Times New Roman"/>
        </w:rPr>
        <w:footnoteRef/>
      </w:r>
      <w:r w:rsidRPr="00BE26DD">
        <w:rPr>
          <w:rFonts w:ascii="Times New Roman" w:hAnsi="Times New Roman" w:cs="Times New Roman"/>
        </w:rPr>
        <w:t xml:space="preserve"> </w:t>
      </w:r>
      <w:r w:rsidRPr="00BE26DD">
        <w:rPr>
          <w:rFonts w:ascii="Times New Roman" w:eastAsia="Calibri" w:hAnsi="Times New Roman" w:cs="Times New Roman"/>
          <w:color w:val="000000" w:themeColor="text1"/>
        </w:rPr>
        <w:t xml:space="preserve">Michelle Sanson and Thalia Anthony, </w:t>
      </w:r>
      <w:r w:rsidRPr="00BE26DD">
        <w:rPr>
          <w:rFonts w:ascii="Times New Roman" w:eastAsia="Calibri" w:hAnsi="Times New Roman" w:cs="Times New Roman"/>
          <w:i/>
          <w:iCs/>
          <w:color w:val="000000" w:themeColor="text1"/>
        </w:rPr>
        <w:t>Connecting with Law</w:t>
      </w:r>
      <w:r w:rsidRPr="00BE26DD">
        <w:rPr>
          <w:rFonts w:ascii="Times New Roman" w:eastAsia="Calibri" w:hAnsi="Times New Roman" w:cs="Times New Roman"/>
          <w:color w:val="000000" w:themeColor="text1"/>
        </w:rPr>
        <w:t xml:space="preserve"> (Oxford University Press, 5</w:t>
      </w:r>
      <w:r w:rsidRPr="00BE26DD">
        <w:rPr>
          <w:rFonts w:ascii="Times New Roman" w:eastAsia="Calibri" w:hAnsi="Times New Roman" w:cs="Times New Roman"/>
          <w:color w:val="000000" w:themeColor="text1"/>
          <w:vertAlign w:val="superscript"/>
        </w:rPr>
        <w:t>th</w:t>
      </w:r>
      <w:r w:rsidRPr="00BE26DD">
        <w:rPr>
          <w:rFonts w:ascii="Times New Roman" w:eastAsia="Calibri" w:hAnsi="Times New Roman" w:cs="Times New Roman"/>
          <w:color w:val="000000" w:themeColor="text1"/>
        </w:rPr>
        <w:t xml:space="preserve"> ed, 2022) 598. </w:t>
      </w:r>
    </w:p>
  </w:footnote>
  <w:footnote w:id="8">
    <w:p w14:paraId="377E53A7" w14:textId="77777777" w:rsidR="00EC3051" w:rsidRPr="00BE26DD" w:rsidRDefault="00EC3051" w:rsidP="55ED5891">
      <w:pPr>
        <w:pStyle w:val="FootnoteText"/>
        <w:rPr>
          <w:rFonts w:ascii="Times New Roman" w:hAnsi="Times New Roman" w:cs="Times New Roman"/>
        </w:rPr>
      </w:pPr>
      <w:r w:rsidRPr="00BE26DD">
        <w:rPr>
          <w:rStyle w:val="FootnoteReference"/>
          <w:rFonts w:ascii="Times New Roman" w:hAnsi="Times New Roman" w:cs="Times New Roman"/>
        </w:rPr>
        <w:footnoteRef/>
      </w:r>
      <w:r w:rsidRPr="00BE26DD">
        <w:rPr>
          <w:rFonts w:ascii="Times New Roman" w:hAnsi="Times New Roman" w:cs="Times New Roman"/>
        </w:rPr>
        <w:t xml:space="preserve"> </w:t>
      </w:r>
      <w:proofErr w:type="spellStart"/>
      <w:r w:rsidRPr="00BE26DD">
        <w:rPr>
          <w:rFonts w:ascii="Times New Roman" w:eastAsia="Times New Roman" w:hAnsi="Times New Roman" w:cs="Times New Roman"/>
          <w:color w:val="000000" w:themeColor="text1"/>
        </w:rPr>
        <w:t>Lorriz</w:t>
      </w:r>
      <w:proofErr w:type="spellEnd"/>
      <w:r w:rsidRPr="00BE26DD">
        <w:rPr>
          <w:rFonts w:ascii="Times New Roman" w:eastAsia="Times New Roman" w:hAnsi="Times New Roman" w:cs="Times New Roman"/>
          <w:color w:val="000000" w:themeColor="text1"/>
        </w:rPr>
        <w:t xml:space="preserve"> Anne Alvarado, ‘The Role of Critical Race Theory in Higher Education’ in Payne Hiraldo (ed), </w:t>
      </w:r>
      <w:r w:rsidRPr="00BE26DD">
        <w:rPr>
          <w:rFonts w:ascii="Times New Roman" w:eastAsia="Times New Roman" w:hAnsi="Times New Roman" w:cs="Times New Roman"/>
          <w:i/>
          <w:iCs/>
          <w:color w:val="000000" w:themeColor="text1"/>
        </w:rPr>
        <w:t>The Vermont Connection</w:t>
      </w:r>
      <w:r w:rsidRPr="00BE26DD">
        <w:rPr>
          <w:rFonts w:ascii="Times New Roman" w:eastAsia="Times New Roman" w:hAnsi="Times New Roman" w:cs="Times New Roman"/>
          <w:color w:val="000000" w:themeColor="text1"/>
        </w:rPr>
        <w:t xml:space="preserve"> (University of Vermont, 2010) 54, 55.</w:t>
      </w:r>
    </w:p>
  </w:footnote>
  <w:footnote w:id="9">
    <w:p w14:paraId="57207459" w14:textId="13671111" w:rsidR="00EC3051" w:rsidRPr="00BE26DD" w:rsidRDefault="00EC3051" w:rsidP="55ED5891">
      <w:pPr>
        <w:pStyle w:val="FootnoteText"/>
        <w:rPr>
          <w:rFonts w:ascii="Times New Roman" w:eastAsia="Times New Roman" w:hAnsi="Times New Roman" w:cs="Times New Roman"/>
          <w:color w:val="000000" w:themeColor="text1"/>
        </w:rPr>
      </w:pPr>
      <w:r w:rsidRPr="00BE26DD">
        <w:rPr>
          <w:rStyle w:val="FootnoteReference"/>
          <w:rFonts w:ascii="Times New Roman" w:hAnsi="Times New Roman" w:cs="Times New Roman"/>
        </w:rPr>
        <w:footnoteRef/>
      </w:r>
      <w:r w:rsidRPr="00BE26DD">
        <w:rPr>
          <w:rFonts w:ascii="Times New Roman" w:hAnsi="Times New Roman" w:cs="Times New Roman"/>
        </w:rPr>
        <w:t xml:space="preserve"> </w:t>
      </w:r>
      <w:r w:rsidRPr="00BE26DD">
        <w:rPr>
          <w:rFonts w:ascii="Times New Roman" w:eastAsia="Times New Roman" w:hAnsi="Times New Roman" w:cs="Times New Roman"/>
          <w:color w:val="000000" w:themeColor="text1"/>
        </w:rPr>
        <w:t>Sanson and Anthony (n 7) 604.</w:t>
      </w:r>
    </w:p>
  </w:footnote>
  <w:footnote w:id="10">
    <w:p w14:paraId="44680488" w14:textId="165221EC" w:rsidR="00EC3051" w:rsidRPr="00BE26DD" w:rsidRDefault="00EC3051" w:rsidP="55ED5891">
      <w:pPr>
        <w:pStyle w:val="FootnoteText"/>
        <w:rPr>
          <w:rFonts w:ascii="Times New Roman" w:eastAsia="Times New Roman" w:hAnsi="Times New Roman" w:cs="Times New Roman"/>
          <w:color w:val="000000" w:themeColor="text1"/>
        </w:rPr>
      </w:pPr>
      <w:r w:rsidRPr="00BE26DD">
        <w:rPr>
          <w:rStyle w:val="FootnoteReference"/>
          <w:rFonts w:ascii="Times New Roman" w:hAnsi="Times New Roman" w:cs="Times New Roman"/>
        </w:rPr>
        <w:footnoteRef/>
      </w:r>
      <w:r w:rsidRPr="00BE26DD">
        <w:rPr>
          <w:rFonts w:ascii="Times New Roman" w:hAnsi="Times New Roman" w:cs="Times New Roman"/>
        </w:rPr>
        <w:t xml:space="preserve"> </w:t>
      </w:r>
      <w:proofErr w:type="spellStart"/>
      <w:r w:rsidRPr="00BE26DD">
        <w:rPr>
          <w:rFonts w:ascii="Times New Roman" w:eastAsia="Times New Roman" w:hAnsi="Times New Roman" w:cs="Times New Roman"/>
          <w:i/>
          <w:iCs/>
          <w:color w:val="000000" w:themeColor="text1"/>
        </w:rPr>
        <w:t>Nyangbul</w:t>
      </w:r>
      <w:proofErr w:type="spellEnd"/>
      <w:r w:rsidRPr="00BE26DD">
        <w:rPr>
          <w:rFonts w:ascii="Times New Roman" w:eastAsia="Times New Roman" w:hAnsi="Times New Roman" w:cs="Times New Roman"/>
          <w:color w:val="000000" w:themeColor="text1"/>
        </w:rPr>
        <w:t xml:space="preserve"> [45].</w:t>
      </w:r>
    </w:p>
  </w:footnote>
  <w:footnote w:id="11">
    <w:p w14:paraId="6582A8A6" w14:textId="77777777" w:rsidR="00EC3051" w:rsidRPr="00BE26DD" w:rsidRDefault="00EC3051" w:rsidP="55ED5891">
      <w:pPr>
        <w:pStyle w:val="FootnoteText"/>
        <w:rPr>
          <w:rFonts w:ascii="Times New Roman" w:eastAsia="Calibri" w:hAnsi="Times New Roman" w:cs="Times New Roman"/>
          <w:color w:val="000000" w:themeColor="text1"/>
        </w:rPr>
      </w:pPr>
      <w:r w:rsidRPr="00BE26DD">
        <w:rPr>
          <w:rStyle w:val="FootnoteReference"/>
          <w:rFonts w:ascii="Times New Roman" w:hAnsi="Times New Roman" w:cs="Times New Roman"/>
        </w:rPr>
        <w:footnoteRef/>
      </w:r>
      <w:r w:rsidRPr="00BE26DD">
        <w:rPr>
          <w:rFonts w:ascii="Times New Roman" w:hAnsi="Times New Roman" w:cs="Times New Roman"/>
        </w:rPr>
        <w:t xml:space="preserve"> </w:t>
      </w:r>
      <w:r w:rsidRPr="00BE26DD">
        <w:rPr>
          <w:rFonts w:ascii="Times New Roman" w:eastAsia="Calibri" w:hAnsi="Times New Roman" w:cs="Times New Roman"/>
          <w:color w:val="000000" w:themeColor="text1"/>
        </w:rPr>
        <w:t xml:space="preserve">Alpana Roy, ‘Postcolonial Theory and Law: A Critical Introduction’ (2008) 29(2) </w:t>
      </w:r>
      <w:r w:rsidRPr="00BE26DD">
        <w:rPr>
          <w:rFonts w:ascii="Times New Roman" w:eastAsia="Calibri" w:hAnsi="Times New Roman" w:cs="Times New Roman"/>
          <w:i/>
          <w:iCs/>
          <w:color w:val="000000" w:themeColor="text1"/>
        </w:rPr>
        <w:t>Adelaide Law Review</w:t>
      </w:r>
      <w:r w:rsidRPr="00BE26DD">
        <w:rPr>
          <w:rFonts w:ascii="Times New Roman" w:eastAsia="Calibri" w:hAnsi="Times New Roman" w:cs="Times New Roman"/>
          <w:color w:val="000000" w:themeColor="text1"/>
        </w:rPr>
        <w:t xml:space="preserve"> 315, 355.</w:t>
      </w:r>
    </w:p>
  </w:footnote>
  <w:footnote w:id="12">
    <w:p w14:paraId="608CE0F0" w14:textId="6C0DCA98" w:rsidR="00EC3051" w:rsidRPr="00BE26DD" w:rsidRDefault="00EC3051" w:rsidP="55ED5891">
      <w:pPr>
        <w:pStyle w:val="FootnoteText"/>
        <w:rPr>
          <w:rFonts w:ascii="Times New Roman" w:hAnsi="Times New Roman" w:cs="Times New Roman"/>
        </w:rPr>
      </w:pPr>
      <w:r w:rsidRPr="00BE26DD">
        <w:rPr>
          <w:rStyle w:val="FootnoteReference"/>
          <w:rFonts w:ascii="Times New Roman" w:eastAsia="Times New Roman" w:hAnsi="Times New Roman" w:cs="Times New Roman"/>
        </w:rPr>
        <w:footnoteRef/>
      </w:r>
      <w:r w:rsidRPr="00BE26DD">
        <w:rPr>
          <w:rFonts w:ascii="Times New Roman" w:eastAsia="Times New Roman" w:hAnsi="Times New Roman" w:cs="Times New Roman"/>
        </w:rPr>
        <w:t xml:space="preserve"> </w:t>
      </w:r>
      <w:proofErr w:type="spellStart"/>
      <w:r w:rsidRPr="00BE26DD">
        <w:rPr>
          <w:rFonts w:ascii="Times New Roman" w:eastAsia="Times New Roman" w:hAnsi="Times New Roman" w:cs="Times New Roman"/>
          <w:i/>
          <w:iCs/>
        </w:rPr>
        <w:t>Nyangbul</w:t>
      </w:r>
      <w:proofErr w:type="spellEnd"/>
      <w:r w:rsidRPr="00BE26DD">
        <w:rPr>
          <w:rFonts w:ascii="Times New Roman" w:eastAsia="Times New Roman" w:hAnsi="Times New Roman" w:cs="Times New Roman"/>
        </w:rPr>
        <w:t xml:space="preserve"> [47].</w:t>
      </w:r>
    </w:p>
  </w:footnote>
  <w:footnote w:id="13">
    <w:p w14:paraId="179E41F7" w14:textId="01CCC3B6" w:rsidR="00EC3051" w:rsidRDefault="00EC3051" w:rsidP="55ED5891">
      <w:pPr>
        <w:pStyle w:val="FootnoteText"/>
      </w:pPr>
      <w:r w:rsidRPr="00BE26DD">
        <w:rPr>
          <w:rStyle w:val="FootnoteReference"/>
          <w:rFonts w:ascii="Times New Roman" w:hAnsi="Times New Roman" w:cs="Times New Roman"/>
        </w:rPr>
        <w:footnoteRef/>
      </w:r>
      <w:r w:rsidRPr="00BE26DD">
        <w:rPr>
          <w:rFonts w:ascii="Times New Roman" w:hAnsi="Times New Roman" w:cs="Times New Roman"/>
        </w:rPr>
        <w:t xml:space="preserve"> </w:t>
      </w:r>
      <w:proofErr w:type="spellStart"/>
      <w:r w:rsidRPr="00BE26DD">
        <w:rPr>
          <w:rFonts w:ascii="Times New Roman" w:hAnsi="Times New Roman" w:cs="Times New Roman"/>
          <w:i/>
          <w:iCs/>
        </w:rPr>
        <w:t>Nyangbul</w:t>
      </w:r>
      <w:proofErr w:type="spellEnd"/>
      <w:r w:rsidRPr="00BE26DD">
        <w:rPr>
          <w:rFonts w:ascii="Times New Roman" w:hAnsi="Times New Roman" w:cs="Times New Roman"/>
        </w:rPr>
        <w:t xml:space="preserve"> [28].</w:t>
      </w:r>
      <w:r>
        <w:t xml:space="preserve">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6"/>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108B"/>
    <w:rsid w:val="0001446B"/>
    <w:rsid w:val="00034BCA"/>
    <w:rsid w:val="0003529A"/>
    <w:rsid w:val="0007301A"/>
    <w:rsid w:val="0008172E"/>
    <w:rsid w:val="000A4193"/>
    <w:rsid w:val="000A7F76"/>
    <w:rsid w:val="000B2023"/>
    <w:rsid w:val="000D128E"/>
    <w:rsid w:val="000F108B"/>
    <w:rsid w:val="00111C95"/>
    <w:rsid w:val="00134090"/>
    <w:rsid w:val="00137E3E"/>
    <w:rsid w:val="00147DC9"/>
    <w:rsid w:val="00166E10"/>
    <w:rsid w:val="00175486"/>
    <w:rsid w:val="001A3BD0"/>
    <w:rsid w:val="001B7DFD"/>
    <w:rsid w:val="001C6A9D"/>
    <w:rsid w:val="001F059D"/>
    <w:rsid w:val="001F21E4"/>
    <w:rsid w:val="001F7F8C"/>
    <w:rsid w:val="0021596B"/>
    <w:rsid w:val="00220042"/>
    <w:rsid w:val="0023078B"/>
    <w:rsid w:val="00235853"/>
    <w:rsid w:val="00240E95"/>
    <w:rsid w:val="00262BED"/>
    <w:rsid w:val="0027444B"/>
    <w:rsid w:val="00285268"/>
    <w:rsid w:val="00294CA4"/>
    <w:rsid w:val="002A0EDD"/>
    <w:rsid w:val="002D6AA4"/>
    <w:rsid w:val="002F23C0"/>
    <w:rsid w:val="00300A41"/>
    <w:rsid w:val="00300E0C"/>
    <w:rsid w:val="0032017D"/>
    <w:rsid w:val="00334ADB"/>
    <w:rsid w:val="00341B1E"/>
    <w:rsid w:val="00344A17"/>
    <w:rsid w:val="00356093"/>
    <w:rsid w:val="003A02E1"/>
    <w:rsid w:val="003A1CFB"/>
    <w:rsid w:val="003B7C76"/>
    <w:rsid w:val="003C2E5F"/>
    <w:rsid w:val="003E43B4"/>
    <w:rsid w:val="003E7BC4"/>
    <w:rsid w:val="00404131"/>
    <w:rsid w:val="00405FCE"/>
    <w:rsid w:val="004428B7"/>
    <w:rsid w:val="00454AE5"/>
    <w:rsid w:val="0046317F"/>
    <w:rsid w:val="00464656"/>
    <w:rsid w:val="0046610A"/>
    <w:rsid w:val="00480B5D"/>
    <w:rsid w:val="00482078"/>
    <w:rsid w:val="00483774"/>
    <w:rsid w:val="00483FDC"/>
    <w:rsid w:val="004D2AC4"/>
    <w:rsid w:val="004D4240"/>
    <w:rsid w:val="004E3D64"/>
    <w:rsid w:val="004E66C5"/>
    <w:rsid w:val="004F4891"/>
    <w:rsid w:val="00531BB6"/>
    <w:rsid w:val="00553DD0"/>
    <w:rsid w:val="00564DFA"/>
    <w:rsid w:val="00571DCD"/>
    <w:rsid w:val="00580005"/>
    <w:rsid w:val="00580B86"/>
    <w:rsid w:val="0058507A"/>
    <w:rsid w:val="00596E11"/>
    <w:rsid w:val="005A2FB7"/>
    <w:rsid w:val="005A6F4D"/>
    <w:rsid w:val="005D092F"/>
    <w:rsid w:val="005E1FFE"/>
    <w:rsid w:val="005F4434"/>
    <w:rsid w:val="00601F4E"/>
    <w:rsid w:val="00602F53"/>
    <w:rsid w:val="006059CA"/>
    <w:rsid w:val="00610E85"/>
    <w:rsid w:val="00613015"/>
    <w:rsid w:val="006137B4"/>
    <w:rsid w:val="00621706"/>
    <w:rsid w:val="00630EB4"/>
    <w:rsid w:val="00634D86"/>
    <w:rsid w:val="00691C4F"/>
    <w:rsid w:val="00692771"/>
    <w:rsid w:val="006B0791"/>
    <w:rsid w:val="006B7BEF"/>
    <w:rsid w:val="006C0C11"/>
    <w:rsid w:val="006C458F"/>
    <w:rsid w:val="006F60E7"/>
    <w:rsid w:val="006F651C"/>
    <w:rsid w:val="00714231"/>
    <w:rsid w:val="00727A61"/>
    <w:rsid w:val="00753A9F"/>
    <w:rsid w:val="0076135F"/>
    <w:rsid w:val="0076785F"/>
    <w:rsid w:val="007769FF"/>
    <w:rsid w:val="007969BD"/>
    <w:rsid w:val="007A4BF8"/>
    <w:rsid w:val="007B1D20"/>
    <w:rsid w:val="007B71B0"/>
    <w:rsid w:val="007C4F96"/>
    <w:rsid w:val="007D2217"/>
    <w:rsid w:val="007F17E8"/>
    <w:rsid w:val="00805941"/>
    <w:rsid w:val="00806120"/>
    <w:rsid w:val="0080654C"/>
    <w:rsid w:val="0081307E"/>
    <w:rsid w:val="008132C3"/>
    <w:rsid w:val="008215DC"/>
    <w:rsid w:val="008276DF"/>
    <w:rsid w:val="00840943"/>
    <w:rsid w:val="00843BE6"/>
    <w:rsid w:val="0085433B"/>
    <w:rsid w:val="00893441"/>
    <w:rsid w:val="008A1B9E"/>
    <w:rsid w:val="008A391C"/>
    <w:rsid w:val="008B0CF6"/>
    <w:rsid w:val="008B7194"/>
    <w:rsid w:val="008B7902"/>
    <w:rsid w:val="008F57CF"/>
    <w:rsid w:val="009035F2"/>
    <w:rsid w:val="009142C9"/>
    <w:rsid w:val="00924A66"/>
    <w:rsid w:val="00930211"/>
    <w:rsid w:val="0093046D"/>
    <w:rsid w:val="00944B71"/>
    <w:rsid w:val="009470FA"/>
    <w:rsid w:val="0095632F"/>
    <w:rsid w:val="00962EBB"/>
    <w:rsid w:val="009929D2"/>
    <w:rsid w:val="00997C34"/>
    <w:rsid w:val="009A0AC1"/>
    <w:rsid w:val="009C531C"/>
    <w:rsid w:val="009D06C6"/>
    <w:rsid w:val="009E1A7D"/>
    <w:rsid w:val="009F3983"/>
    <w:rsid w:val="00A01517"/>
    <w:rsid w:val="00A03A12"/>
    <w:rsid w:val="00A0638E"/>
    <w:rsid w:val="00A502FB"/>
    <w:rsid w:val="00A540EA"/>
    <w:rsid w:val="00A830C0"/>
    <w:rsid w:val="00A97FC9"/>
    <w:rsid w:val="00AA3760"/>
    <w:rsid w:val="00AA67FB"/>
    <w:rsid w:val="00AB5DF7"/>
    <w:rsid w:val="00AD2504"/>
    <w:rsid w:val="00B02D14"/>
    <w:rsid w:val="00B15DDE"/>
    <w:rsid w:val="00B33213"/>
    <w:rsid w:val="00B46C49"/>
    <w:rsid w:val="00B832BA"/>
    <w:rsid w:val="00B868C3"/>
    <w:rsid w:val="00B97C02"/>
    <w:rsid w:val="00BA00F7"/>
    <w:rsid w:val="00BB66EB"/>
    <w:rsid w:val="00BC1DB0"/>
    <w:rsid w:val="00BC443F"/>
    <w:rsid w:val="00BC6547"/>
    <w:rsid w:val="00BD62C4"/>
    <w:rsid w:val="00BE26DD"/>
    <w:rsid w:val="00BE5553"/>
    <w:rsid w:val="00C00C1E"/>
    <w:rsid w:val="00C41993"/>
    <w:rsid w:val="00C63EA7"/>
    <w:rsid w:val="00C65049"/>
    <w:rsid w:val="00C8782D"/>
    <w:rsid w:val="00C94C21"/>
    <w:rsid w:val="00CB7B0F"/>
    <w:rsid w:val="00CD44DF"/>
    <w:rsid w:val="00CE2659"/>
    <w:rsid w:val="00D054F1"/>
    <w:rsid w:val="00D1061C"/>
    <w:rsid w:val="00D30760"/>
    <w:rsid w:val="00D5782C"/>
    <w:rsid w:val="00D63E85"/>
    <w:rsid w:val="00D6609A"/>
    <w:rsid w:val="00D67988"/>
    <w:rsid w:val="00D74462"/>
    <w:rsid w:val="00D75D0F"/>
    <w:rsid w:val="00D774EF"/>
    <w:rsid w:val="00D94C07"/>
    <w:rsid w:val="00DC1F28"/>
    <w:rsid w:val="00DE365C"/>
    <w:rsid w:val="00DE6D79"/>
    <w:rsid w:val="00DE7698"/>
    <w:rsid w:val="00DF314C"/>
    <w:rsid w:val="00E00CF1"/>
    <w:rsid w:val="00E0232C"/>
    <w:rsid w:val="00E030D6"/>
    <w:rsid w:val="00E160C6"/>
    <w:rsid w:val="00E16575"/>
    <w:rsid w:val="00E179B4"/>
    <w:rsid w:val="00E23ACE"/>
    <w:rsid w:val="00E35F81"/>
    <w:rsid w:val="00E45958"/>
    <w:rsid w:val="00E6116E"/>
    <w:rsid w:val="00E6236F"/>
    <w:rsid w:val="00E660C7"/>
    <w:rsid w:val="00E95486"/>
    <w:rsid w:val="00EC3051"/>
    <w:rsid w:val="00EC40F3"/>
    <w:rsid w:val="00EF6D7D"/>
    <w:rsid w:val="00EF7F99"/>
    <w:rsid w:val="00F05EA0"/>
    <w:rsid w:val="00F10638"/>
    <w:rsid w:val="00F1081F"/>
    <w:rsid w:val="00F15FF2"/>
    <w:rsid w:val="00F166DC"/>
    <w:rsid w:val="00F22977"/>
    <w:rsid w:val="00F3602A"/>
    <w:rsid w:val="00F52A96"/>
    <w:rsid w:val="00F6794E"/>
    <w:rsid w:val="00F73151"/>
    <w:rsid w:val="00F74AD5"/>
    <w:rsid w:val="00F76D99"/>
    <w:rsid w:val="00F772BB"/>
    <w:rsid w:val="00F81255"/>
    <w:rsid w:val="00F84D64"/>
    <w:rsid w:val="00F972AD"/>
    <w:rsid w:val="00FA4988"/>
    <w:rsid w:val="00FA4E12"/>
    <w:rsid w:val="00FB2581"/>
    <w:rsid w:val="00FB5B18"/>
    <w:rsid w:val="00FD42E0"/>
    <w:rsid w:val="00FD531E"/>
    <w:rsid w:val="00FE034A"/>
    <w:rsid w:val="00FE621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F47C0F"/>
  <w15:chartTrackingRefBased/>
  <w15:docId w15:val="{5B7C685B-599E-F249-9F2E-FA1E023E8B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5853"/>
    <w:pPr>
      <w:spacing w:after="240" w:line="360" w:lineRule="auto"/>
    </w:pPr>
    <w:rPr>
      <w:rFonts w:ascii="Times New Roman" w:hAnsi="Times New Roman" w:cs="Times New Roman"/>
    </w:rPr>
  </w:style>
  <w:style w:type="paragraph" w:styleId="Heading1">
    <w:name w:val="heading 1"/>
    <w:basedOn w:val="Normal"/>
    <w:next w:val="Normal"/>
    <w:link w:val="Heading1Char"/>
    <w:uiPriority w:val="9"/>
    <w:qFormat/>
    <w:rsid w:val="00E23ACE"/>
    <w:pPr>
      <w:jc w:val="center"/>
      <w:outlineLvl w:val="0"/>
    </w:pPr>
    <w:rPr>
      <w:b/>
      <w:bCs/>
      <w:color w:val="000000" w:themeColor="text1"/>
      <w:sz w:val="28"/>
      <w:szCs w:val="28"/>
    </w:rPr>
  </w:style>
  <w:style w:type="paragraph" w:styleId="Heading2">
    <w:name w:val="heading 2"/>
    <w:basedOn w:val="Normal"/>
    <w:next w:val="Normal"/>
    <w:link w:val="Heading2Char"/>
    <w:uiPriority w:val="9"/>
    <w:unhideWhenUsed/>
    <w:qFormat/>
    <w:rsid w:val="00235853"/>
    <w:pPr>
      <w:outlineLvl w:val="1"/>
    </w:pPr>
    <w:rPr>
      <w:u w:val="single"/>
    </w:rPr>
  </w:style>
  <w:style w:type="paragraph" w:styleId="Heading3">
    <w:name w:val="heading 3"/>
    <w:basedOn w:val="Normal"/>
    <w:next w:val="Normal"/>
    <w:link w:val="Heading3Char"/>
    <w:uiPriority w:val="9"/>
    <w:semiHidden/>
    <w:unhideWhenUsed/>
    <w:qFormat/>
    <w:rsid w:val="000F108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F108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F108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F108B"/>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F108B"/>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F108B"/>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F108B"/>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23ACE"/>
    <w:rPr>
      <w:rFonts w:ascii="Times New Roman" w:hAnsi="Times New Roman" w:cs="Times New Roman"/>
      <w:b/>
      <w:bCs/>
      <w:color w:val="000000" w:themeColor="text1"/>
      <w:sz w:val="28"/>
      <w:szCs w:val="28"/>
    </w:rPr>
  </w:style>
  <w:style w:type="character" w:customStyle="1" w:styleId="Heading2Char">
    <w:name w:val="Heading 2 Char"/>
    <w:basedOn w:val="DefaultParagraphFont"/>
    <w:link w:val="Heading2"/>
    <w:uiPriority w:val="9"/>
    <w:rsid w:val="00235853"/>
    <w:rPr>
      <w:rFonts w:ascii="Times New Roman" w:hAnsi="Times New Roman" w:cs="Times New Roman"/>
      <w:u w:val="single"/>
    </w:rPr>
  </w:style>
  <w:style w:type="character" w:customStyle="1" w:styleId="Heading3Char">
    <w:name w:val="Heading 3 Char"/>
    <w:basedOn w:val="DefaultParagraphFont"/>
    <w:link w:val="Heading3"/>
    <w:uiPriority w:val="9"/>
    <w:semiHidden/>
    <w:rsid w:val="000F108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F108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F108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F10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F10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F10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F108B"/>
    <w:rPr>
      <w:rFonts w:eastAsiaTheme="majorEastAsia" w:cstheme="majorBidi"/>
      <w:color w:val="272727" w:themeColor="text1" w:themeTint="D8"/>
    </w:rPr>
  </w:style>
  <w:style w:type="paragraph" w:styleId="Title">
    <w:name w:val="Title"/>
    <w:basedOn w:val="Normal"/>
    <w:next w:val="Normal"/>
    <w:link w:val="TitleChar"/>
    <w:uiPriority w:val="10"/>
    <w:qFormat/>
    <w:rsid w:val="001C6A9D"/>
    <w:pPr>
      <w:jc w:val="center"/>
    </w:pPr>
    <w:rPr>
      <w:color w:val="FFFFFF" w:themeColor="background1"/>
      <w:sz w:val="48"/>
      <w:szCs w:val="48"/>
    </w:rPr>
  </w:style>
  <w:style w:type="character" w:customStyle="1" w:styleId="TitleChar">
    <w:name w:val="Title Char"/>
    <w:basedOn w:val="DefaultParagraphFont"/>
    <w:link w:val="Title"/>
    <w:uiPriority w:val="10"/>
    <w:rsid w:val="001C6A9D"/>
    <w:rPr>
      <w:rFonts w:ascii="Times New Roman" w:hAnsi="Times New Roman" w:cs="Times New Roman"/>
      <w:color w:val="FFFFFF" w:themeColor="background1"/>
      <w:sz w:val="48"/>
      <w:szCs w:val="48"/>
    </w:rPr>
  </w:style>
  <w:style w:type="paragraph" w:styleId="Subtitle">
    <w:name w:val="Subtitle"/>
    <w:basedOn w:val="Normal"/>
    <w:next w:val="Normal"/>
    <w:link w:val="SubtitleChar"/>
    <w:uiPriority w:val="11"/>
    <w:qFormat/>
    <w:rsid w:val="00262BED"/>
    <w:pPr>
      <w:spacing w:after="0"/>
      <w:jc w:val="center"/>
    </w:pPr>
    <w:rPr>
      <w:i/>
      <w:iCs/>
      <w:color w:val="FFFFFF" w:themeColor="background1"/>
      <w:sz w:val="36"/>
      <w:szCs w:val="36"/>
    </w:rPr>
  </w:style>
  <w:style w:type="character" w:customStyle="1" w:styleId="SubtitleChar">
    <w:name w:val="Subtitle Char"/>
    <w:basedOn w:val="DefaultParagraphFont"/>
    <w:link w:val="Subtitle"/>
    <w:uiPriority w:val="11"/>
    <w:rsid w:val="00262BED"/>
    <w:rPr>
      <w:rFonts w:ascii="Times New Roman" w:hAnsi="Times New Roman" w:cs="Times New Roman"/>
      <w:i/>
      <w:iCs/>
      <w:color w:val="FFFFFF" w:themeColor="background1"/>
      <w:sz w:val="36"/>
      <w:szCs w:val="36"/>
    </w:rPr>
  </w:style>
  <w:style w:type="paragraph" w:styleId="Quote">
    <w:name w:val="Quote"/>
    <w:basedOn w:val="Normal"/>
    <w:next w:val="Normal"/>
    <w:link w:val="QuoteChar"/>
    <w:uiPriority w:val="29"/>
    <w:qFormat/>
    <w:rsid w:val="000F108B"/>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0F108B"/>
    <w:rPr>
      <w:i/>
      <w:iCs/>
      <w:color w:val="404040" w:themeColor="text1" w:themeTint="BF"/>
    </w:rPr>
  </w:style>
  <w:style w:type="paragraph" w:styleId="ListParagraph">
    <w:name w:val="List Paragraph"/>
    <w:basedOn w:val="Normal"/>
    <w:uiPriority w:val="34"/>
    <w:qFormat/>
    <w:rsid w:val="000F108B"/>
    <w:pPr>
      <w:ind w:left="720"/>
      <w:contextualSpacing/>
    </w:pPr>
  </w:style>
  <w:style w:type="character" w:styleId="IntenseEmphasis">
    <w:name w:val="Intense Emphasis"/>
    <w:basedOn w:val="DefaultParagraphFont"/>
    <w:uiPriority w:val="21"/>
    <w:qFormat/>
    <w:rsid w:val="000F108B"/>
    <w:rPr>
      <w:i/>
      <w:iCs/>
      <w:color w:val="0F4761" w:themeColor="accent1" w:themeShade="BF"/>
    </w:rPr>
  </w:style>
  <w:style w:type="paragraph" w:styleId="IntenseQuote">
    <w:name w:val="Intense Quote"/>
    <w:basedOn w:val="Normal"/>
    <w:next w:val="Normal"/>
    <w:link w:val="IntenseQuoteChar"/>
    <w:uiPriority w:val="30"/>
    <w:qFormat/>
    <w:rsid w:val="000F10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F108B"/>
    <w:rPr>
      <w:i/>
      <w:iCs/>
      <w:color w:val="0F4761" w:themeColor="accent1" w:themeShade="BF"/>
    </w:rPr>
  </w:style>
  <w:style w:type="character" w:styleId="IntenseReference">
    <w:name w:val="Intense Reference"/>
    <w:basedOn w:val="DefaultParagraphFont"/>
    <w:uiPriority w:val="32"/>
    <w:qFormat/>
    <w:rsid w:val="000F108B"/>
    <w:rPr>
      <w:b/>
      <w:bCs/>
      <w:smallCaps/>
      <w:color w:val="0F4761" w:themeColor="accent1" w:themeShade="BF"/>
      <w:spacing w:val="5"/>
    </w:rPr>
  </w:style>
  <w:style w:type="paragraph" w:styleId="Header">
    <w:name w:val="header"/>
    <w:basedOn w:val="Normal"/>
    <w:link w:val="HeaderChar"/>
    <w:uiPriority w:val="99"/>
    <w:unhideWhenUsed/>
    <w:rsid w:val="00334ADB"/>
    <w:pPr>
      <w:tabs>
        <w:tab w:val="center" w:pos="4513"/>
        <w:tab w:val="right" w:pos="9026"/>
      </w:tabs>
      <w:spacing w:after="0" w:line="240" w:lineRule="auto"/>
    </w:pPr>
  </w:style>
  <w:style w:type="character" w:customStyle="1" w:styleId="HeaderChar">
    <w:name w:val="Header Char"/>
    <w:basedOn w:val="DefaultParagraphFont"/>
    <w:link w:val="Header"/>
    <w:uiPriority w:val="99"/>
    <w:rsid w:val="00334ADB"/>
    <w:rPr>
      <w:rFonts w:ascii="Times New Roman" w:hAnsi="Times New Roman" w:cs="Times New Roman"/>
      <w:sz w:val="22"/>
      <w:szCs w:val="22"/>
    </w:rPr>
  </w:style>
  <w:style w:type="paragraph" w:styleId="Footer">
    <w:name w:val="footer"/>
    <w:basedOn w:val="Normal"/>
    <w:link w:val="FooterChar"/>
    <w:uiPriority w:val="99"/>
    <w:unhideWhenUsed/>
    <w:rsid w:val="00334ADB"/>
    <w:pPr>
      <w:tabs>
        <w:tab w:val="center" w:pos="4513"/>
        <w:tab w:val="right" w:pos="9026"/>
      </w:tabs>
      <w:spacing w:after="0" w:line="240" w:lineRule="auto"/>
    </w:pPr>
  </w:style>
  <w:style w:type="character" w:customStyle="1" w:styleId="FooterChar">
    <w:name w:val="Footer Char"/>
    <w:basedOn w:val="DefaultParagraphFont"/>
    <w:link w:val="Footer"/>
    <w:uiPriority w:val="99"/>
    <w:rsid w:val="00334ADB"/>
    <w:rPr>
      <w:rFonts w:ascii="Times New Roman" w:hAnsi="Times New Roman" w:cs="Times New Roman"/>
      <w:sz w:val="22"/>
      <w:szCs w:val="22"/>
    </w:rPr>
  </w:style>
  <w:style w:type="character" w:styleId="PageNumber">
    <w:name w:val="page number"/>
    <w:basedOn w:val="DefaultParagraphFont"/>
    <w:uiPriority w:val="99"/>
    <w:semiHidden/>
    <w:unhideWhenUsed/>
    <w:rsid w:val="00334ADB"/>
  </w:style>
  <w:style w:type="character" w:styleId="SubtleEmphasis">
    <w:name w:val="Subtle Emphasis"/>
    <w:uiPriority w:val="19"/>
    <w:qFormat/>
    <w:rsid w:val="00E23ACE"/>
    <w:rPr>
      <w:sz w:val="24"/>
      <w:szCs w:val="24"/>
    </w:rPr>
  </w:style>
  <w:style w:type="character" w:styleId="Strong">
    <w:name w:val="Strong"/>
    <w:uiPriority w:val="22"/>
    <w:qFormat/>
    <w:rsid w:val="001C6A9D"/>
  </w:style>
  <w:style w:type="paragraph" w:styleId="FootnoteText">
    <w:name w:val="footnote text"/>
    <w:basedOn w:val="Normal"/>
    <w:link w:val="FootnoteTextChar"/>
    <w:uiPriority w:val="99"/>
    <w:semiHidden/>
    <w:unhideWhenUsed/>
    <w:rsid w:val="00EC3051"/>
    <w:pPr>
      <w:spacing w:after="0" w:line="240" w:lineRule="auto"/>
    </w:pPr>
    <w:rPr>
      <w:rFonts w:asciiTheme="minorHAnsi" w:hAnsiTheme="minorHAnsi" w:cstheme="minorBidi"/>
      <w:sz w:val="20"/>
      <w:szCs w:val="20"/>
    </w:rPr>
  </w:style>
  <w:style w:type="character" w:customStyle="1" w:styleId="FootnoteTextChar">
    <w:name w:val="Footnote Text Char"/>
    <w:basedOn w:val="DefaultParagraphFont"/>
    <w:link w:val="FootnoteText"/>
    <w:uiPriority w:val="99"/>
    <w:semiHidden/>
    <w:rsid w:val="00EC3051"/>
    <w:rPr>
      <w:sz w:val="20"/>
      <w:szCs w:val="20"/>
    </w:rPr>
  </w:style>
  <w:style w:type="character" w:styleId="FootnoteReference">
    <w:name w:val="footnote reference"/>
    <w:basedOn w:val="DefaultParagraphFont"/>
    <w:uiPriority w:val="99"/>
    <w:semiHidden/>
    <w:unhideWhenUsed/>
    <w:rsid w:val="00EC305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A8C12E-0CC6-9048-B462-92C22EB891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Pages>
  <Words>908</Words>
  <Characters>5180</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Benjamin Macvean</dc:creator>
  <cp:keywords/>
  <dc:description/>
  <cp:lastModifiedBy>Monica Danielle Arucan</cp:lastModifiedBy>
  <cp:revision>3</cp:revision>
  <dcterms:created xsi:type="dcterms:W3CDTF">2026-07-29T03:34:00Z</dcterms:created>
  <dcterms:modified xsi:type="dcterms:W3CDTF">2026-08-15T08:55:00Z</dcterms:modified>
</cp:coreProperties>
</file>