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E7227" w14:textId="77777777" w:rsidR="00916B8B" w:rsidRDefault="00680EB9">
      <w:pPr>
        <w:spacing w:after="60"/>
      </w:pPr>
      <w:r>
        <w:rPr>
          <w:rFonts w:ascii="Calibri" w:eastAsia="Calibri" w:hAnsi="Calibri" w:cs="Calibri"/>
          <w:b/>
          <w:bCs/>
          <w:color w:val="1C2B2B"/>
          <w:sz w:val="52"/>
          <w:szCs w:val="52"/>
        </w:rPr>
        <w:t>DHARMESH SINGH PENESAR</w:t>
      </w:r>
    </w:p>
    <w:p w14:paraId="717E1170" w14:textId="77777777" w:rsidR="00916B8B" w:rsidRDefault="00680EB9">
      <w:pPr>
        <w:spacing w:after="40"/>
      </w:pPr>
      <w:r>
        <w:rPr>
          <w:rFonts w:ascii="Calibri" w:eastAsia="Calibri" w:hAnsi="Calibri" w:cs="Calibri"/>
          <w:b/>
          <w:bCs/>
          <w:color w:val="1A8A8A"/>
          <w:sz w:val="24"/>
          <w:szCs w:val="24"/>
        </w:rPr>
        <w:t xml:space="preserve">Partner  |  </w:t>
      </w:r>
      <w:proofErr w:type="spellStart"/>
      <w:r>
        <w:rPr>
          <w:rFonts w:ascii="Calibri" w:eastAsia="Calibri" w:hAnsi="Calibri" w:cs="Calibri"/>
          <w:b/>
          <w:bCs/>
          <w:color w:val="1A8A8A"/>
          <w:sz w:val="24"/>
          <w:szCs w:val="24"/>
        </w:rPr>
        <w:t>Teja</w:t>
      </w:r>
      <w:proofErr w:type="spellEnd"/>
      <w:r>
        <w:rPr>
          <w:rFonts w:ascii="Calibri" w:eastAsia="Calibri" w:hAnsi="Calibri" w:cs="Calibri"/>
          <w:b/>
          <w:bCs/>
          <w:color w:val="1A8A8A"/>
          <w:sz w:val="24"/>
          <w:szCs w:val="24"/>
        </w:rPr>
        <w:t xml:space="preserve"> Singh </w:t>
      </w:r>
      <w:proofErr w:type="spellStart"/>
      <w:r>
        <w:rPr>
          <w:rFonts w:ascii="Calibri" w:eastAsia="Calibri" w:hAnsi="Calibri" w:cs="Calibri"/>
          <w:b/>
          <w:bCs/>
          <w:color w:val="1A8A8A"/>
          <w:sz w:val="24"/>
          <w:szCs w:val="24"/>
        </w:rPr>
        <w:t>Penesar</w:t>
      </w:r>
      <w:proofErr w:type="spellEnd"/>
      <w:r>
        <w:rPr>
          <w:rFonts w:ascii="Calibri" w:eastAsia="Calibri" w:hAnsi="Calibri" w:cs="Calibri"/>
          <w:b/>
          <w:bCs/>
          <w:color w:val="1A8A8A"/>
          <w:sz w:val="24"/>
          <w:szCs w:val="24"/>
        </w:rPr>
        <w:t xml:space="preserve"> &amp; Co.</w:t>
      </w:r>
    </w:p>
    <w:p w14:paraId="0C6FFCA3" w14:textId="77777777" w:rsidR="00916B8B" w:rsidRDefault="00680EB9">
      <w:pPr>
        <w:spacing w:after="160"/>
      </w:pPr>
      <w:r>
        <w:rPr>
          <w:rFonts w:ascii="Calibri" w:eastAsia="Calibri" w:hAnsi="Calibri" w:cs="Calibri"/>
          <w:color w:val="888888"/>
          <w:sz w:val="18"/>
          <w:szCs w:val="18"/>
        </w:rPr>
        <w:t>Kuala Lumpur  •  Penang  •  dharmesh@penesarco.com  •  +6 012 424282369  •  penesarco.com</w:t>
      </w:r>
    </w:p>
    <w:p w14:paraId="3F3BB1F0" w14:textId="77777777" w:rsidR="00916B8B" w:rsidRDefault="00916B8B">
      <w:pPr>
        <w:pBdr>
          <w:bottom w:val="single" w:sz="12" w:space="1" w:color="1A8A8A"/>
        </w:pBdr>
        <w:spacing w:after="200"/>
      </w:pPr>
    </w:p>
    <w:p w14:paraId="70260AEB" w14:textId="77777777" w:rsidR="00916B8B" w:rsidRDefault="00680EB9">
      <w:pPr>
        <w:pBdr>
          <w:bottom w:val="single" w:sz="8" w:space="4" w:color="1A8A8A"/>
        </w:pBdr>
        <w:spacing w:before="280" w:after="80"/>
      </w:pPr>
      <w:r>
        <w:rPr>
          <w:rFonts w:ascii="Calibri" w:eastAsia="Calibri" w:hAnsi="Calibri" w:cs="Calibri"/>
          <w:b/>
          <w:bCs/>
          <w:color w:val="1A8A8A"/>
          <w:spacing w:val="40"/>
          <w:sz w:val="22"/>
          <w:szCs w:val="22"/>
        </w:rPr>
        <w:t>PROFILE</w:t>
      </w:r>
    </w:p>
    <w:p w14:paraId="7E7DC530" w14:textId="77777777" w:rsidR="00916B8B" w:rsidRDefault="00916B8B">
      <w:pPr>
        <w:spacing w:after="80"/>
      </w:pPr>
    </w:p>
    <w:p w14:paraId="3A02D154" w14:textId="77777777" w:rsidR="00916B8B" w:rsidRDefault="00680EB9">
      <w:pPr>
        <w:spacing w:after="180"/>
      </w:pPr>
      <w:proofErr w:type="spellStart"/>
      <w:r>
        <w:rPr>
          <w:rFonts w:ascii="Calibri" w:eastAsia="Calibri" w:hAnsi="Calibri" w:cs="Calibri"/>
          <w:color w:val="555555"/>
        </w:rPr>
        <w:t>Dharmesh</w:t>
      </w:r>
      <w:proofErr w:type="spellEnd"/>
      <w:r>
        <w:rPr>
          <w:rFonts w:ascii="Calibri" w:eastAsia="Calibri" w:hAnsi="Calibri" w:cs="Calibri"/>
          <w:color w:val="555555"/>
        </w:rPr>
        <w:t xml:space="preserve"> is a Partner at </w:t>
      </w:r>
      <w:proofErr w:type="spellStart"/>
      <w:r>
        <w:rPr>
          <w:rFonts w:ascii="Calibri" w:eastAsia="Calibri" w:hAnsi="Calibri" w:cs="Calibri"/>
          <w:color w:val="555555"/>
        </w:rPr>
        <w:t>Teja</w:t>
      </w:r>
      <w:proofErr w:type="spellEnd"/>
      <w:r>
        <w:rPr>
          <w:rFonts w:ascii="Calibri" w:eastAsia="Calibri" w:hAnsi="Calibri" w:cs="Calibri"/>
          <w:color w:val="555555"/>
        </w:rPr>
        <w:t xml:space="preserve"> Singh </w:t>
      </w:r>
      <w:proofErr w:type="spellStart"/>
      <w:r>
        <w:rPr>
          <w:rFonts w:ascii="Calibri" w:eastAsia="Calibri" w:hAnsi="Calibri" w:cs="Calibri"/>
          <w:color w:val="555555"/>
        </w:rPr>
        <w:t>Penesar</w:t>
      </w:r>
      <w:proofErr w:type="spellEnd"/>
      <w:r>
        <w:rPr>
          <w:rFonts w:ascii="Calibri" w:eastAsia="Calibri" w:hAnsi="Calibri" w:cs="Calibri"/>
          <w:color w:val="555555"/>
        </w:rPr>
        <w:t xml:space="preserve"> &amp; Co., a dispute resolution boutique with offices in Kuala Lumpur and Penang. He has over 15 years of post-qualification experience, with a practice concentrated in corporate and commercial litigation, insolvency and corporate restructuring, shareholders' disputes, employment law, and banking litigation. He regularly appears in the High Court and subordinate courts across multiple jurisdictions, and advises a client base that includes listed companies, multinational corpo</w:t>
      </w:r>
      <w:r>
        <w:rPr>
          <w:rFonts w:ascii="Calibri" w:eastAsia="Calibri" w:hAnsi="Calibri" w:cs="Calibri"/>
          <w:color w:val="555555"/>
        </w:rPr>
        <w:t>rations, insolvency practitioners, and international brands.</w:t>
      </w:r>
    </w:p>
    <w:p w14:paraId="192545FB" w14:textId="77777777" w:rsidR="00916B8B" w:rsidRDefault="00680EB9">
      <w:pPr>
        <w:pBdr>
          <w:bottom w:val="single" w:sz="8" w:space="4" w:color="1A8A8A"/>
        </w:pBdr>
        <w:spacing w:before="280" w:after="80"/>
      </w:pPr>
      <w:r>
        <w:rPr>
          <w:rFonts w:ascii="Calibri" w:eastAsia="Calibri" w:hAnsi="Calibri" w:cs="Calibri"/>
          <w:b/>
          <w:bCs/>
          <w:color w:val="1A8A8A"/>
          <w:spacing w:val="40"/>
          <w:sz w:val="22"/>
          <w:szCs w:val="22"/>
        </w:rPr>
        <w:t>KEY PRACTICE AREAS</w:t>
      </w:r>
    </w:p>
    <w:p w14:paraId="45FA6614" w14:textId="77777777" w:rsidR="00916B8B" w:rsidRDefault="00916B8B">
      <w:pPr>
        <w:spacing w:after="80"/>
      </w:pPr>
    </w:p>
    <w:tbl>
      <w:tblPr>
        <w:tblW w:w="9638"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19"/>
        <w:gridCol w:w="4819"/>
      </w:tblGrid>
      <w:tr w:rsidR="00916B8B" w14:paraId="7D3EA7DC" w14:textId="77777777">
        <w:tblPrEx>
          <w:tblCellMar>
            <w:top w:w="0" w:type="dxa"/>
            <w:bottom w:w="0" w:type="dxa"/>
          </w:tblCellMar>
        </w:tblPrEx>
        <w:tc>
          <w:tcPr>
            <w:tcW w:w="4819" w:type="dxa"/>
            <w:shd w:val="clear" w:color="auto" w:fill="FFFFFF"/>
            <w:tcMar>
              <w:top w:w="60" w:type="dxa"/>
              <w:left w:w="0" w:type="dxa"/>
              <w:bottom w:w="60" w:type="dxa"/>
              <w:right w:w="120" w:type="dxa"/>
            </w:tcMar>
          </w:tcPr>
          <w:p w14:paraId="322AFA70" w14:textId="77777777" w:rsidR="00916B8B" w:rsidRDefault="00680EB9">
            <w:r>
              <w:rPr>
                <w:rFonts w:ascii="Calibri" w:eastAsia="Calibri" w:hAnsi="Calibri" w:cs="Calibri"/>
                <w:color w:val="1C2B2B"/>
              </w:rPr>
              <w:t>•  Corporate &amp; Commercial Litigation</w:t>
            </w:r>
          </w:p>
        </w:tc>
        <w:tc>
          <w:tcPr>
            <w:tcW w:w="4819" w:type="dxa"/>
            <w:shd w:val="clear" w:color="auto" w:fill="FFFFFF"/>
            <w:tcMar>
              <w:top w:w="60" w:type="dxa"/>
              <w:left w:w="120" w:type="dxa"/>
              <w:bottom w:w="60" w:type="dxa"/>
              <w:right w:w="0" w:type="dxa"/>
            </w:tcMar>
          </w:tcPr>
          <w:p w14:paraId="35D6671E" w14:textId="77777777" w:rsidR="00916B8B" w:rsidRDefault="00680EB9">
            <w:r>
              <w:rPr>
                <w:rFonts w:ascii="Calibri" w:eastAsia="Calibri" w:hAnsi="Calibri" w:cs="Calibri"/>
                <w:color w:val="1C2B2B"/>
              </w:rPr>
              <w:t>•  Insolvency &amp; Corporate Restructuring</w:t>
            </w:r>
          </w:p>
        </w:tc>
      </w:tr>
      <w:tr w:rsidR="00916B8B" w14:paraId="37352ADD" w14:textId="77777777">
        <w:tblPrEx>
          <w:tblCellMar>
            <w:top w:w="0" w:type="dxa"/>
            <w:bottom w:w="0" w:type="dxa"/>
          </w:tblCellMar>
        </w:tblPrEx>
        <w:tc>
          <w:tcPr>
            <w:tcW w:w="4819" w:type="dxa"/>
            <w:shd w:val="clear" w:color="auto" w:fill="FFFFFF"/>
            <w:tcMar>
              <w:top w:w="60" w:type="dxa"/>
              <w:left w:w="0" w:type="dxa"/>
              <w:bottom w:w="60" w:type="dxa"/>
              <w:right w:w="120" w:type="dxa"/>
            </w:tcMar>
          </w:tcPr>
          <w:p w14:paraId="67BAAB70" w14:textId="77777777" w:rsidR="00916B8B" w:rsidRDefault="00680EB9">
            <w:r>
              <w:rPr>
                <w:rFonts w:ascii="Calibri" w:eastAsia="Calibri" w:hAnsi="Calibri" w:cs="Calibri"/>
                <w:color w:val="1C2B2B"/>
              </w:rPr>
              <w:t>•  Shareholders’ Disputes &amp; Company Law</w:t>
            </w:r>
          </w:p>
        </w:tc>
        <w:tc>
          <w:tcPr>
            <w:tcW w:w="4819" w:type="dxa"/>
            <w:shd w:val="clear" w:color="auto" w:fill="FFFFFF"/>
            <w:tcMar>
              <w:top w:w="60" w:type="dxa"/>
              <w:left w:w="120" w:type="dxa"/>
              <w:bottom w:w="60" w:type="dxa"/>
              <w:right w:w="0" w:type="dxa"/>
            </w:tcMar>
          </w:tcPr>
          <w:p w14:paraId="7F4FE5F0" w14:textId="77777777" w:rsidR="00916B8B" w:rsidRDefault="00680EB9">
            <w:r>
              <w:rPr>
                <w:rFonts w:ascii="Calibri" w:eastAsia="Calibri" w:hAnsi="Calibri" w:cs="Calibri"/>
                <w:color w:val="1C2B2B"/>
              </w:rPr>
              <w:t>•  Employment &amp; Industrial Relations</w:t>
            </w:r>
          </w:p>
        </w:tc>
      </w:tr>
      <w:tr w:rsidR="00916B8B" w14:paraId="59077C3E" w14:textId="77777777">
        <w:tblPrEx>
          <w:tblCellMar>
            <w:top w:w="0" w:type="dxa"/>
            <w:bottom w:w="0" w:type="dxa"/>
          </w:tblCellMar>
        </w:tblPrEx>
        <w:tc>
          <w:tcPr>
            <w:tcW w:w="4819" w:type="dxa"/>
            <w:shd w:val="clear" w:color="auto" w:fill="FFFFFF"/>
            <w:tcMar>
              <w:top w:w="60" w:type="dxa"/>
              <w:left w:w="0" w:type="dxa"/>
              <w:bottom w:w="60" w:type="dxa"/>
              <w:right w:w="120" w:type="dxa"/>
            </w:tcMar>
          </w:tcPr>
          <w:p w14:paraId="0DBA31BC" w14:textId="77777777" w:rsidR="00916B8B" w:rsidRDefault="00680EB9">
            <w:r>
              <w:rPr>
                <w:rFonts w:ascii="Calibri" w:eastAsia="Calibri" w:hAnsi="Calibri" w:cs="Calibri"/>
                <w:color w:val="1C2B2B"/>
              </w:rPr>
              <w:t>•  Banking Litigation</w:t>
            </w:r>
          </w:p>
        </w:tc>
        <w:tc>
          <w:tcPr>
            <w:tcW w:w="4819" w:type="dxa"/>
            <w:shd w:val="clear" w:color="auto" w:fill="FFFFFF"/>
            <w:tcMar>
              <w:top w:w="60" w:type="dxa"/>
              <w:left w:w="120" w:type="dxa"/>
              <w:bottom w:w="60" w:type="dxa"/>
              <w:right w:w="0" w:type="dxa"/>
            </w:tcMar>
          </w:tcPr>
          <w:p w14:paraId="3B12BDC8" w14:textId="77777777" w:rsidR="00916B8B" w:rsidRDefault="00680EB9">
            <w:r>
              <w:rPr>
                <w:rFonts w:ascii="Calibri" w:eastAsia="Calibri" w:hAnsi="Calibri" w:cs="Calibri"/>
                <w:color w:val="1C2B2B"/>
              </w:rPr>
              <w:t>•  International &amp; Cross-Border Disputes</w:t>
            </w:r>
          </w:p>
        </w:tc>
      </w:tr>
    </w:tbl>
    <w:p w14:paraId="0F364785" w14:textId="77777777" w:rsidR="00916B8B" w:rsidRDefault="00916B8B">
      <w:pPr>
        <w:spacing w:after="160"/>
      </w:pPr>
    </w:p>
    <w:p w14:paraId="3062697F" w14:textId="77777777" w:rsidR="00916B8B" w:rsidRDefault="00680EB9">
      <w:pPr>
        <w:pBdr>
          <w:bottom w:val="single" w:sz="8" w:space="4" w:color="1A8A8A"/>
        </w:pBdr>
        <w:spacing w:before="280" w:after="80"/>
      </w:pPr>
      <w:r>
        <w:rPr>
          <w:rFonts w:ascii="Calibri" w:eastAsia="Calibri" w:hAnsi="Calibri" w:cs="Calibri"/>
          <w:b/>
          <w:bCs/>
          <w:color w:val="1A8A8A"/>
          <w:spacing w:val="40"/>
          <w:sz w:val="22"/>
          <w:szCs w:val="22"/>
        </w:rPr>
        <w:t>SELECTED EXPERIENCE</w:t>
      </w:r>
    </w:p>
    <w:p w14:paraId="4A75FF1C" w14:textId="77777777" w:rsidR="00916B8B" w:rsidRDefault="00916B8B">
      <w:pPr>
        <w:spacing w:after="80"/>
      </w:pPr>
    </w:p>
    <w:p w14:paraId="2BC8A413" w14:textId="77777777" w:rsidR="00916B8B" w:rsidRDefault="00680EB9">
      <w:pPr>
        <w:spacing w:before="100" w:after="60"/>
      </w:pPr>
      <w:r>
        <w:rPr>
          <w:rFonts w:ascii="Calibri" w:eastAsia="Calibri" w:hAnsi="Calibri" w:cs="Calibri"/>
          <w:b/>
          <w:bCs/>
          <w:color w:val="1A8A8A"/>
          <w:sz w:val="21"/>
          <w:szCs w:val="21"/>
        </w:rPr>
        <w:t>International &amp; Cross-Border</w:t>
      </w:r>
    </w:p>
    <w:p w14:paraId="4B4B2AA5" w14:textId="77777777" w:rsidR="00916B8B" w:rsidRDefault="00680EB9">
      <w:pPr>
        <w:pStyle w:val="ListParagraph"/>
        <w:numPr>
          <w:ilvl w:val="0"/>
          <w:numId w:val="2"/>
        </w:numPr>
        <w:spacing w:before="60" w:after="60"/>
      </w:pPr>
      <w:r>
        <w:rPr>
          <w:rFonts w:ascii="Calibri" w:eastAsia="Calibri" w:hAnsi="Calibri" w:cs="Calibri"/>
          <w:color w:val="555555"/>
        </w:rPr>
        <w:t xml:space="preserve">Advises Ducati Motor Holding </w:t>
      </w:r>
      <w:proofErr w:type="spellStart"/>
      <w:r>
        <w:rPr>
          <w:rFonts w:ascii="Calibri" w:eastAsia="Calibri" w:hAnsi="Calibri" w:cs="Calibri"/>
          <w:color w:val="555555"/>
        </w:rPr>
        <w:t>SpA</w:t>
      </w:r>
      <w:proofErr w:type="spellEnd"/>
      <w:r>
        <w:rPr>
          <w:rFonts w:ascii="Calibri" w:eastAsia="Calibri" w:hAnsi="Calibri" w:cs="Calibri"/>
          <w:color w:val="555555"/>
        </w:rPr>
        <w:t xml:space="preserve"> (Italy) and Ducati Motor (Thailand) Co., Ltd. on Malaysian commercial matters, including dealer and distributor disputes, contract enforcement, and regional legal strategy.</w:t>
      </w:r>
    </w:p>
    <w:p w14:paraId="1DAFC932" w14:textId="77777777" w:rsidR="00916B8B" w:rsidRDefault="00680EB9">
      <w:pPr>
        <w:pStyle w:val="ListParagraph"/>
        <w:numPr>
          <w:ilvl w:val="0"/>
          <w:numId w:val="2"/>
        </w:numPr>
        <w:spacing w:before="60" w:after="60"/>
      </w:pPr>
      <w:r>
        <w:rPr>
          <w:rFonts w:ascii="Calibri" w:eastAsia="Calibri" w:hAnsi="Calibri" w:cs="Calibri"/>
          <w:color w:val="555555"/>
        </w:rPr>
        <w:t xml:space="preserve">Has advised and acted for directors of PT </w:t>
      </w:r>
      <w:proofErr w:type="spellStart"/>
      <w:r>
        <w:rPr>
          <w:rFonts w:ascii="Calibri" w:eastAsia="Calibri" w:hAnsi="Calibri" w:cs="Calibri"/>
          <w:color w:val="555555"/>
        </w:rPr>
        <w:t>Erajaya</w:t>
      </w:r>
      <w:proofErr w:type="spellEnd"/>
      <w:r>
        <w:rPr>
          <w:rFonts w:ascii="Calibri" w:eastAsia="Calibri" w:hAnsi="Calibri" w:cs="Calibri"/>
          <w:color w:val="555555"/>
        </w:rPr>
        <w:t xml:space="preserve"> </w:t>
      </w:r>
      <w:proofErr w:type="spellStart"/>
      <w:r>
        <w:rPr>
          <w:rFonts w:ascii="Calibri" w:eastAsia="Calibri" w:hAnsi="Calibri" w:cs="Calibri"/>
          <w:color w:val="555555"/>
        </w:rPr>
        <w:t>Swasembada</w:t>
      </w:r>
      <w:proofErr w:type="spellEnd"/>
      <w:r>
        <w:rPr>
          <w:rFonts w:ascii="Calibri" w:eastAsia="Calibri" w:hAnsi="Calibri" w:cs="Calibri"/>
          <w:color w:val="555555"/>
        </w:rPr>
        <w:t xml:space="preserve"> </w:t>
      </w:r>
      <w:proofErr w:type="spellStart"/>
      <w:r>
        <w:rPr>
          <w:rFonts w:ascii="Calibri" w:eastAsia="Calibri" w:hAnsi="Calibri" w:cs="Calibri"/>
          <w:color w:val="555555"/>
        </w:rPr>
        <w:t>Tbk</w:t>
      </w:r>
      <w:proofErr w:type="spellEnd"/>
      <w:r>
        <w:rPr>
          <w:rFonts w:ascii="Calibri" w:eastAsia="Calibri" w:hAnsi="Calibri" w:cs="Calibri"/>
          <w:color w:val="555555"/>
        </w:rPr>
        <w:t>, one of Indonesia’s largest smartphone distributors and Apple authorised partners with annual revenues exceeding USD 4 billion, in connection with their Malaysian business interests, including Switch, one of Malaysia’s leading Apple Premium Resellers and consumer electronics retailers with annual revenues exceeding RM 1.1 billion.</w:t>
      </w:r>
    </w:p>
    <w:p w14:paraId="7BC6410D" w14:textId="77777777" w:rsidR="00916B8B" w:rsidRDefault="00680EB9">
      <w:pPr>
        <w:pStyle w:val="ListParagraph"/>
        <w:numPr>
          <w:ilvl w:val="0"/>
          <w:numId w:val="2"/>
        </w:numPr>
        <w:spacing w:before="60" w:after="60"/>
      </w:pPr>
      <w:r>
        <w:rPr>
          <w:rFonts w:ascii="Calibri" w:eastAsia="Calibri" w:hAnsi="Calibri" w:cs="Calibri"/>
          <w:color w:val="555555"/>
        </w:rPr>
        <w:t>Has advised local and international steel corporations on the importation of Hot Rolled Coils on behalf of a national car manufacturer, including negotiations with the Royal Malaysian Customs Department, the Ministry of Finance, MITI, and the Malaysia Iron and Steel Industry Federation, and Judicial Review Proceedings to quash Bills of Demand exceeding RM20 million.</w:t>
      </w:r>
    </w:p>
    <w:p w14:paraId="7FBA9145" w14:textId="77777777" w:rsidR="00916B8B" w:rsidRDefault="00680EB9">
      <w:pPr>
        <w:pStyle w:val="ListParagraph"/>
        <w:numPr>
          <w:ilvl w:val="0"/>
          <w:numId w:val="2"/>
        </w:numPr>
        <w:spacing w:before="60" w:after="60"/>
      </w:pPr>
      <w:r>
        <w:rPr>
          <w:rFonts w:ascii="Calibri" w:eastAsia="Calibri" w:hAnsi="Calibri" w:cs="Calibri"/>
          <w:color w:val="555555"/>
        </w:rPr>
        <w:t>Has acted for a white knight company listed on the Singapore Stock Exchange in rehabilitating a distressed Malaysian company via a Scheme of Arrangement, including validation orders for asset disposals, under the Corporate Debt Restructuring Committee framework.</w:t>
      </w:r>
    </w:p>
    <w:p w14:paraId="33640685" w14:textId="77777777" w:rsidR="00916B8B" w:rsidRDefault="00916B8B">
      <w:pPr>
        <w:spacing w:after="80"/>
      </w:pPr>
    </w:p>
    <w:p w14:paraId="1F5AD8F0" w14:textId="77777777" w:rsidR="00916B8B" w:rsidRDefault="00680EB9">
      <w:pPr>
        <w:spacing w:before="100" w:after="60"/>
      </w:pPr>
      <w:r>
        <w:rPr>
          <w:rFonts w:ascii="Calibri" w:eastAsia="Calibri" w:hAnsi="Calibri" w:cs="Calibri"/>
          <w:b/>
          <w:bCs/>
          <w:color w:val="1A8A8A"/>
          <w:sz w:val="21"/>
          <w:szCs w:val="21"/>
        </w:rPr>
        <w:t>Insolvency, Restructuring &amp; Winding Up</w:t>
      </w:r>
    </w:p>
    <w:p w14:paraId="7B4120A3" w14:textId="77777777" w:rsidR="00916B8B" w:rsidRDefault="00680EB9">
      <w:pPr>
        <w:pStyle w:val="ListParagraph"/>
        <w:numPr>
          <w:ilvl w:val="0"/>
          <w:numId w:val="2"/>
        </w:numPr>
        <w:spacing w:before="60" w:after="60"/>
      </w:pPr>
      <w:r>
        <w:rPr>
          <w:rFonts w:ascii="Calibri" w:eastAsia="Calibri" w:hAnsi="Calibri" w:cs="Calibri"/>
          <w:color w:val="555555"/>
        </w:rPr>
        <w:t xml:space="preserve">Has appeared in the High Court of Malaya opposing a winding up petition on behalf of the single largest unsecured creditor of Golden Plus Holdings </w:t>
      </w:r>
      <w:proofErr w:type="spellStart"/>
      <w:r>
        <w:rPr>
          <w:rFonts w:ascii="Calibri" w:eastAsia="Calibri" w:hAnsi="Calibri" w:cs="Calibri"/>
          <w:color w:val="555555"/>
        </w:rPr>
        <w:t>Berhad</w:t>
      </w:r>
      <w:proofErr w:type="spellEnd"/>
      <w:r>
        <w:rPr>
          <w:rFonts w:ascii="Calibri" w:eastAsia="Calibri" w:hAnsi="Calibri" w:cs="Calibri"/>
          <w:color w:val="555555"/>
        </w:rPr>
        <w:t>, resisting the petition and asserting the creditor’s rights in the winding up proceedings.</w:t>
      </w:r>
    </w:p>
    <w:p w14:paraId="0C8E08ED" w14:textId="77777777" w:rsidR="00916B8B" w:rsidRDefault="00680EB9">
      <w:pPr>
        <w:pStyle w:val="ListParagraph"/>
        <w:numPr>
          <w:ilvl w:val="0"/>
          <w:numId w:val="2"/>
        </w:numPr>
        <w:spacing w:before="60" w:after="60"/>
      </w:pPr>
      <w:r>
        <w:rPr>
          <w:rFonts w:ascii="Calibri" w:eastAsia="Calibri" w:hAnsi="Calibri" w:cs="Calibri"/>
          <w:color w:val="555555"/>
        </w:rPr>
        <w:t>Has acted for creditors of a GLC and its subsidiary with combined debts exceeding RM50 million, addressing questions of asset disposal post-commencement and preferential creditor treatment.</w:t>
      </w:r>
    </w:p>
    <w:p w14:paraId="3FF91B61" w14:textId="77777777" w:rsidR="00916B8B" w:rsidRDefault="00680EB9">
      <w:pPr>
        <w:pStyle w:val="ListParagraph"/>
        <w:numPr>
          <w:ilvl w:val="0"/>
          <w:numId w:val="2"/>
        </w:numPr>
        <w:spacing w:before="60" w:after="60"/>
      </w:pPr>
      <w:r>
        <w:rPr>
          <w:rFonts w:ascii="Calibri" w:eastAsia="Calibri" w:hAnsi="Calibri" w:cs="Calibri"/>
          <w:color w:val="555555"/>
        </w:rPr>
        <w:t>Has acted for the creditor of a public-listed company in successfully obtaining the appointment of a Provisional Liquidator to protect assets in excess of RM500 million, defeating the Petitioning Bank’s attempt to appoint a Private Liquidator.</w:t>
      </w:r>
    </w:p>
    <w:p w14:paraId="529C2351" w14:textId="77777777" w:rsidR="00916B8B" w:rsidRDefault="00680EB9">
      <w:pPr>
        <w:pStyle w:val="ListParagraph"/>
        <w:numPr>
          <w:ilvl w:val="0"/>
          <w:numId w:val="2"/>
        </w:numPr>
        <w:spacing w:before="60" w:after="60"/>
      </w:pPr>
      <w:r>
        <w:rPr>
          <w:rFonts w:ascii="Calibri" w:eastAsia="Calibri" w:hAnsi="Calibri" w:cs="Calibri"/>
          <w:color w:val="555555"/>
        </w:rPr>
        <w:lastRenderedPageBreak/>
        <w:t>Has obtained four Restraining Orders under s.176(10) of the Companies Act 1965 to facilitate a Scheme of Arrangement restructuring over RM160 million in debt, and successfully defended multiple applications to oppose and set aside the Orders.</w:t>
      </w:r>
    </w:p>
    <w:p w14:paraId="4B03B46A" w14:textId="77777777" w:rsidR="00916B8B" w:rsidRDefault="00680EB9">
      <w:pPr>
        <w:pStyle w:val="ListParagraph"/>
        <w:numPr>
          <w:ilvl w:val="0"/>
          <w:numId w:val="2"/>
        </w:numPr>
        <w:spacing w:before="60" w:after="60"/>
      </w:pPr>
      <w:r>
        <w:rPr>
          <w:rFonts w:ascii="Calibri" w:eastAsia="Calibri" w:hAnsi="Calibri" w:cs="Calibri"/>
          <w:color w:val="555555"/>
        </w:rPr>
        <w:t>Has acted as counsel in the members’ voluntary winding up of one of Malaysia’s largest developers’ subsidiaries, with capital assets exceeding RM1.1 billion, including initiating and defending trade debtor and creditor actions.</w:t>
      </w:r>
    </w:p>
    <w:p w14:paraId="682D261D" w14:textId="77777777" w:rsidR="00916B8B" w:rsidRDefault="00680EB9">
      <w:pPr>
        <w:pStyle w:val="ListParagraph"/>
        <w:numPr>
          <w:ilvl w:val="0"/>
          <w:numId w:val="2"/>
        </w:numPr>
        <w:spacing w:before="60" w:after="60"/>
      </w:pPr>
      <w:r>
        <w:rPr>
          <w:rFonts w:ascii="Calibri" w:eastAsia="Calibri" w:hAnsi="Calibri" w:cs="Calibri"/>
          <w:color w:val="555555"/>
        </w:rPr>
        <w:t>Regularly advises insolvency practitioners (consultants, receivers, managers, and liquidators) of local and multinational firms on discharge applications, fee recovery, and suits to recover monies owed to wound-up companies.</w:t>
      </w:r>
    </w:p>
    <w:p w14:paraId="271C1E0C" w14:textId="77777777" w:rsidR="00916B8B" w:rsidRDefault="00916B8B">
      <w:pPr>
        <w:spacing w:after="80"/>
      </w:pPr>
    </w:p>
    <w:p w14:paraId="7CB98155" w14:textId="77777777" w:rsidR="00916B8B" w:rsidRDefault="00680EB9">
      <w:pPr>
        <w:spacing w:before="100" w:after="60"/>
      </w:pPr>
      <w:r>
        <w:rPr>
          <w:rFonts w:ascii="Calibri" w:eastAsia="Calibri" w:hAnsi="Calibri" w:cs="Calibri"/>
          <w:b/>
          <w:bCs/>
          <w:color w:val="1A8A8A"/>
          <w:sz w:val="21"/>
          <w:szCs w:val="21"/>
        </w:rPr>
        <w:t>Shareholders’ Disputes &amp; Company Law</w:t>
      </w:r>
    </w:p>
    <w:p w14:paraId="73A384F3" w14:textId="77777777" w:rsidR="00916B8B" w:rsidRDefault="00680EB9">
      <w:pPr>
        <w:pStyle w:val="ListParagraph"/>
        <w:numPr>
          <w:ilvl w:val="0"/>
          <w:numId w:val="2"/>
        </w:numPr>
        <w:spacing w:before="60" w:after="60"/>
      </w:pPr>
      <w:r>
        <w:rPr>
          <w:rFonts w:ascii="Calibri" w:eastAsia="Calibri" w:hAnsi="Calibri" w:cs="Calibri"/>
          <w:color w:val="555555"/>
        </w:rPr>
        <w:t>Has advised and acted in High Court proceedings (Kuala Lumpur) involving minority oppression and unlawful reduction of paid-up capital contrary to the capital maintenance doctrine under the Companies Act 2016, including applications under ss.116, 117, and 127 of the Act, raising novel questions on shareholder remedies and the court’s supervisory jurisdiction over intra-company capital transactions.</w:t>
      </w:r>
    </w:p>
    <w:p w14:paraId="63304DD8" w14:textId="77777777" w:rsidR="00916B8B" w:rsidRDefault="00680EB9">
      <w:pPr>
        <w:pStyle w:val="ListParagraph"/>
        <w:numPr>
          <w:ilvl w:val="0"/>
          <w:numId w:val="2"/>
        </w:numPr>
        <w:spacing w:before="60" w:after="60"/>
      </w:pPr>
      <w:r>
        <w:rPr>
          <w:rFonts w:ascii="Calibri" w:eastAsia="Calibri" w:hAnsi="Calibri" w:cs="Calibri"/>
          <w:color w:val="555555"/>
        </w:rPr>
        <w:t xml:space="preserve">Has acted on behalf of the estate of the late Hussain Ahmad </w:t>
      </w:r>
      <w:proofErr w:type="spellStart"/>
      <w:r>
        <w:rPr>
          <w:rFonts w:ascii="Calibri" w:eastAsia="Calibri" w:hAnsi="Calibri" w:cs="Calibri"/>
          <w:color w:val="555555"/>
        </w:rPr>
        <w:t>Najadi</w:t>
      </w:r>
      <w:proofErr w:type="spellEnd"/>
      <w:r>
        <w:rPr>
          <w:rFonts w:ascii="Calibri" w:eastAsia="Calibri" w:hAnsi="Calibri" w:cs="Calibri"/>
          <w:color w:val="555555"/>
        </w:rPr>
        <w:t xml:space="preserve"> (Founder of AmBank) in High Court proceedings which received substantial national media coverage.</w:t>
      </w:r>
    </w:p>
    <w:p w14:paraId="4F274324" w14:textId="77777777" w:rsidR="00916B8B" w:rsidRDefault="00916B8B">
      <w:pPr>
        <w:spacing w:after="80"/>
      </w:pPr>
    </w:p>
    <w:p w14:paraId="30479698" w14:textId="77777777" w:rsidR="00916B8B" w:rsidRDefault="00680EB9">
      <w:pPr>
        <w:spacing w:before="100" w:after="60"/>
      </w:pPr>
      <w:r>
        <w:rPr>
          <w:rFonts w:ascii="Calibri" w:eastAsia="Calibri" w:hAnsi="Calibri" w:cs="Calibri"/>
          <w:b/>
          <w:bCs/>
          <w:color w:val="1A8A8A"/>
          <w:sz w:val="21"/>
          <w:szCs w:val="21"/>
        </w:rPr>
        <w:t>Employment &amp; Industrial Relations</w:t>
      </w:r>
    </w:p>
    <w:p w14:paraId="456908E1" w14:textId="77777777" w:rsidR="00916B8B" w:rsidRDefault="00680EB9">
      <w:pPr>
        <w:pStyle w:val="ListParagraph"/>
        <w:numPr>
          <w:ilvl w:val="0"/>
          <w:numId w:val="2"/>
        </w:numPr>
        <w:spacing w:before="60" w:after="60"/>
      </w:pPr>
      <w:r>
        <w:rPr>
          <w:rFonts w:ascii="Calibri" w:eastAsia="Calibri" w:hAnsi="Calibri" w:cs="Calibri"/>
          <w:color w:val="555555"/>
        </w:rPr>
        <w:t xml:space="preserve">Advises multinational corporations on the retrenchment of local and expatriate employees, including statutory compliance under the Employment Act 1955, Form PK obligations, notice period strategy, and ex gratia structuring. Clients include </w:t>
      </w:r>
      <w:proofErr w:type="spellStart"/>
      <w:r>
        <w:rPr>
          <w:rFonts w:ascii="Calibri" w:eastAsia="Calibri" w:hAnsi="Calibri" w:cs="Calibri"/>
          <w:color w:val="555555"/>
        </w:rPr>
        <w:t>Mandara</w:t>
      </w:r>
      <w:proofErr w:type="spellEnd"/>
      <w:r>
        <w:rPr>
          <w:rFonts w:ascii="Calibri" w:eastAsia="Calibri" w:hAnsi="Calibri" w:cs="Calibri"/>
          <w:color w:val="555555"/>
        </w:rPr>
        <w:t xml:space="preserve"> Spa, a US-listed international spa and wellness group operating across Southeast Asia, and multinational manufacturers in the automation and industrial sectors.</w:t>
      </w:r>
    </w:p>
    <w:p w14:paraId="69867A66" w14:textId="77777777" w:rsidR="00916B8B" w:rsidRDefault="00680EB9">
      <w:pPr>
        <w:pStyle w:val="ListParagraph"/>
        <w:numPr>
          <w:ilvl w:val="0"/>
          <w:numId w:val="2"/>
        </w:numPr>
        <w:spacing w:before="60" w:after="60"/>
      </w:pPr>
      <w:r>
        <w:rPr>
          <w:rFonts w:ascii="Calibri" w:eastAsia="Calibri" w:hAnsi="Calibri" w:cs="Calibri"/>
          <w:color w:val="555555"/>
        </w:rPr>
        <w:t>Has acted as counsel in the members’ voluntary winding up of a major safety glass manufacturer in the Malaysian automotive industry, overseeing the lawful termination of approximately 197 employees and successfully defending multiple Industrial Court claims for reinstatement compensation and back wages.</w:t>
      </w:r>
    </w:p>
    <w:p w14:paraId="67129303" w14:textId="77777777" w:rsidR="00916B8B" w:rsidRDefault="00916B8B">
      <w:pPr>
        <w:spacing w:after="160"/>
      </w:pPr>
    </w:p>
    <w:p w14:paraId="4E9ED2E0" w14:textId="77777777" w:rsidR="00916B8B" w:rsidRDefault="00680EB9">
      <w:pPr>
        <w:pBdr>
          <w:bottom w:val="single" w:sz="8" w:space="4" w:color="1A8A8A"/>
        </w:pBdr>
        <w:spacing w:before="280" w:after="80"/>
      </w:pPr>
      <w:r>
        <w:rPr>
          <w:rFonts w:ascii="Calibri" w:eastAsia="Calibri" w:hAnsi="Calibri" w:cs="Calibri"/>
          <w:b/>
          <w:bCs/>
          <w:color w:val="1A8A8A"/>
          <w:spacing w:val="40"/>
          <w:sz w:val="22"/>
          <w:szCs w:val="22"/>
        </w:rPr>
        <w:t>QUALIFICATIONS &amp; ADMISSIONS</w:t>
      </w:r>
    </w:p>
    <w:p w14:paraId="3E0CADB9" w14:textId="77777777" w:rsidR="00916B8B" w:rsidRDefault="00916B8B">
      <w:pPr>
        <w:spacing w:after="80"/>
      </w:pPr>
    </w:p>
    <w:tbl>
      <w:tblPr>
        <w:tblW w:w="9638"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838"/>
      </w:tblGrid>
      <w:tr w:rsidR="00916B8B" w14:paraId="20856966" w14:textId="77777777">
        <w:tblPrEx>
          <w:tblCellMar>
            <w:top w:w="0" w:type="dxa"/>
            <w:bottom w:w="0" w:type="dxa"/>
          </w:tblCellMar>
        </w:tblPrEx>
        <w:tc>
          <w:tcPr>
            <w:tcW w:w="1800" w:type="dxa"/>
          </w:tcPr>
          <w:p w14:paraId="07715D97" w14:textId="77777777" w:rsidR="00916B8B" w:rsidRDefault="00680EB9">
            <w:r>
              <w:rPr>
                <w:rFonts w:ascii="Calibri" w:eastAsia="Calibri" w:hAnsi="Calibri" w:cs="Calibri"/>
                <w:b/>
                <w:bCs/>
                <w:color w:val="1A8A8A"/>
              </w:rPr>
              <w:t>2008</w:t>
            </w:r>
          </w:p>
        </w:tc>
        <w:tc>
          <w:tcPr>
            <w:tcW w:w="7838" w:type="dxa"/>
          </w:tcPr>
          <w:p w14:paraId="232012FE" w14:textId="77777777" w:rsidR="00916B8B" w:rsidRDefault="00680EB9">
            <w:r>
              <w:rPr>
                <w:rFonts w:ascii="Calibri" w:eastAsia="Calibri" w:hAnsi="Calibri" w:cs="Calibri"/>
                <w:color w:val="555555"/>
              </w:rPr>
              <w:t>Advocate &amp; Solicitor, High Court of Malaya</w:t>
            </w:r>
          </w:p>
        </w:tc>
      </w:tr>
      <w:tr w:rsidR="00916B8B" w14:paraId="73C55B2B" w14:textId="77777777">
        <w:tblPrEx>
          <w:tblCellMar>
            <w:top w:w="0" w:type="dxa"/>
            <w:bottom w:w="0" w:type="dxa"/>
          </w:tblCellMar>
        </w:tblPrEx>
        <w:tc>
          <w:tcPr>
            <w:tcW w:w="1800" w:type="dxa"/>
          </w:tcPr>
          <w:p w14:paraId="392940B4" w14:textId="77777777" w:rsidR="00916B8B" w:rsidRDefault="00680EB9">
            <w:r>
              <w:rPr>
                <w:rFonts w:ascii="Calibri" w:eastAsia="Calibri" w:hAnsi="Calibri" w:cs="Calibri"/>
                <w:b/>
                <w:bCs/>
                <w:color w:val="1A8A8A"/>
              </w:rPr>
              <w:t>2007</w:t>
            </w:r>
          </w:p>
        </w:tc>
        <w:tc>
          <w:tcPr>
            <w:tcW w:w="7838" w:type="dxa"/>
          </w:tcPr>
          <w:p w14:paraId="7EA3FA46" w14:textId="77777777" w:rsidR="00916B8B" w:rsidRDefault="00680EB9">
            <w:r>
              <w:rPr>
                <w:rFonts w:ascii="Calibri" w:eastAsia="Calibri" w:hAnsi="Calibri" w:cs="Calibri"/>
                <w:color w:val="555555"/>
              </w:rPr>
              <w:t>Barrister-at-Law, England &amp; Wales</w:t>
            </w:r>
          </w:p>
        </w:tc>
      </w:tr>
      <w:tr w:rsidR="00916B8B" w14:paraId="63F5E2D3" w14:textId="77777777">
        <w:tblPrEx>
          <w:tblCellMar>
            <w:top w:w="0" w:type="dxa"/>
            <w:bottom w:w="0" w:type="dxa"/>
          </w:tblCellMar>
        </w:tblPrEx>
        <w:tc>
          <w:tcPr>
            <w:tcW w:w="1800" w:type="dxa"/>
          </w:tcPr>
          <w:p w14:paraId="754777AE" w14:textId="77777777" w:rsidR="00916B8B" w:rsidRDefault="00680EB9">
            <w:r>
              <w:rPr>
                <w:rFonts w:ascii="Calibri" w:eastAsia="Calibri" w:hAnsi="Calibri" w:cs="Calibri"/>
                <w:b/>
                <w:bCs/>
                <w:color w:val="1A8A8A"/>
              </w:rPr>
              <w:t>2006 – 2007</w:t>
            </w:r>
          </w:p>
        </w:tc>
        <w:tc>
          <w:tcPr>
            <w:tcW w:w="7838" w:type="dxa"/>
          </w:tcPr>
          <w:p w14:paraId="51C7402D" w14:textId="77777777" w:rsidR="00916B8B" w:rsidRDefault="00680EB9">
            <w:r>
              <w:rPr>
                <w:rFonts w:ascii="Calibri" w:eastAsia="Calibri" w:hAnsi="Calibri" w:cs="Calibri"/>
                <w:color w:val="555555"/>
              </w:rPr>
              <w:t>Bar Vocational Course (BVC), Cardiff University — Called, Lincoln’s Inn, London</w:t>
            </w:r>
          </w:p>
        </w:tc>
      </w:tr>
      <w:tr w:rsidR="00916B8B" w14:paraId="1EC47168" w14:textId="77777777">
        <w:tblPrEx>
          <w:tblCellMar>
            <w:top w:w="0" w:type="dxa"/>
            <w:bottom w:w="0" w:type="dxa"/>
          </w:tblCellMar>
        </w:tblPrEx>
        <w:tc>
          <w:tcPr>
            <w:tcW w:w="1800" w:type="dxa"/>
          </w:tcPr>
          <w:p w14:paraId="6B0BA8BE" w14:textId="77777777" w:rsidR="00916B8B" w:rsidRDefault="00680EB9">
            <w:r>
              <w:rPr>
                <w:rFonts w:ascii="Calibri" w:eastAsia="Calibri" w:hAnsi="Calibri" w:cs="Calibri"/>
                <w:b/>
                <w:bCs/>
                <w:color w:val="1A8A8A"/>
              </w:rPr>
              <w:t>2002 – 2005</w:t>
            </w:r>
          </w:p>
        </w:tc>
        <w:tc>
          <w:tcPr>
            <w:tcW w:w="7838" w:type="dxa"/>
          </w:tcPr>
          <w:p w14:paraId="39557709" w14:textId="77777777" w:rsidR="00916B8B" w:rsidRDefault="00680EB9">
            <w:r>
              <w:rPr>
                <w:rFonts w:ascii="Calibri" w:eastAsia="Calibri" w:hAnsi="Calibri" w:cs="Calibri"/>
                <w:color w:val="555555"/>
              </w:rPr>
              <w:t>LLB (Law), Cardiff University, Wales</w:t>
            </w:r>
          </w:p>
        </w:tc>
      </w:tr>
    </w:tbl>
    <w:p w14:paraId="713F7427" w14:textId="77777777" w:rsidR="00916B8B" w:rsidRDefault="00916B8B">
      <w:pPr>
        <w:spacing w:after="160"/>
      </w:pPr>
    </w:p>
    <w:p w14:paraId="2A57E00D" w14:textId="77777777" w:rsidR="00916B8B" w:rsidRDefault="00680EB9">
      <w:pPr>
        <w:pBdr>
          <w:bottom w:val="single" w:sz="8" w:space="4" w:color="1A8A8A"/>
        </w:pBdr>
        <w:spacing w:before="280" w:after="80"/>
      </w:pPr>
      <w:r>
        <w:rPr>
          <w:rFonts w:ascii="Calibri" w:eastAsia="Calibri" w:hAnsi="Calibri" w:cs="Calibri"/>
          <w:b/>
          <w:bCs/>
          <w:color w:val="1A8A8A"/>
          <w:spacing w:val="40"/>
          <w:sz w:val="22"/>
          <w:szCs w:val="22"/>
        </w:rPr>
        <w:t>CAREER</w:t>
      </w:r>
    </w:p>
    <w:p w14:paraId="083B0B26" w14:textId="77777777" w:rsidR="00916B8B" w:rsidRDefault="00916B8B">
      <w:pPr>
        <w:spacing w:after="80"/>
      </w:pPr>
    </w:p>
    <w:tbl>
      <w:tblPr>
        <w:tblW w:w="9638"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838"/>
      </w:tblGrid>
      <w:tr w:rsidR="00916B8B" w14:paraId="75E1DFFA" w14:textId="77777777">
        <w:tblPrEx>
          <w:tblCellMar>
            <w:top w:w="0" w:type="dxa"/>
            <w:bottom w:w="0" w:type="dxa"/>
          </w:tblCellMar>
        </w:tblPrEx>
        <w:tc>
          <w:tcPr>
            <w:tcW w:w="1800" w:type="dxa"/>
          </w:tcPr>
          <w:p w14:paraId="5C275BAA" w14:textId="77777777" w:rsidR="00916B8B" w:rsidRDefault="00680EB9">
            <w:r>
              <w:rPr>
                <w:rFonts w:ascii="Calibri" w:eastAsia="Calibri" w:hAnsi="Calibri" w:cs="Calibri"/>
                <w:b/>
                <w:bCs/>
                <w:color w:val="1A8A8A"/>
              </w:rPr>
              <w:t>2012 – Present</w:t>
            </w:r>
          </w:p>
        </w:tc>
        <w:tc>
          <w:tcPr>
            <w:tcW w:w="7838" w:type="dxa"/>
          </w:tcPr>
          <w:p w14:paraId="6CF45EB3" w14:textId="77777777" w:rsidR="00916B8B" w:rsidRDefault="00680EB9">
            <w:r>
              <w:rPr>
                <w:rFonts w:ascii="Calibri" w:eastAsia="Calibri" w:hAnsi="Calibri" w:cs="Calibri"/>
                <w:b/>
                <w:bCs/>
                <w:color w:val="555555"/>
              </w:rPr>
              <w:t xml:space="preserve">Partner, </w:t>
            </w:r>
            <w:proofErr w:type="spellStart"/>
            <w:r>
              <w:rPr>
                <w:rFonts w:ascii="Calibri" w:eastAsia="Calibri" w:hAnsi="Calibri" w:cs="Calibri"/>
                <w:b/>
                <w:bCs/>
                <w:color w:val="555555"/>
              </w:rPr>
              <w:t>Teja</w:t>
            </w:r>
            <w:proofErr w:type="spellEnd"/>
            <w:r>
              <w:rPr>
                <w:rFonts w:ascii="Calibri" w:eastAsia="Calibri" w:hAnsi="Calibri" w:cs="Calibri"/>
                <w:b/>
                <w:bCs/>
                <w:color w:val="555555"/>
              </w:rPr>
              <w:t xml:space="preserve"> Singh </w:t>
            </w:r>
            <w:proofErr w:type="spellStart"/>
            <w:r>
              <w:rPr>
                <w:rFonts w:ascii="Calibri" w:eastAsia="Calibri" w:hAnsi="Calibri" w:cs="Calibri"/>
                <w:b/>
                <w:bCs/>
                <w:color w:val="555555"/>
              </w:rPr>
              <w:t>Penesar</w:t>
            </w:r>
            <w:proofErr w:type="spellEnd"/>
            <w:r>
              <w:rPr>
                <w:rFonts w:ascii="Calibri" w:eastAsia="Calibri" w:hAnsi="Calibri" w:cs="Calibri"/>
                <w:b/>
                <w:bCs/>
                <w:color w:val="555555"/>
              </w:rPr>
              <w:t xml:space="preserve"> &amp; Co. (Kuala Lumpur)</w:t>
            </w:r>
          </w:p>
        </w:tc>
      </w:tr>
      <w:tr w:rsidR="00916B8B" w14:paraId="067B7D5F" w14:textId="77777777">
        <w:tblPrEx>
          <w:tblCellMar>
            <w:top w:w="0" w:type="dxa"/>
            <w:bottom w:w="0" w:type="dxa"/>
          </w:tblCellMar>
        </w:tblPrEx>
        <w:tc>
          <w:tcPr>
            <w:tcW w:w="1800" w:type="dxa"/>
          </w:tcPr>
          <w:p w14:paraId="755A69AF" w14:textId="77777777" w:rsidR="00916B8B" w:rsidRDefault="00680EB9">
            <w:r>
              <w:rPr>
                <w:rFonts w:ascii="Calibri" w:eastAsia="Calibri" w:hAnsi="Calibri" w:cs="Calibri"/>
                <w:b/>
                <w:bCs/>
                <w:color w:val="1A8A8A"/>
              </w:rPr>
              <w:t>2009</w:t>
            </w:r>
          </w:p>
        </w:tc>
        <w:tc>
          <w:tcPr>
            <w:tcW w:w="7838" w:type="dxa"/>
          </w:tcPr>
          <w:p w14:paraId="2895661F" w14:textId="77777777" w:rsidR="00916B8B" w:rsidRDefault="00680EB9">
            <w:r>
              <w:rPr>
                <w:rFonts w:ascii="Calibri" w:eastAsia="Calibri" w:hAnsi="Calibri" w:cs="Calibri"/>
                <w:color w:val="555555"/>
              </w:rPr>
              <w:t xml:space="preserve">Associate, </w:t>
            </w:r>
            <w:proofErr w:type="spellStart"/>
            <w:r>
              <w:rPr>
                <w:rFonts w:ascii="Calibri" w:eastAsia="Calibri" w:hAnsi="Calibri" w:cs="Calibri"/>
                <w:color w:val="555555"/>
              </w:rPr>
              <w:t>Teja</w:t>
            </w:r>
            <w:proofErr w:type="spellEnd"/>
            <w:r>
              <w:rPr>
                <w:rFonts w:ascii="Calibri" w:eastAsia="Calibri" w:hAnsi="Calibri" w:cs="Calibri"/>
                <w:color w:val="555555"/>
              </w:rPr>
              <w:t xml:space="preserve"> Singh </w:t>
            </w:r>
            <w:proofErr w:type="spellStart"/>
            <w:r>
              <w:rPr>
                <w:rFonts w:ascii="Calibri" w:eastAsia="Calibri" w:hAnsi="Calibri" w:cs="Calibri"/>
                <w:color w:val="555555"/>
              </w:rPr>
              <w:t>Penesar</w:t>
            </w:r>
            <w:proofErr w:type="spellEnd"/>
            <w:r>
              <w:rPr>
                <w:rFonts w:ascii="Calibri" w:eastAsia="Calibri" w:hAnsi="Calibri" w:cs="Calibri"/>
                <w:color w:val="555555"/>
              </w:rPr>
              <w:t xml:space="preserve"> &amp; Co. (Penang)</w:t>
            </w:r>
          </w:p>
        </w:tc>
      </w:tr>
      <w:tr w:rsidR="00916B8B" w14:paraId="4CA78287" w14:textId="77777777">
        <w:tblPrEx>
          <w:tblCellMar>
            <w:top w:w="0" w:type="dxa"/>
            <w:bottom w:w="0" w:type="dxa"/>
          </w:tblCellMar>
        </w:tblPrEx>
        <w:tc>
          <w:tcPr>
            <w:tcW w:w="1800" w:type="dxa"/>
          </w:tcPr>
          <w:p w14:paraId="4A854B46" w14:textId="77777777" w:rsidR="00916B8B" w:rsidRDefault="00680EB9">
            <w:r>
              <w:rPr>
                <w:rFonts w:ascii="Calibri" w:eastAsia="Calibri" w:hAnsi="Calibri" w:cs="Calibri"/>
                <w:b/>
                <w:bCs/>
                <w:color w:val="1A8A8A"/>
              </w:rPr>
              <w:t>2008</w:t>
            </w:r>
          </w:p>
        </w:tc>
        <w:tc>
          <w:tcPr>
            <w:tcW w:w="7838" w:type="dxa"/>
          </w:tcPr>
          <w:p w14:paraId="76A5AB3F" w14:textId="77777777" w:rsidR="00916B8B" w:rsidRDefault="00680EB9">
            <w:r>
              <w:rPr>
                <w:rFonts w:ascii="Calibri" w:eastAsia="Calibri" w:hAnsi="Calibri" w:cs="Calibri"/>
                <w:color w:val="555555"/>
              </w:rPr>
              <w:t xml:space="preserve">Associate, </w:t>
            </w:r>
            <w:proofErr w:type="spellStart"/>
            <w:r>
              <w:rPr>
                <w:rFonts w:ascii="Calibri" w:eastAsia="Calibri" w:hAnsi="Calibri" w:cs="Calibri"/>
                <w:color w:val="555555"/>
              </w:rPr>
              <w:t>Skrine</w:t>
            </w:r>
            <w:proofErr w:type="spellEnd"/>
          </w:p>
        </w:tc>
      </w:tr>
    </w:tbl>
    <w:p w14:paraId="51474B6F" w14:textId="77777777" w:rsidR="00916B8B" w:rsidRDefault="00916B8B">
      <w:pPr>
        <w:spacing w:after="160"/>
      </w:pPr>
    </w:p>
    <w:p w14:paraId="3725CBB9" w14:textId="77777777" w:rsidR="00916B8B" w:rsidRDefault="00680EB9">
      <w:pPr>
        <w:pBdr>
          <w:bottom w:val="single" w:sz="8" w:space="4" w:color="1A8A8A"/>
        </w:pBdr>
        <w:spacing w:before="280" w:after="80"/>
      </w:pPr>
      <w:r>
        <w:rPr>
          <w:rFonts w:ascii="Calibri" w:eastAsia="Calibri" w:hAnsi="Calibri" w:cs="Calibri"/>
          <w:b/>
          <w:bCs/>
          <w:color w:val="1A8A8A"/>
          <w:spacing w:val="40"/>
          <w:sz w:val="22"/>
          <w:szCs w:val="22"/>
        </w:rPr>
        <w:t>PROFESSIONAL MEMBERSHIPS</w:t>
      </w:r>
    </w:p>
    <w:p w14:paraId="40054F59" w14:textId="77777777" w:rsidR="00916B8B" w:rsidRDefault="00916B8B">
      <w:pPr>
        <w:spacing w:after="80"/>
      </w:pPr>
    </w:p>
    <w:p w14:paraId="26C1ECB0" w14:textId="77777777" w:rsidR="00916B8B" w:rsidRDefault="00680EB9">
      <w:pPr>
        <w:pStyle w:val="ListParagraph"/>
        <w:numPr>
          <w:ilvl w:val="0"/>
          <w:numId w:val="2"/>
        </w:numPr>
        <w:spacing w:before="60" w:after="60"/>
      </w:pPr>
      <w:r>
        <w:rPr>
          <w:rFonts w:ascii="Calibri" w:eastAsia="Calibri" w:hAnsi="Calibri" w:cs="Calibri"/>
          <w:color w:val="555555"/>
        </w:rPr>
        <w:t>Member, Malaysian Bar</w:t>
      </w:r>
    </w:p>
    <w:p w14:paraId="78A1F03B" w14:textId="77777777" w:rsidR="00916B8B" w:rsidRDefault="00680EB9">
      <w:pPr>
        <w:pStyle w:val="ListParagraph"/>
        <w:numPr>
          <w:ilvl w:val="0"/>
          <w:numId w:val="2"/>
        </w:numPr>
        <w:spacing w:before="60" w:after="60"/>
      </w:pPr>
      <w:r>
        <w:rPr>
          <w:rFonts w:ascii="Calibri" w:eastAsia="Calibri" w:hAnsi="Calibri" w:cs="Calibri"/>
          <w:color w:val="555555"/>
        </w:rPr>
        <w:t>Member, The Honourable Society of Lincoln’s Inn (London)</w:t>
      </w:r>
    </w:p>
    <w:p w14:paraId="7789EE88" w14:textId="77777777" w:rsidR="00916B8B" w:rsidRDefault="00680EB9">
      <w:pPr>
        <w:pStyle w:val="ListParagraph"/>
        <w:numPr>
          <w:ilvl w:val="0"/>
          <w:numId w:val="2"/>
        </w:numPr>
        <w:spacing w:before="60" w:after="60"/>
      </w:pPr>
      <w:r>
        <w:rPr>
          <w:rFonts w:ascii="Calibri" w:eastAsia="Calibri" w:hAnsi="Calibri" w:cs="Calibri"/>
          <w:color w:val="555555"/>
        </w:rPr>
        <w:t>Associate Member (Pioneer Member), Asia Institute of Alternative Dispute Resolution (AADR)</w:t>
      </w:r>
    </w:p>
    <w:p w14:paraId="0190D537" w14:textId="77777777" w:rsidR="00916B8B" w:rsidRDefault="00680EB9">
      <w:pPr>
        <w:pStyle w:val="ListParagraph"/>
        <w:numPr>
          <w:ilvl w:val="0"/>
          <w:numId w:val="2"/>
        </w:numPr>
        <w:spacing w:before="60" w:after="60"/>
      </w:pPr>
      <w:r>
        <w:rPr>
          <w:rFonts w:ascii="Calibri" w:eastAsia="Calibri" w:hAnsi="Calibri" w:cs="Calibri"/>
          <w:color w:val="555555"/>
        </w:rPr>
        <w:t>Associate Member, Insolvency Practitioner Association of Malaysia (</w:t>
      </w:r>
      <w:proofErr w:type="spellStart"/>
      <w:r>
        <w:rPr>
          <w:rFonts w:ascii="Calibri" w:eastAsia="Calibri" w:hAnsi="Calibri" w:cs="Calibri"/>
          <w:color w:val="555555"/>
        </w:rPr>
        <w:t>iPAM</w:t>
      </w:r>
      <w:proofErr w:type="spellEnd"/>
      <w:r>
        <w:rPr>
          <w:rFonts w:ascii="Calibri" w:eastAsia="Calibri" w:hAnsi="Calibri" w:cs="Calibri"/>
          <w:color w:val="555555"/>
        </w:rPr>
        <w:t>)</w:t>
      </w:r>
    </w:p>
    <w:p w14:paraId="2C50518F" w14:textId="77777777" w:rsidR="00916B8B" w:rsidRDefault="00680EB9">
      <w:pPr>
        <w:pStyle w:val="ListParagraph"/>
        <w:numPr>
          <w:ilvl w:val="0"/>
          <w:numId w:val="2"/>
        </w:numPr>
        <w:spacing w:before="60" w:after="60"/>
      </w:pPr>
      <w:r>
        <w:rPr>
          <w:rFonts w:ascii="Calibri" w:eastAsia="Calibri" w:hAnsi="Calibri" w:cs="Calibri"/>
          <w:color w:val="555555"/>
        </w:rPr>
        <w:t>Member, INSOL International</w:t>
      </w:r>
    </w:p>
    <w:p w14:paraId="2055A5BB" w14:textId="77777777" w:rsidR="00916B8B" w:rsidRDefault="00916B8B">
      <w:pPr>
        <w:spacing w:after="160"/>
      </w:pPr>
    </w:p>
    <w:p w14:paraId="10C3C08E" w14:textId="77777777" w:rsidR="00916B8B" w:rsidRDefault="00680EB9">
      <w:pPr>
        <w:pBdr>
          <w:bottom w:val="single" w:sz="8" w:space="4" w:color="1A8A8A"/>
        </w:pBdr>
        <w:spacing w:before="280" w:after="80"/>
      </w:pPr>
      <w:r>
        <w:rPr>
          <w:rFonts w:ascii="Calibri" w:eastAsia="Calibri" w:hAnsi="Calibri" w:cs="Calibri"/>
          <w:b/>
          <w:bCs/>
          <w:color w:val="1A8A8A"/>
          <w:spacing w:val="40"/>
          <w:sz w:val="22"/>
          <w:szCs w:val="22"/>
        </w:rPr>
        <w:lastRenderedPageBreak/>
        <w:t>PUBLICATIONS &amp; SPEAKING ENGAGEMENTS</w:t>
      </w:r>
    </w:p>
    <w:p w14:paraId="40BEB99A" w14:textId="77777777" w:rsidR="00916B8B" w:rsidRDefault="00916B8B">
      <w:pPr>
        <w:spacing w:after="80"/>
      </w:pPr>
    </w:p>
    <w:p w14:paraId="6FE31901" w14:textId="77777777" w:rsidR="00916B8B" w:rsidRDefault="00680EB9">
      <w:pPr>
        <w:spacing w:before="60" w:after="40"/>
      </w:pPr>
      <w:r>
        <w:rPr>
          <w:rFonts w:ascii="Calibri" w:eastAsia="Calibri" w:hAnsi="Calibri" w:cs="Calibri"/>
          <w:b/>
          <w:bCs/>
          <w:color w:val="1C2B2B"/>
        </w:rPr>
        <w:t>Publications</w:t>
      </w:r>
    </w:p>
    <w:p w14:paraId="76432B9A" w14:textId="77777777" w:rsidR="00916B8B" w:rsidRDefault="00680EB9">
      <w:pPr>
        <w:pStyle w:val="ListParagraph"/>
        <w:numPr>
          <w:ilvl w:val="0"/>
          <w:numId w:val="2"/>
        </w:numPr>
        <w:spacing w:before="60" w:after="60"/>
      </w:pPr>
      <w:r>
        <w:rPr>
          <w:rFonts w:ascii="Calibri" w:eastAsia="Calibri" w:hAnsi="Calibri" w:cs="Calibri"/>
          <w:color w:val="555555"/>
        </w:rPr>
        <w:t>‘How to Get the Message Across’ — Personal Money Magazine, March 2011. Article on customer rights, bankers’ obligations, and liability.</w:t>
      </w:r>
    </w:p>
    <w:p w14:paraId="09ECB6E6" w14:textId="77777777" w:rsidR="00916B8B" w:rsidRDefault="00916B8B">
      <w:pPr>
        <w:spacing w:after="60"/>
      </w:pPr>
    </w:p>
    <w:p w14:paraId="59314415" w14:textId="77777777" w:rsidR="00916B8B" w:rsidRDefault="00680EB9">
      <w:pPr>
        <w:spacing w:before="60" w:after="40"/>
      </w:pPr>
      <w:r>
        <w:rPr>
          <w:rFonts w:ascii="Calibri" w:eastAsia="Calibri" w:hAnsi="Calibri" w:cs="Calibri"/>
          <w:b/>
          <w:bCs/>
          <w:color w:val="1C2B2B"/>
        </w:rPr>
        <w:t>Speaking</w:t>
      </w:r>
    </w:p>
    <w:p w14:paraId="520DD21D" w14:textId="77777777" w:rsidR="00916B8B" w:rsidRDefault="00680EB9">
      <w:pPr>
        <w:pStyle w:val="ListParagraph"/>
        <w:numPr>
          <w:ilvl w:val="0"/>
          <w:numId w:val="2"/>
        </w:numPr>
        <w:spacing w:before="60" w:after="60"/>
      </w:pPr>
      <w:r>
        <w:rPr>
          <w:rFonts w:ascii="Calibri" w:eastAsia="Calibri" w:hAnsi="Calibri" w:cs="Calibri"/>
          <w:color w:val="555555"/>
        </w:rPr>
        <w:t xml:space="preserve">Speaker, ‘Malaysian Debt Recovery Practice &amp; Procedure’ — </w:t>
      </w:r>
      <w:proofErr w:type="spellStart"/>
      <w:r>
        <w:rPr>
          <w:rFonts w:ascii="Calibri" w:eastAsia="Calibri" w:hAnsi="Calibri" w:cs="Calibri"/>
          <w:color w:val="555555"/>
        </w:rPr>
        <w:t>Menara</w:t>
      </w:r>
      <w:proofErr w:type="spellEnd"/>
      <w:r>
        <w:rPr>
          <w:rFonts w:ascii="Calibri" w:eastAsia="Calibri" w:hAnsi="Calibri" w:cs="Calibri"/>
          <w:color w:val="555555"/>
        </w:rPr>
        <w:t xml:space="preserve"> Maybank, December 2018</w:t>
      </w:r>
    </w:p>
    <w:p w14:paraId="77427F5E" w14:textId="77777777" w:rsidR="00916B8B" w:rsidRDefault="00680EB9">
      <w:pPr>
        <w:pStyle w:val="ListParagraph"/>
        <w:numPr>
          <w:ilvl w:val="0"/>
          <w:numId w:val="2"/>
        </w:numPr>
        <w:spacing w:before="60" w:after="60"/>
      </w:pPr>
      <w:r>
        <w:rPr>
          <w:rFonts w:ascii="Calibri" w:eastAsia="Calibri" w:hAnsi="Calibri" w:cs="Calibri"/>
          <w:color w:val="555555"/>
        </w:rPr>
        <w:t xml:space="preserve">Speaker, ‘Corporate Recovery Mechanisms and Judicial Management in Malaysia’ — Ferrier Hodgson MH </w:t>
      </w:r>
      <w:proofErr w:type="spellStart"/>
      <w:r>
        <w:rPr>
          <w:rFonts w:ascii="Calibri" w:eastAsia="Calibri" w:hAnsi="Calibri" w:cs="Calibri"/>
          <w:color w:val="555555"/>
        </w:rPr>
        <w:t>Sdn</w:t>
      </w:r>
      <w:proofErr w:type="spellEnd"/>
      <w:r>
        <w:rPr>
          <w:rFonts w:ascii="Calibri" w:eastAsia="Calibri" w:hAnsi="Calibri" w:cs="Calibri"/>
          <w:color w:val="555555"/>
        </w:rPr>
        <w:t xml:space="preserve"> </w:t>
      </w:r>
      <w:proofErr w:type="spellStart"/>
      <w:r>
        <w:rPr>
          <w:rFonts w:ascii="Calibri" w:eastAsia="Calibri" w:hAnsi="Calibri" w:cs="Calibri"/>
          <w:color w:val="555555"/>
        </w:rPr>
        <w:t>Bhd</w:t>
      </w:r>
      <w:proofErr w:type="spellEnd"/>
      <w:r>
        <w:rPr>
          <w:rFonts w:ascii="Calibri" w:eastAsia="Calibri" w:hAnsi="Calibri" w:cs="Calibri"/>
          <w:color w:val="555555"/>
        </w:rPr>
        <w:t>, December 2018</w:t>
      </w:r>
    </w:p>
    <w:sectPr w:rsidR="00916B8B">
      <w:pgSz w:w="11906" w:h="16838"/>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43D07"/>
    <w:multiLevelType w:val="hybridMultilevel"/>
    <w:tmpl w:val="FFFFFFFF"/>
    <w:lvl w:ilvl="0" w:tplc="D814215E">
      <w:start w:val="1"/>
      <w:numFmt w:val="bullet"/>
      <w:lvlText w:val="◦"/>
      <w:lvlJc w:val="left"/>
      <w:pPr>
        <w:ind w:left="800" w:hanging="280"/>
      </w:pPr>
    </w:lvl>
    <w:lvl w:ilvl="1" w:tplc="7250CC06">
      <w:numFmt w:val="decimal"/>
      <w:lvlText w:val=""/>
      <w:lvlJc w:val="left"/>
    </w:lvl>
    <w:lvl w:ilvl="2" w:tplc="BCC80008">
      <w:numFmt w:val="decimal"/>
      <w:lvlText w:val=""/>
      <w:lvlJc w:val="left"/>
    </w:lvl>
    <w:lvl w:ilvl="3" w:tplc="8E26E92A">
      <w:numFmt w:val="decimal"/>
      <w:lvlText w:val=""/>
      <w:lvlJc w:val="left"/>
    </w:lvl>
    <w:lvl w:ilvl="4" w:tplc="8B7CAFFA">
      <w:numFmt w:val="decimal"/>
      <w:lvlText w:val=""/>
      <w:lvlJc w:val="left"/>
    </w:lvl>
    <w:lvl w:ilvl="5" w:tplc="9932A7BE">
      <w:numFmt w:val="decimal"/>
      <w:lvlText w:val=""/>
      <w:lvlJc w:val="left"/>
    </w:lvl>
    <w:lvl w:ilvl="6" w:tplc="C6986E9C">
      <w:numFmt w:val="decimal"/>
      <w:lvlText w:val=""/>
      <w:lvlJc w:val="left"/>
    </w:lvl>
    <w:lvl w:ilvl="7" w:tplc="B8260F5E">
      <w:numFmt w:val="decimal"/>
      <w:lvlText w:val=""/>
      <w:lvlJc w:val="left"/>
    </w:lvl>
    <w:lvl w:ilvl="8" w:tplc="E3A24FB4">
      <w:numFmt w:val="decimal"/>
      <w:lvlText w:val=""/>
      <w:lvlJc w:val="left"/>
    </w:lvl>
  </w:abstractNum>
  <w:abstractNum w:abstractNumId="1" w15:restartNumberingAfterBreak="0">
    <w:nsid w:val="14F240A4"/>
    <w:multiLevelType w:val="hybridMultilevel"/>
    <w:tmpl w:val="FFFFFFFF"/>
    <w:lvl w:ilvl="0" w:tplc="387E99FE">
      <w:start w:val="1"/>
      <w:numFmt w:val="bullet"/>
      <w:lvlText w:val="●"/>
      <w:lvlJc w:val="left"/>
      <w:pPr>
        <w:ind w:left="720" w:hanging="360"/>
      </w:pPr>
    </w:lvl>
    <w:lvl w:ilvl="1" w:tplc="277C0456">
      <w:start w:val="1"/>
      <w:numFmt w:val="bullet"/>
      <w:lvlText w:val="○"/>
      <w:lvlJc w:val="left"/>
      <w:pPr>
        <w:ind w:left="1440" w:hanging="360"/>
      </w:pPr>
    </w:lvl>
    <w:lvl w:ilvl="2" w:tplc="D22C8D9C">
      <w:start w:val="1"/>
      <w:numFmt w:val="bullet"/>
      <w:lvlText w:val="■"/>
      <w:lvlJc w:val="left"/>
      <w:pPr>
        <w:ind w:left="2160" w:hanging="360"/>
      </w:pPr>
    </w:lvl>
    <w:lvl w:ilvl="3" w:tplc="18AE2ABE">
      <w:start w:val="1"/>
      <w:numFmt w:val="bullet"/>
      <w:lvlText w:val="●"/>
      <w:lvlJc w:val="left"/>
      <w:pPr>
        <w:ind w:left="2880" w:hanging="360"/>
      </w:pPr>
    </w:lvl>
    <w:lvl w:ilvl="4" w:tplc="43068BA0">
      <w:start w:val="1"/>
      <w:numFmt w:val="bullet"/>
      <w:lvlText w:val="○"/>
      <w:lvlJc w:val="left"/>
      <w:pPr>
        <w:ind w:left="3600" w:hanging="360"/>
      </w:pPr>
    </w:lvl>
    <w:lvl w:ilvl="5" w:tplc="DBD06FE2">
      <w:start w:val="1"/>
      <w:numFmt w:val="bullet"/>
      <w:lvlText w:val="■"/>
      <w:lvlJc w:val="left"/>
      <w:pPr>
        <w:ind w:left="4320" w:hanging="360"/>
      </w:pPr>
    </w:lvl>
    <w:lvl w:ilvl="6" w:tplc="D05A9A40">
      <w:start w:val="1"/>
      <w:numFmt w:val="bullet"/>
      <w:lvlText w:val="●"/>
      <w:lvlJc w:val="left"/>
      <w:pPr>
        <w:ind w:left="5040" w:hanging="360"/>
      </w:pPr>
    </w:lvl>
    <w:lvl w:ilvl="7" w:tplc="0A1E6B48">
      <w:start w:val="1"/>
      <w:numFmt w:val="bullet"/>
      <w:lvlText w:val="●"/>
      <w:lvlJc w:val="left"/>
      <w:pPr>
        <w:ind w:left="5760" w:hanging="360"/>
      </w:pPr>
    </w:lvl>
    <w:lvl w:ilvl="8" w:tplc="0FB28C90">
      <w:start w:val="1"/>
      <w:numFmt w:val="bullet"/>
      <w:lvlText w:val="●"/>
      <w:lvlJc w:val="left"/>
      <w:pPr>
        <w:ind w:left="6480" w:hanging="360"/>
      </w:pPr>
    </w:lvl>
  </w:abstractNum>
  <w:abstractNum w:abstractNumId="2" w15:restartNumberingAfterBreak="0">
    <w:nsid w:val="712A1726"/>
    <w:multiLevelType w:val="hybridMultilevel"/>
    <w:tmpl w:val="FFFFFFFF"/>
    <w:lvl w:ilvl="0" w:tplc="8C3AF77E">
      <w:start w:val="1"/>
      <w:numFmt w:val="bullet"/>
      <w:lvlText w:val="•"/>
      <w:lvlJc w:val="left"/>
      <w:pPr>
        <w:ind w:left="480" w:hanging="280"/>
      </w:pPr>
    </w:lvl>
    <w:lvl w:ilvl="1" w:tplc="4F9EF1DE">
      <w:numFmt w:val="decimal"/>
      <w:lvlText w:val=""/>
      <w:lvlJc w:val="left"/>
    </w:lvl>
    <w:lvl w:ilvl="2" w:tplc="5B683824">
      <w:numFmt w:val="decimal"/>
      <w:lvlText w:val=""/>
      <w:lvlJc w:val="left"/>
    </w:lvl>
    <w:lvl w:ilvl="3" w:tplc="4DDC7CB2">
      <w:numFmt w:val="decimal"/>
      <w:lvlText w:val=""/>
      <w:lvlJc w:val="left"/>
    </w:lvl>
    <w:lvl w:ilvl="4" w:tplc="5CB26B8E">
      <w:numFmt w:val="decimal"/>
      <w:lvlText w:val=""/>
      <w:lvlJc w:val="left"/>
    </w:lvl>
    <w:lvl w:ilvl="5" w:tplc="8B7CBE8C">
      <w:numFmt w:val="decimal"/>
      <w:lvlText w:val=""/>
      <w:lvlJc w:val="left"/>
    </w:lvl>
    <w:lvl w:ilvl="6" w:tplc="8FC03C6E">
      <w:numFmt w:val="decimal"/>
      <w:lvlText w:val=""/>
      <w:lvlJc w:val="left"/>
    </w:lvl>
    <w:lvl w:ilvl="7" w:tplc="A8B498EC">
      <w:numFmt w:val="decimal"/>
      <w:lvlText w:val=""/>
      <w:lvlJc w:val="left"/>
    </w:lvl>
    <w:lvl w:ilvl="8" w:tplc="309C504A">
      <w:numFmt w:val="decimal"/>
      <w:lvlText w:val=""/>
      <w:lvlJc w:val="left"/>
    </w:lvl>
  </w:abstractNum>
  <w:num w:numId="1" w16cid:durableId="181209136">
    <w:abstractNumId w:val="1"/>
    <w:lvlOverride w:ilvl="0">
      <w:startOverride w:val="1"/>
    </w:lvlOverride>
  </w:num>
  <w:num w:numId="2" w16cid:durableId="191878178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B8B"/>
    <w:rsid w:val="00592CAA"/>
    <w:rsid w:val="00680EB9"/>
    <w:rsid w:val="00916B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2C81FD6"/>
  <w15:docId w15:val="{CA130F0B-C5F0-C742-A9B0-461F8675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918</Words>
  <Characters>5234</Characters>
  <Application>Microsoft Office Word</Application>
  <DocSecurity>0</DocSecurity>
  <Lines>43</Lines>
  <Paragraphs>12</Paragraphs>
  <ScaleCrop>false</ScaleCrop>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dharmesh penesar</cp:lastModifiedBy>
  <cp:revision>2</cp:revision>
  <dcterms:created xsi:type="dcterms:W3CDTF">2026-04-28T00:41:00Z</dcterms:created>
  <dcterms:modified xsi:type="dcterms:W3CDTF">2026-04-28T00:41:00Z</dcterms:modified>
</cp:coreProperties>
</file>