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45FB4428" w:rsidR="000F108B" w:rsidRDefault="00017841" w:rsidP="001F059D">
      <w:r>
        <w:rPr>
          <w:rFonts w:eastAsia="Arial"/>
          <w:noProof/>
          <w:sz w:val="24"/>
          <w:szCs w:val="24"/>
          <w:lang w:val="en" w:eastAsia="zh-CN"/>
        </w:rPr>
        <w:drawing>
          <wp:anchor distT="0" distB="0" distL="114300" distR="114300" simplePos="0" relativeHeight="251658239" behindDoc="0" locked="0" layoutInCell="1" allowOverlap="1" wp14:anchorId="32DFB525" wp14:editId="3312D57D">
            <wp:simplePos x="0" y="0"/>
            <wp:positionH relativeFrom="column">
              <wp:posOffset>-857250</wp:posOffset>
            </wp:positionH>
            <wp:positionV relativeFrom="paragraph">
              <wp:posOffset>-1332865</wp:posOffset>
            </wp:positionV>
            <wp:extent cx="7926705" cy="11836400"/>
            <wp:effectExtent l="0" t="0" r="0" b="0"/>
            <wp:wrapNone/>
            <wp:docPr id="998089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89297" name="Picture 998089297"/>
                    <pic:cNvPicPr/>
                  </pic:nvPicPr>
                  <pic:blipFill>
                    <a:blip r:embed="rId6">
                      <a:extLst>
                        <a:ext uri="{28A0092B-C50C-407E-A947-70E740481C1C}">
                          <a14:useLocalDpi xmlns:a14="http://schemas.microsoft.com/office/drawing/2010/main" val="0"/>
                        </a:ext>
                      </a:extLst>
                    </a:blip>
                    <a:stretch>
                      <a:fillRect/>
                    </a:stretch>
                  </pic:blipFill>
                  <pic:spPr>
                    <a:xfrm>
                      <a:off x="0" y="0"/>
                      <a:ext cx="7926705" cy="11836400"/>
                    </a:xfrm>
                    <a:prstGeom prst="rect">
                      <a:avLst/>
                    </a:prstGeom>
                  </pic:spPr>
                </pic:pic>
              </a:graphicData>
            </a:graphic>
            <wp14:sizeRelH relativeFrom="margin">
              <wp14:pctWidth>0</wp14:pctWidth>
            </wp14:sizeRelH>
            <wp14:sizeRelV relativeFrom="margin">
              <wp14:pctHeight>0</wp14:pctHeight>
            </wp14:sizeRelV>
          </wp:anchor>
        </w:drawing>
      </w:r>
      <w:r w:rsidR="009027DF">
        <w:rPr>
          <w:noProof/>
        </w:rPr>
        <mc:AlternateContent>
          <mc:Choice Requires="wps">
            <w:drawing>
              <wp:anchor distT="0" distB="0" distL="114300" distR="114300" simplePos="0" relativeHeight="251661312" behindDoc="0" locked="0" layoutInCell="1" allowOverlap="1" wp14:anchorId="4BE7ACF9" wp14:editId="7D8EAA34">
                <wp:simplePos x="0" y="0"/>
                <wp:positionH relativeFrom="column">
                  <wp:posOffset>-492760</wp:posOffset>
                </wp:positionH>
                <wp:positionV relativeFrom="paragraph">
                  <wp:posOffset>5169535</wp:posOffset>
                </wp:positionV>
                <wp:extent cx="3615690" cy="2019300"/>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3615690" cy="2019300"/>
                        </a:xfrm>
                        <a:prstGeom prst="rect">
                          <a:avLst/>
                        </a:prstGeom>
                        <a:noFill/>
                        <a:ln w="6350">
                          <a:noFill/>
                        </a:ln>
                      </wps:spPr>
                      <wps:txbx>
                        <w:txbxContent>
                          <w:p w14:paraId="0489C074" w14:textId="0F49F66E" w:rsidR="000F108B" w:rsidRPr="001F059D" w:rsidRDefault="00F07236" w:rsidP="001F059D">
                            <w:pPr>
                              <w:pStyle w:val="Title"/>
                            </w:pPr>
                            <w:r w:rsidRPr="006E3E4C">
                              <w:rPr>
                                <w:i/>
                                <w:iCs/>
                              </w:rPr>
                              <w:t>EGH19 v Commonwealth of Australia</w:t>
                            </w:r>
                            <w:r>
                              <w:t xml:space="preserve"> [2026] HCA 7</w:t>
                            </w:r>
                          </w:p>
                          <w:p w14:paraId="33A8E14E" w14:textId="754CCD6B" w:rsidR="000F108B" w:rsidRPr="001F059D" w:rsidRDefault="00E24F54" w:rsidP="001F059D">
                            <w:pPr>
                              <w:pStyle w:val="Subtitle"/>
                            </w:pPr>
                            <w:r>
                              <w:t>A Case Summary</w:t>
                            </w:r>
                          </w:p>
                          <w:p w14:paraId="0923727F" w14:textId="77777777" w:rsidR="001F059D" w:rsidRDefault="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ACF9" id="_x0000_t202" coordsize="21600,21600" o:spt="202" path="m,l,21600r21600,l21600,xe">
                <v:stroke joinstyle="miter"/>
                <v:path gradientshapeok="t" o:connecttype="rect"/>
              </v:shapetype>
              <v:shape id="Text Box 27" o:spid="_x0000_s1026" type="#_x0000_t202" style="position:absolute;margin-left:-38.8pt;margin-top:407.05pt;width:284.7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" filled="f" stroked="f" strokeweight=".5pt">
                <v:textbox>
                  <w:txbxContent>
                    <w:p w14:paraId="0489C074" w14:textId="0F49F66E" w:rsidR="000F108B" w:rsidRPr="001F059D" w:rsidRDefault="00F07236" w:rsidP="001F059D">
                      <w:pPr>
                        <w:pStyle w:val="Title"/>
                      </w:pPr>
                      <w:r w:rsidRPr="006E3E4C">
                        <w:rPr>
                          <w:i/>
                          <w:iCs/>
                        </w:rPr>
                        <w:t>EGH19 v Commonwealth of Australia</w:t>
                      </w:r>
                      <w:r>
                        <w:t xml:space="preserve"> [2026] HCA 7</w:t>
                      </w:r>
                    </w:p>
                    <w:p w14:paraId="33A8E14E" w14:textId="754CCD6B" w:rsidR="000F108B" w:rsidRPr="001F059D" w:rsidRDefault="00E24F54" w:rsidP="001F059D">
                      <w:pPr>
                        <w:pStyle w:val="Subtitle"/>
                      </w:pPr>
                      <w:r>
                        <w:t>A Case Summary</w:t>
                      </w:r>
                    </w:p>
                    <w:p w14:paraId="0923727F" w14:textId="77777777" w:rsidR="001F059D" w:rsidRDefault="001F059D"/>
                  </w:txbxContent>
                </v:textbox>
              </v:shape>
            </w:pict>
          </mc:Fallback>
        </mc:AlternateContent>
      </w:r>
      <w:r w:rsidR="0076135F">
        <w:rPr>
          <w:noProof/>
        </w:rPr>
        <mc:AlternateContent>
          <mc:Choice Requires="wps">
            <w:drawing>
              <wp:anchor distT="0" distB="0" distL="114300" distR="114300" simplePos="0" relativeHeight="251662336" behindDoc="0" locked="0" layoutInCell="1" allowOverlap="1" wp14:anchorId="6666B828" wp14:editId="0F9F4E7B">
                <wp:simplePos x="0" y="0"/>
                <wp:positionH relativeFrom="column">
                  <wp:posOffset>-500267</wp:posOffset>
                </wp:positionH>
                <wp:positionV relativeFrom="paragraph">
                  <wp:posOffset>7454032</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B17B765" w14:textId="48BEA9F7" w:rsidR="000F108B" w:rsidRPr="009B0174" w:rsidRDefault="000F108B" w:rsidP="001F059D">
                            <w:pPr>
                              <w:rPr>
                                <w:color w:val="FFFFFF" w:themeColor="background1"/>
                                <w:sz w:val="32"/>
                                <w:szCs w:val="32"/>
                              </w:rPr>
                            </w:pPr>
                            <w:r w:rsidRPr="001F059D">
                              <w:rPr>
                                <w:color w:val="FFFFFF" w:themeColor="background1"/>
                                <w:sz w:val="32"/>
                                <w:szCs w:val="32"/>
                              </w:rPr>
                              <w:t xml:space="preserve">By </w:t>
                            </w:r>
                            <w:r w:rsidR="009B0174">
                              <w:rPr>
                                <w:color w:val="FFFFFF" w:themeColor="background1"/>
                                <w:sz w:val="32"/>
                                <w:szCs w:val="32"/>
                              </w:rPr>
                              <w:t xml:space="preserve">Ajok </w:t>
                            </w:r>
                            <w:r w:rsidR="002C30CA">
                              <w:rPr>
                                <w:color w:val="FFFFFF" w:themeColor="background1"/>
                                <w:sz w:val="32"/>
                                <w:szCs w:val="32"/>
                              </w:rPr>
                              <w:t>Makuer Marial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6B828" id="Text Box 21" o:spid="_x0000_s1027" type="#_x0000_t202" style="position:absolute;margin-left:-39.4pt;margin-top:586.95pt;width:191.65pt;height:2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" filled="f" stroked="f" strokeweight=".5pt">
                <v:textbox>
                  <w:txbxContent>
                    <w:p w14:paraId="3B17B765" w14:textId="48BEA9F7" w:rsidR="000F108B" w:rsidRPr="009B0174" w:rsidRDefault="000F108B" w:rsidP="001F059D">
                      <w:pPr>
                        <w:rPr>
                          <w:color w:val="FFFFFF" w:themeColor="background1"/>
                          <w:sz w:val="32"/>
                          <w:szCs w:val="32"/>
                        </w:rPr>
                      </w:pPr>
                      <w:r w:rsidRPr="001F059D">
                        <w:rPr>
                          <w:color w:val="FFFFFF" w:themeColor="background1"/>
                          <w:sz w:val="32"/>
                          <w:szCs w:val="32"/>
                        </w:rPr>
                        <w:t xml:space="preserve">By </w:t>
                      </w:r>
                      <w:proofErr w:type="spellStart"/>
                      <w:r w:rsidR="009B0174">
                        <w:rPr>
                          <w:color w:val="FFFFFF" w:themeColor="background1"/>
                          <w:sz w:val="32"/>
                          <w:szCs w:val="32"/>
                        </w:rPr>
                        <w:t>Ajok</w:t>
                      </w:r>
                      <w:proofErr w:type="spellEnd"/>
                      <w:r w:rsidR="009B0174">
                        <w:rPr>
                          <w:color w:val="FFFFFF" w:themeColor="background1"/>
                          <w:sz w:val="32"/>
                          <w:szCs w:val="32"/>
                        </w:rPr>
                        <w:t xml:space="preserve"> </w:t>
                      </w:r>
                      <w:proofErr w:type="spellStart"/>
                      <w:r w:rsidR="002C30CA">
                        <w:rPr>
                          <w:color w:val="FFFFFF" w:themeColor="background1"/>
                          <w:sz w:val="32"/>
                          <w:szCs w:val="32"/>
                        </w:rPr>
                        <w:t>Makuer</w:t>
                      </w:r>
                      <w:proofErr w:type="spellEnd"/>
                      <w:r w:rsidR="002C30CA">
                        <w:rPr>
                          <w:color w:val="FFFFFF" w:themeColor="background1"/>
                          <w:sz w:val="32"/>
                          <w:szCs w:val="32"/>
                        </w:rPr>
                        <w:t xml:space="preserve"> </w:t>
                      </w:r>
                      <w:proofErr w:type="spellStart"/>
                      <w:r w:rsidR="002C30CA">
                        <w:rPr>
                          <w:color w:val="FFFFFF" w:themeColor="background1"/>
                          <w:sz w:val="32"/>
                          <w:szCs w:val="32"/>
                        </w:rPr>
                        <w:t>Marial</w:t>
                      </w:r>
                      <w:proofErr w:type="spellEnd"/>
                    </w:p>
                  </w:txbxContent>
                </v:textbox>
              </v:shape>
            </w:pict>
          </mc:Fallback>
        </mc:AlternateContent>
      </w:r>
      <w:r w:rsidR="00580005">
        <w:rPr>
          <w:noProof/>
        </w:rPr>
        <mc:AlternateContent>
          <mc:Choice Requires="wpg">
            <w:drawing>
              <wp:anchor distT="0" distB="0" distL="114300" distR="114300" simplePos="0" relativeHeight="251659264" behindDoc="0" locked="0" layoutInCell="1" allowOverlap="1" wp14:anchorId="2B6E4E9D" wp14:editId="51C8DB6D">
                <wp:simplePos x="0" y="0"/>
                <wp:positionH relativeFrom="column">
                  <wp:posOffset>-859420</wp:posOffset>
                </wp:positionH>
                <wp:positionV relativeFrom="paragraph">
                  <wp:posOffset>-960699</wp:posOffset>
                </wp:positionV>
                <wp:extent cx="7769860" cy="10930890"/>
                <wp:effectExtent l="0" t="0" r="15240" b="16510"/>
                <wp:wrapNone/>
                <wp:docPr id="1521003895" name="Group 23"/>
                <wp:cNvGraphicFramePr/>
                <a:graphic xmlns:a="http://schemas.openxmlformats.org/drawingml/2006/main">
                  <a:graphicData uri="http://schemas.microsoft.com/office/word/2010/wordprocessingGroup">
                    <wpg:wgp>
                      <wpg:cNvGrpSpPr/>
                      <wpg:grpSpPr>
                        <a:xfrm>
                          <a:off x="0" y="0"/>
                          <a:ext cx="7769860" cy="10930890"/>
                          <a:chOff x="0" y="-51025"/>
                          <a:chExt cx="7769915" cy="10735853"/>
                        </a:xfrm>
                      </wpg:grpSpPr>
                      <wps:wsp>
                        <wps:cNvPr id="1472515651" name="Rectangle 15"/>
                        <wps:cNvSpPr/>
                        <wps:spPr>
                          <a:xfrm>
                            <a:off x="0" y="-51025"/>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476AD646" w14:textId="2196D54B" w:rsidR="00F007B6" w:rsidRDefault="00F007B6" w:rsidP="00F007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2B6E4E9D" id="Group 23" o:spid="_x0000_s1028" style="position:absolute;margin-left:-67.65pt;margin-top:-75.65pt;width:611.8pt;height:860.7pt;z-index:251659264;mso-height-relative:margin" coordorigin=",-510" coordsize="77699,1073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">
                <v:rect id="Rectangle 15" o:spid="_x0000_s1029" style="position:absolute;top:-510;width:77662;height:107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fillcolor="black [3213]" strokecolor="white [3212]" strokeweight=".5pt">
                  <v:fill opacity="14417f" color2="black [3213]" o:opacity2="41943f" rotate="t" focus="100%" type="gradient">
                    <o:fill v:ext="view" type="gradientUnscaled"/>
                  </v:fill>
                  <v:textbox>
                    <w:txbxContent>
                      <w:p w14:paraId="476AD646" w14:textId="2196D54B" w:rsidR="00F007B6" w:rsidRDefault="00F007B6" w:rsidP="00F007B6">
                        <w:pPr>
                          <w:jc w:val="cente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30"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31"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32"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3"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4"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5"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6"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7"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8"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sidR="000F108B">
        <w:br w:type="page"/>
      </w:r>
    </w:p>
    <w:p w14:paraId="19EC7462" w14:textId="06FD7EEF" w:rsidR="002E3E5A" w:rsidRPr="002E3E5A" w:rsidRDefault="002E3E5A" w:rsidP="002E3E5A">
      <w:pPr>
        <w:spacing w:after="0" w:line="276" w:lineRule="auto"/>
        <w:rPr>
          <w:rFonts w:eastAsia="Arial"/>
          <w:sz w:val="24"/>
          <w:szCs w:val="24"/>
          <w:lang w:val="en" w:eastAsia="zh-CN"/>
        </w:rPr>
      </w:pPr>
    </w:p>
    <w:p w14:paraId="1F398DAC" w14:textId="77777777" w:rsidR="002E3E5A" w:rsidRPr="002E3E5A" w:rsidRDefault="002E3E5A" w:rsidP="002E3E5A">
      <w:pPr>
        <w:spacing w:after="0" w:line="276" w:lineRule="auto"/>
        <w:rPr>
          <w:rFonts w:eastAsia="Arial"/>
          <w:sz w:val="24"/>
          <w:szCs w:val="24"/>
          <w:lang w:val="en" w:eastAsia="zh-CN"/>
        </w:rPr>
      </w:pPr>
      <w:r w:rsidRPr="002E3E5A">
        <w:rPr>
          <w:rFonts w:eastAsia="Arial"/>
          <w:sz w:val="24"/>
          <w:szCs w:val="24"/>
          <w:lang w:val="en" w:eastAsia="zh-CN"/>
        </w:rPr>
        <w:t>Before : Gageler CJ, Gordon, Edelman, Steward, Gleeson, Jagot, Beech-Jones JJ</w:t>
      </w:r>
    </w:p>
    <w:p w14:paraId="7DFCD08E" w14:textId="77777777" w:rsidR="002E3E5A" w:rsidRPr="002E3E5A" w:rsidRDefault="002E3E5A" w:rsidP="002E3E5A">
      <w:pPr>
        <w:spacing w:after="0" w:line="276" w:lineRule="auto"/>
        <w:rPr>
          <w:rFonts w:eastAsia="Arial"/>
          <w:sz w:val="24"/>
          <w:szCs w:val="24"/>
          <w:lang w:val="en" w:eastAsia="zh-CN"/>
        </w:rPr>
      </w:pPr>
    </w:p>
    <w:p w14:paraId="66D9C5F4" w14:textId="77777777" w:rsidR="002E3E5A" w:rsidRPr="002E3E5A" w:rsidRDefault="002E3E5A" w:rsidP="002E3E5A">
      <w:pPr>
        <w:spacing w:after="0" w:line="276" w:lineRule="auto"/>
        <w:rPr>
          <w:rFonts w:eastAsia="Arial"/>
          <w:sz w:val="24"/>
          <w:szCs w:val="24"/>
          <w:lang w:val="en" w:eastAsia="zh-CN"/>
        </w:rPr>
      </w:pPr>
      <w:r w:rsidRPr="002E3E5A">
        <w:rPr>
          <w:rFonts w:eastAsia="Arial"/>
          <w:i/>
          <w:iCs/>
          <w:sz w:val="24"/>
          <w:szCs w:val="24"/>
          <w:lang w:val="en" w:eastAsia="zh-CN"/>
        </w:rPr>
        <w:t>EGH19 v Commonwealth</w:t>
      </w:r>
      <w:r w:rsidRPr="002E3E5A">
        <w:rPr>
          <w:rFonts w:eastAsia="Arial"/>
          <w:sz w:val="24"/>
          <w:szCs w:val="24"/>
          <w:lang w:val="en" w:eastAsia="zh-CN"/>
        </w:rPr>
        <w:t xml:space="preserve"> concerned the constitutional limits on executive power to impose restrictive visa conditions on non-citizens released from immigration detention. The case forms part of the High Court’s developing jurisprudence on the separation of judicial power in the migration context following </w:t>
      </w:r>
      <w:r w:rsidRPr="002E3E5A">
        <w:rPr>
          <w:rFonts w:eastAsia="Arial"/>
          <w:i/>
          <w:iCs/>
          <w:sz w:val="24"/>
          <w:szCs w:val="24"/>
          <w:lang w:val="en" w:eastAsia="zh-CN"/>
        </w:rPr>
        <w:t>NZYQ</w:t>
      </w:r>
      <w:r w:rsidRPr="002E3E5A">
        <w:rPr>
          <w:rFonts w:eastAsia="Arial"/>
          <w:sz w:val="24"/>
          <w:szCs w:val="24"/>
          <w:lang w:val="en" w:eastAsia="zh-CN"/>
        </w:rPr>
        <w:t>. At its core, the decision examines the boundary between administrative migration control and unconstitutional punishment.</w:t>
      </w:r>
    </w:p>
    <w:p w14:paraId="4B8C10E9" w14:textId="77777777" w:rsidR="002E3E5A" w:rsidRPr="002E3E5A" w:rsidRDefault="002E3E5A" w:rsidP="002E3E5A">
      <w:pPr>
        <w:spacing w:after="0" w:line="276" w:lineRule="auto"/>
        <w:rPr>
          <w:rFonts w:eastAsia="Arial"/>
          <w:sz w:val="24"/>
          <w:szCs w:val="24"/>
          <w:lang w:val="en" w:eastAsia="zh-CN"/>
        </w:rPr>
      </w:pPr>
    </w:p>
    <w:p w14:paraId="57718A5E" w14:textId="77777777" w:rsidR="002E3E5A" w:rsidRPr="002E3E5A" w:rsidRDefault="002E3E5A" w:rsidP="002E3E5A">
      <w:pPr>
        <w:pStyle w:val="Heading1"/>
        <w:rPr>
          <w:lang w:val="en" w:eastAsia="zh-CN"/>
        </w:rPr>
      </w:pPr>
      <w:r w:rsidRPr="002E3E5A">
        <w:rPr>
          <w:lang w:val="en" w:eastAsia="zh-CN"/>
        </w:rPr>
        <w:t xml:space="preserve">I MATERIAL FACTS </w:t>
      </w:r>
    </w:p>
    <w:p w14:paraId="39D61C2E" w14:textId="194AE179" w:rsidR="002E3E5A" w:rsidRPr="002E3E5A" w:rsidRDefault="002E3E5A" w:rsidP="002E3E5A">
      <w:pPr>
        <w:spacing w:after="0" w:line="276" w:lineRule="auto"/>
        <w:rPr>
          <w:rFonts w:eastAsia="Arial"/>
          <w:sz w:val="24"/>
          <w:szCs w:val="24"/>
          <w:lang w:val="en" w:eastAsia="zh-CN"/>
        </w:rPr>
      </w:pPr>
      <w:r w:rsidRPr="002E3E5A">
        <w:rPr>
          <w:rFonts w:eastAsia="Arial"/>
          <w:sz w:val="24"/>
          <w:szCs w:val="24"/>
          <w:lang w:val="en" w:eastAsia="zh-CN"/>
        </w:rPr>
        <w:t xml:space="preserve">The plaintiffs were non-citizens granted Bridging R (Subclass 070) visas following their release from immigration detention. Their visas were subject to conditions imposed pursuant to the </w:t>
      </w:r>
      <w:r w:rsidRPr="002E3E5A">
        <w:rPr>
          <w:rFonts w:eastAsia="Arial"/>
          <w:i/>
          <w:iCs/>
          <w:sz w:val="24"/>
          <w:szCs w:val="24"/>
          <w:lang w:val="en" w:eastAsia="zh-CN"/>
        </w:rPr>
        <w:t>Migration Regulations 1994</w:t>
      </w:r>
      <w:r w:rsidRPr="002E3E5A">
        <w:rPr>
          <w:rFonts w:eastAsia="Arial"/>
          <w:sz w:val="24"/>
          <w:szCs w:val="24"/>
          <w:lang w:val="en" w:eastAsia="zh-CN"/>
        </w:rPr>
        <w:t xml:space="preserve"> (Cth), including curfew requirements and electronic monitoring</w:t>
      </w:r>
      <w:r w:rsidR="00295E7C">
        <w:rPr>
          <w:rFonts w:eastAsia="Arial"/>
          <w:sz w:val="24"/>
          <w:szCs w:val="24"/>
          <w:lang w:val="en" w:eastAsia="zh-CN"/>
        </w:rPr>
        <w:t>.</w:t>
      </w:r>
      <w:r w:rsidRPr="002E3E5A">
        <w:rPr>
          <w:rFonts w:eastAsia="Arial"/>
          <w:sz w:val="24"/>
          <w:szCs w:val="24"/>
          <w:vertAlign w:val="superscript"/>
          <w:lang w:val="en" w:eastAsia="zh-CN"/>
        </w:rPr>
        <w:footnoteReference w:id="1"/>
      </w:r>
      <w:r w:rsidR="00295E7C">
        <w:rPr>
          <w:rFonts w:eastAsia="Arial"/>
          <w:sz w:val="24"/>
          <w:szCs w:val="24"/>
          <w:lang w:val="en" w:eastAsia="zh-CN"/>
        </w:rPr>
        <w:t xml:space="preserve"> </w:t>
      </w:r>
      <w:r w:rsidRPr="002E3E5A">
        <w:rPr>
          <w:rFonts w:eastAsia="Arial"/>
          <w:sz w:val="24"/>
          <w:szCs w:val="24"/>
          <w:lang w:val="en" w:eastAsia="zh-CN"/>
        </w:rPr>
        <w:t xml:space="preserve">The plaintiffs challenged the validity of these conditions, contending that they were punitive in character and therefore constitutionally invalid under Chapter III of the </w:t>
      </w:r>
      <w:r w:rsidRPr="002E3E5A">
        <w:rPr>
          <w:rFonts w:eastAsia="Arial"/>
          <w:i/>
          <w:iCs/>
          <w:sz w:val="24"/>
          <w:szCs w:val="24"/>
          <w:lang w:val="en" w:eastAsia="zh-CN"/>
        </w:rPr>
        <w:t xml:space="preserve">Constitution. </w:t>
      </w:r>
      <w:r w:rsidRPr="002E3E5A">
        <w:rPr>
          <w:rFonts w:eastAsia="Arial"/>
          <w:sz w:val="24"/>
          <w:szCs w:val="24"/>
          <w:lang w:val="en" w:eastAsia="zh-CN"/>
        </w:rPr>
        <w:t xml:space="preserve">They further argued that the regulations authorising the conditions exceeded the regulation making power conferred by s 504 of the </w:t>
      </w:r>
      <w:r w:rsidRPr="002E3E5A">
        <w:rPr>
          <w:rFonts w:eastAsia="Arial"/>
          <w:i/>
          <w:iCs/>
          <w:sz w:val="24"/>
          <w:szCs w:val="24"/>
          <w:lang w:val="en" w:eastAsia="zh-CN"/>
        </w:rPr>
        <w:t>Migration Act 1958</w:t>
      </w:r>
      <w:r w:rsidRPr="002E3E5A">
        <w:rPr>
          <w:rFonts w:eastAsia="Arial"/>
          <w:sz w:val="24"/>
          <w:szCs w:val="24"/>
          <w:lang w:val="en" w:eastAsia="zh-CN"/>
        </w:rPr>
        <w:t xml:space="preserve"> (Cth).</w:t>
      </w:r>
      <w:r w:rsidRPr="002E3E5A">
        <w:rPr>
          <w:rFonts w:eastAsia="Arial"/>
          <w:sz w:val="24"/>
          <w:szCs w:val="24"/>
          <w:vertAlign w:val="superscript"/>
          <w:lang w:val="en" w:eastAsia="zh-CN"/>
        </w:rPr>
        <w:footnoteReference w:id="2"/>
      </w:r>
    </w:p>
    <w:p w14:paraId="6603D6FE" w14:textId="77777777" w:rsidR="002E3E5A" w:rsidRPr="002E3E5A" w:rsidRDefault="002E3E5A" w:rsidP="002E3E5A">
      <w:pPr>
        <w:spacing w:after="0" w:line="276" w:lineRule="auto"/>
        <w:rPr>
          <w:rFonts w:ascii="Arial" w:eastAsia="Arial" w:hAnsi="Arial" w:cs="Arial"/>
          <w:sz w:val="20"/>
          <w:szCs w:val="20"/>
          <w:lang w:val="en" w:eastAsia="zh-CN"/>
        </w:rPr>
      </w:pPr>
    </w:p>
    <w:p w14:paraId="257AD91F" w14:textId="3F97EFA8" w:rsidR="002E3E5A" w:rsidRPr="002E3E5A" w:rsidRDefault="002E3E5A" w:rsidP="00B77A24">
      <w:pPr>
        <w:pStyle w:val="Heading1"/>
        <w:rPr>
          <w:lang w:val="en" w:eastAsia="zh-CN"/>
        </w:rPr>
      </w:pPr>
      <w:r w:rsidRPr="002E3E5A">
        <w:rPr>
          <w:lang w:val="en" w:eastAsia="zh-CN"/>
        </w:rPr>
        <w:t>II LEGAL ISSUE</w:t>
      </w:r>
    </w:p>
    <w:p w14:paraId="74E8336E" w14:textId="77777777" w:rsidR="002E3E5A" w:rsidRPr="002E3E5A" w:rsidRDefault="002E3E5A" w:rsidP="002E3E5A">
      <w:pPr>
        <w:spacing w:after="0" w:line="276" w:lineRule="auto"/>
        <w:rPr>
          <w:rFonts w:eastAsia="Arial"/>
          <w:sz w:val="24"/>
          <w:szCs w:val="24"/>
          <w:lang w:val="en" w:eastAsia="zh-CN"/>
        </w:rPr>
      </w:pPr>
      <w:r w:rsidRPr="002E3E5A">
        <w:rPr>
          <w:rFonts w:eastAsia="Arial"/>
          <w:sz w:val="24"/>
          <w:szCs w:val="24"/>
          <w:lang w:val="en" w:eastAsia="zh-CN"/>
        </w:rPr>
        <w:t>The central issue was whether the executive government could validly impose restrictive visa conditions such as curfews and electronic monitoring, or whether such conditions were punitive in nature and therefore could only be imposed by a court under Chapter III of the Constitution.</w:t>
      </w:r>
    </w:p>
    <w:p w14:paraId="0B09F382" w14:textId="77777777" w:rsidR="002E3E5A" w:rsidRPr="002E3E5A" w:rsidRDefault="002E3E5A" w:rsidP="002E3E5A">
      <w:pPr>
        <w:spacing w:after="0" w:line="276" w:lineRule="auto"/>
        <w:rPr>
          <w:rFonts w:ascii="Arial" w:eastAsia="Arial" w:hAnsi="Arial" w:cs="Arial"/>
          <w:sz w:val="20"/>
          <w:szCs w:val="20"/>
          <w:lang w:val="en" w:eastAsia="zh-CN"/>
        </w:rPr>
      </w:pPr>
    </w:p>
    <w:p w14:paraId="17CF6EF6" w14:textId="3119C911" w:rsidR="002E3E5A" w:rsidRPr="002E3E5A" w:rsidRDefault="002E3E5A" w:rsidP="00E75B77">
      <w:pPr>
        <w:pStyle w:val="Heading1"/>
        <w:rPr>
          <w:lang w:val="en" w:eastAsia="zh-CN"/>
        </w:rPr>
      </w:pPr>
      <w:r w:rsidRPr="002E3E5A">
        <w:rPr>
          <w:lang w:val="en" w:eastAsia="zh-CN"/>
        </w:rPr>
        <w:t>III HIGH COURT DECISION</w:t>
      </w:r>
    </w:p>
    <w:p w14:paraId="0BE097B5" w14:textId="0FB35183" w:rsidR="002E3E5A" w:rsidRPr="002E3E5A" w:rsidRDefault="002E3E5A" w:rsidP="002E3E5A">
      <w:pPr>
        <w:spacing w:after="0" w:line="276" w:lineRule="auto"/>
        <w:rPr>
          <w:rFonts w:eastAsia="Arial"/>
          <w:sz w:val="24"/>
          <w:szCs w:val="24"/>
          <w:lang w:val="en" w:eastAsia="zh-CN"/>
        </w:rPr>
      </w:pPr>
      <w:r w:rsidRPr="002E3E5A">
        <w:rPr>
          <w:rFonts w:eastAsia="Arial"/>
          <w:sz w:val="24"/>
          <w:szCs w:val="24"/>
          <w:lang w:val="en" w:eastAsia="zh-CN"/>
        </w:rPr>
        <w:t>The majority held that the constitutional validity of the impugned visa conditions turned upon their proper characterisation. While the Commonwealth contended that the conditions were administrative measures directed toward community protection and therefore within the ordinary incidents of executive migration control, the Court emphasised that the asserted purpose of a measure is not determinative of its constitutional character. Instead, regard must be had to the practical operation and legal effect of the measures to ascertain their true character. This approach reflects the High Court’s established Chapter III jurisprudence, which requires substance to prevail over form in determining whether a measure is punitive in nature</w:t>
      </w:r>
      <w:r w:rsidRPr="002E3E5A">
        <w:rPr>
          <w:rFonts w:eastAsia="Arial"/>
          <w:sz w:val="24"/>
          <w:szCs w:val="24"/>
          <w:vertAlign w:val="superscript"/>
          <w:lang w:val="en" w:eastAsia="zh-CN"/>
        </w:rPr>
        <w:footnoteReference w:id="3"/>
      </w:r>
      <w:r w:rsidR="00295E7C">
        <w:rPr>
          <w:rFonts w:eastAsia="Arial"/>
          <w:sz w:val="24"/>
          <w:szCs w:val="24"/>
          <w:lang w:val="en" w:eastAsia="zh-CN"/>
        </w:rPr>
        <w:t>.</w:t>
      </w:r>
    </w:p>
    <w:p w14:paraId="4228A10B" w14:textId="77777777" w:rsidR="002E3E5A" w:rsidRPr="002E3E5A" w:rsidRDefault="002E3E5A" w:rsidP="002E3E5A">
      <w:pPr>
        <w:spacing w:after="0" w:line="276" w:lineRule="auto"/>
        <w:rPr>
          <w:rFonts w:eastAsia="Arial"/>
          <w:sz w:val="24"/>
          <w:szCs w:val="24"/>
          <w:lang w:val="en" w:eastAsia="zh-CN"/>
        </w:rPr>
      </w:pPr>
    </w:p>
    <w:p w14:paraId="2BB6F5DE" w14:textId="5BA0F195" w:rsidR="002E3E5A" w:rsidRPr="002E3E5A" w:rsidRDefault="002E3E5A" w:rsidP="002E3E5A">
      <w:pPr>
        <w:spacing w:after="0" w:line="276" w:lineRule="auto"/>
        <w:rPr>
          <w:rFonts w:eastAsia="Arial"/>
          <w:sz w:val="24"/>
          <w:szCs w:val="24"/>
          <w:lang w:val="en" w:eastAsia="zh-CN"/>
        </w:rPr>
      </w:pPr>
      <w:r w:rsidRPr="002E3E5A">
        <w:rPr>
          <w:rFonts w:eastAsia="Arial"/>
          <w:sz w:val="24"/>
          <w:szCs w:val="24"/>
          <w:lang w:val="en" w:eastAsia="zh-CN"/>
        </w:rPr>
        <w:t xml:space="preserve">In applying this approach, the Court concluded that the curfew and electronic monitoring conditions imposed substantial restraints upon personal liberty. The requirement that the plaintiffs remain at a specified residence during prescribed hours, coupled with the obligation to submit to continuous electronic monitoring, constituted significant interference with their freedom of movement and </w:t>
      </w:r>
      <w:r w:rsidRPr="002E3E5A">
        <w:rPr>
          <w:rFonts w:eastAsia="Arial"/>
          <w:sz w:val="24"/>
          <w:szCs w:val="24"/>
          <w:lang w:val="en" w:eastAsia="zh-CN"/>
        </w:rPr>
        <w:lastRenderedPageBreak/>
        <w:t>personal autonomy</w:t>
      </w:r>
      <w:r w:rsidR="00295E7C">
        <w:rPr>
          <w:rFonts w:eastAsia="Arial"/>
          <w:sz w:val="24"/>
          <w:szCs w:val="24"/>
          <w:lang w:val="en" w:eastAsia="zh-CN"/>
        </w:rPr>
        <w:t>.</w:t>
      </w:r>
      <w:r w:rsidRPr="002E3E5A">
        <w:rPr>
          <w:rFonts w:eastAsia="Arial"/>
          <w:sz w:val="24"/>
          <w:szCs w:val="24"/>
          <w:vertAlign w:val="superscript"/>
          <w:lang w:val="en" w:eastAsia="zh-CN"/>
        </w:rPr>
        <w:footnoteReference w:id="4"/>
      </w:r>
      <w:r w:rsidR="00295E7C">
        <w:rPr>
          <w:rFonts w:eastAsia="Arial"/>
          <w:sz w:val="24"/>
          <w:szCs w:val="24"/>
          <w:lang w:val="en" w:eastAsia="zh-CN"/>
        </w:rPr>
        <w:t xml:space="preserve"> </w:t>
      </w:r>
      <w:r w:rsidRPr="002E3E5A">
        <w:rPr>
          <w:rFonts w:eastAsia="Arial"/>
          <w:sz w:val="24"/>
          <w:szCs w:val="24"/>
          <w:lang w:val="en" w:eastAsia="zh-CN"/>
        </w:rPr>
        <w:t>The majority observed that these restrictions bore a close functional resemblance to supervisory regimes traditionally associated with the criminal justice system, including parole conditions and control orders. This resemblance reinforced the conclusion that the measures could not properly be characterised as merely administrative or regulatory in nature.</w:t>
      </w:r>
    </w:p>
    <w:p w14:paraId="25031B71" w14:textId="77777777" w:rsidR="002E3E5A" w:rsidRPr="002E3E5A" w:rsidRDefault="002E3E5A" w:rsidP="002E3E5A">
      <w:pPr>
        <w:spacing w:before="240" w:line="276" w:lineRule="auto"/>
        <w:rPr>
          <w:rFonts w:eastAsia="Arial"/>
          <w:sz w:val="24"/>
          <w:szCs w:val="24"/>
          <w:lang w:val="en" w:eastAsia="zh-CN"/>
        </w:rPr>
      </w:pPr>
      <w:r w:rsidRPr="002E3E5A">
        <w:rPr>
          <w:rFonts w:eastAsia="Arial"/>
          <w:sz w:val="24"/>
          <w:szCs w:val="24"/>
          <w:lang w:val="en" w:eastAsia="zh-CN"/>
        </w:rPr>
        <w:t>The Court further observed that the conditions were imposed by reference to concerns arising from the plaintiffs’ prior criminal offending and were directed toward the prevention of future criminal conduct. This nexus between past wrongdoing and the imposition of restrictive conditions supported the conclusion that the measures bore a punitive character. The majority therefore rejected the Commonwealth’s contention that the conditions were merely preventative or regulatory in nature. Rather, the Court concluded that the cumulative effect of the conditions was more appropriately characterised as punitive than as an incident of ordinary administrative regulation.</w:t>
      </w:r>
    </w:p>
    <w:p w14:paraId="03409712" w14:textId="084B1AFF" w:rsidR="002E3E5A" w:rsidRPr="002E3E5A" w:rsidRDefault="002E3E5A" w:rsidP="002E3E5A">
      <w:pPr>
        <w:spacing w:before="240" w:line="276" w:lineRule="auto"/>
        <w:rPr>
          <w:rFonts w:eastAsia="Arial"/>
          <w:sz w:val="24"/>
          <w:szCs w:val="24"/>
          <w:lang w:val="en" w:eastAsia="zh-CN"/>
        </w:rPr>
      </w:pPr>
      <w:r w:rsidRPr="002E3E5A">
        <w:rPr>
          <w:rFonts w:eastAsia="Arial"/>
          <w:sz w:val="24"/>
          <w:szCs w:val="24"/>
          <w:lang w:val="en" w:eastAsia="zh-CN"/>
        </w:rPr>
        <w:t xml:space="preserve">As the imposition of punishment lies exclusively within the judicial power of the Commonwealth under Chapter III of the </w:t>
      </w:r>
      <w:r w:rsidRPr="002E3E5A">
        <w:rPr>
          <w:rFonts w:eastAsia="Arial"/>
          <w:i/>
          <w:iCs/>
          <w:sz w:val="24"/>
          <w:szCs w:val="24"/>
          <w:lang w:val="en" w:eastAsia="zh-CN"/>
        </w:rPr>
        <w:t>Constitution</w:t>
      </w:r>
      <w:r w:rsidRPr="002E3E5A">
        <w:rPr>
          <w:rFonts w:eastAsia="Arial"/>
          <w:sz w:val="24"/>
          <w:szCs w:val="24"/>
          <w:lang w:val="en" w:eastAsia="zh-CN"/>
        </w:rPr>
        <w:t>, the executive branch cannot validly impose such measures absent judicial determination</w:t>
      </w:r>
      <w:r w:rsidR="00295E7C">
        <w:rPr>
          <w:rFonts w:eastAsia="Arial"/>
          <w:sz w:val="24"/>
          <w:szCs w:val="24"/>
          <w:lang w:val="en" w:eastAsia="zh-CN"/>
        </w:rPr>
        <w:t>.</w:t>
      </w:r>
      <w:r w:rsidRPr="002E3E5A">
        <w:rPr>
          <w:rFonts w:eastAsia="Arial"/>
          <w:sz w:val="24"/>
          <w:szCs w:val="24"/>
          <w:vertAlign w:val="superscript"/>
          <w:lang w:val="en" w:eastAsia="zh-CN"/>
        </w:rPr>
        <w:footnoteReference w:id="5"/>
      </w:r>
      <w:r w:rsidRPr="002E3E5A">
        <w:rPr>
          <w:rFonts w:eastAsia="Arial"/>
          <w:sz w:val="24"/>
          <w:szCs w:val="24"/>
          <w:lang w:val="en" w:eastAsia="zh-CN"/>
        </w:rPr>
        <w:t xml:space="preserve"> The Court therefore held that the regulations purporting to authorise these conditions exceeded the scope of the regulation-making power conferred by s 504 of the </w:t>
      </w:r>
      <w:r w:rsidRPr="002E3E5A">
        <w:rPr>
          <w:rFonts w:eastAsia="Arial"/>
          <w:i/>
          <w:iCs/>
          <w:sz w:val="24"/>
          <w:szCs w:val="24"/>
          <w:lang w:val="en" w:eastAsia="zh-CN"/>
        </w:rPr>
        <w:t>Migration Act 1958</w:t>
      </w:r>
      <w:r w:rsidRPr="002E3E5A">
        <w:rPr>
          <w:rFonts w:eastAsia="Arial"/>
          <w:sz w:val="24"/>
          <w:szCs w:val="24"/>
          <w:lang w:val="en" w:eastAsia="zh-CN"/>
        </w:rPr>
        <w:t xml:space="preserve"> (Cth), which must be construed consistently with constitutional constraints. Accordingly, the relevant provisions of the </w:t>
      </w:r>
      <w:r w:rsidRPr="002E3E5A">
        <w:rPr>
          <w:rFonts w:eastAsia="Arial"/>
          <w:i/>
          <w:iCs/>
          <w:sz w:val="24"/>
          <w:szCs w:val="24"/>
          <w:lang w:val="en" w:eastAsia="zh-CN"/>
        </w:rPr>
        <w:t>Migration Regulations 1994</w:t>
      </w:r>
      <w:r w:rsidRPr="002E3E5A">
        <w:rPr>
          <w:rFonts w:eastAsia="Arial"/>
          <w:sz w:val="24"/>
          <w:szCs w:val="24"/>
          <w:lang w:val="en" w:eastAsia="zh-CN"/>
        </w:rPr>
        <w:t xml:space="preserve"> (Cth) were invalid to the extent that they authorised the imposition of conditions properly characterised as punitive</w:t>
      </w:r>
      <w:r w:rsidR="004150DE">
        <w:rPr>
          <w:rFonts w:eastAsia="Arial"/>
          <w:sz w:val="24"/>
          <w:szCs w:val="24"/>
          <w:lang w:val="en" w:eastAsia="zh-CN"/>
        </w:rPr>
        <w:t>.</w:t>
      </w:r>
      <w:r w:rsidRPr="002E3E5A">
        <w:rPr>
          <w:rFonts w:eastAsia="Arial"/>
          <w:sz w:val="24"/>
          <w:szCs w:val="24"/>
          <w:vertAlign w:val="superscript"/>
          <w:lang w:val="en" w:eastAsia="zh-CN"/>
        </w:rPr>
        <w:footnoteReference w:id="6"/>
      </w:r>
    </w:p>
    <w:p w14:paraId="5FF038EC" w14:textId="77777777" w:rsidR="002E3E5A" w:rsidRPr="002E3E5A" w:rsidRDefault="002E3E5A" w:rsidP="00586C7F">
      <w:pPr>
        <w:pStyle w:val="Heading1"/>
        <w:rPr>
          <w:lang w:val="en" w:eastAsia="zh-CN"/>
        </w:rPr>
      </w:pPr>
      <w:r w:rsidRPr="002E3E5A">
        <w:rPr>
          <w:lang w:val="en" w:eastAsia="zh-CN"/>
        </w:rPr>
        <w:t xml:space="preserve">IV IMPLICATIONS OF DECISION </w:t>
      </w:r>
    </w:p>
    <w:p w14:paraId="1DC49619" w14:textId="77777777" w:rsidR="002E3E5A" w:rsidRPr="002E3E5A" w:rsidRDefault="002E3E5A" w:rsidP="002E3E5A">
      <w:pPr>
        <w:spacing w:before="240" w:line="276" w:lineRule="auto"/>
        <w:rPr>
          <w:rFonts w:eastAsia="Arial"/>
          <w:sz w:val="24"/>
          <w:szCs w:val="24"/>
          <w:lang w:val="en" w:eastAsia="zh-CN"/>
        </w:rPr>
      </w:pPr>
      <w:r w:rsidRPr="002E3E5A">
        <w:rPr>
          <w:rFonts w:eastAsia="Arial"/>
          <w:sz w:val="24"/>
          <w:szCs w:val="24"/>
          <w:lang w:val="en" w:eastAsia="zh-CN"/>
        </w:rPr>
        <w:t>The decision limits the Commonwealth’s ability to use visa conditions as a mechanism of post detention control where those conditions resemble punishment in substance rather than mere administrative regulation. In particular, the case makes clear that the executive cannot impose significant restraints on personal liberty simply by framing them as visa conditions where their practical effect resembles criminal sanctions. This reflects the High Court’s longstanding concern with preserving the constitutional separation between executive and judicial power.</w:t>
      </w:r>
    </w:p>
    <w:p w14:paraId="19BEF7D4" w14:textId="77777777" w:rsidR="002E3E5A" w:rsidRPr="002E3E5A" w:rsidRDefault="002E3E5A" w:rsidP="002E3E5A">
      <w:pPr>
        <w:spacing w:before="240" w:line="276" w:lineRule="auto"/>
        <w:rPr>
          <w:rFonts w:eastAsia="Arial"/>
          <w:sz w:val="24"/>
          <w:szCs w:val="24"/>
          <w:lang w:val="en" w:eastAsia="zh-CN"/>
        </w:rPr>
      </w:pPr>
      <w:r w:rsidRPr="002E3E5A">
        <w:rPr>
          <w:rFonts w:eastAsia="Arial"/>
          <w:sz w:val="24"/>
          <w:szCs w:val="24"/>
          <w:lang w:val="en" w:eastAsia="zh-CN"/>
        </w:rPr>
        <w:t>The decision suggests that any future attempts to impose similar restrictions will require clear statutory authority and careful constitutional justification. Parliament may need to enact more specific legislative schemes if it wishes to authorise restrictions designed to manage risks posed by non-citizens released into the community. This may involve ensuring that such measures are carefully tailored to regulatory objectives rather than framed in a manner that resembles punishment. The case therefore highlights the limits of relying on delegated legislation as a flexible tool of migration control where significant liberty interests are engaged.</w:t>
      </w:r>
    </w:p>
    <w:p w14:paraId="4E364313" w14:textId="77777777" w:rsidR="002E3E5A" w:rsidRPr="002E3E5A" w:rsidRDefault="002E3E5A" w:rsidP="002E3E5A">
      <w:pPr>
        <w:spacing w:before="240" w:line="276" w:lineRule="auto"/>
        <w:rPr>
          <w:rFonts w:eastAsia="Arial"/>
          <w:sz w:val="24"/>
          <w:szCs w:val="24"/>
          <w:lang w:val="en" w:eastAsia="zh-CN"/>
        </w:rPr>
      </w:pPr>
      <w:r w:rsidRPr="002E3E5A">
        <w:rPr>
          <w:rFonts w:eastAsia="Arial"/>
          <w:sz w:val="24"/>
          <w:szCs w:val="24"/>
          <w:lang w:val="en" w:eastAsia="zh-CN"/>
        </w:rPr>
        <w:t xml:space="preserve">The case also reinforces the High Court’s ongoing supervision of executive detention and control powers and signals that administrative convenience will not justify incursions into judicial power. The Court’s reasoning demonstrates that even in politically sensitive areas such as migration control, </w:t>
      </w:r>
      <w:r w:rsidRPr="002E3E5A">
        <w:rPr>
          <w:rFonts w:eastAsia="Arial"/>
          <w:sz w:val="24"/>
          <w:szCs w:val="24"/>
          <w:lang w:val="en" w:eastAsia="zh-CN"/>
        </w:rPr>
        <w:lastRenderedPageBreak/>
        <w:t>constitutional structure remains a primary constraint on executive action. This reflects the broader principle that the protection of individual liberty remains a central concern of the Australian constitutional system.</w:t>
      </w:r>
    </w:p>
    <w:p w14:paraId="3C9F0A10" w14:textId="3D8A2332" w:rsidR="002E3E5A" w:rsidRPr="002E3E5A" w:rsidRDefault="002E3E5A" w:rsidP="00B7631E">
      <w:pPr>
        <w:spacing w:before="240" w:line="276" w:lineRule="auto"/>
        <w:rPr>
          <w:rFonts w:eastAsia="Arial"/>
          <w:sz w:val="24"/>
          <w:szCs w:val="24"/>
          <w:lang w:val="en" w:eastAsia="zh-CN"/>
        </w:rPr>
      </w:pPr>
      <w:r w:rsidRPr="002E3E5A">
        <w:rPr>
          <w:rFonts w:eastAsia="Arial"/>
          <w:sz w:val="24"/>
          <w:szCs w:val="24"/>
          <w:lang w:val="en" w:eastAsia="zh-CN"/>
        </w:rPr>
        <w:t>As a result, the decision may influence how Parliament designs future migration control regimes, particularly in relation to individuals released from immigration detention who are considered to present a risk to the community. The Commonwealth may be required to consider alternative mechanisms that comply with constitutional limits, including judicially supervised control orders or more clearly defined statutory frameworks. More broadly, the case confirms that constitutional protections cannot be displaced by policy concerns alone, reinforcing the High Court’s role as a guardian of the separation of powers.</w:t>
      </w:r>
    </w:p>
    <w:p w14:paraId="3C51D73D" w14:textId="77777777" w:rsidR="002E3E5A" w:rsidRPr="002E3E5A" w:rsidRDefault="002E3E5A" w:rsidP="002E3E5A">
      <w:pPr>
        <w:spacing w:after="0" w:line="276" w:lineRule="auto"/>
        <w:rPr>
          <w:rFonts w:eastAsia="Arial"/>
          <w:sz w:val="24"/>
          <w:szCs w:val="24"/>
          <w:lang w:val="en" w:eastAsia="zh-CN"/>
        </w:rPr>
      </w:pPr>
    </w:p>
    <w:p w14:paraId="54B204E1" w14:textId="6D61B25E" w:rsidR="000F108B" w:rsidRPr="00B7631E" w:rsidRDefault="000F108B" w:rsidP="00B7631E">
      <w:pPr>
        <w:spacing w:after="0" w:line="240" w:lineRule="auto"/>
        <w:rPr>
          <w:rFonts w:ascii="Arial" w:eastAsia="Arial" w:hAnsi="Arial" w:cs="Arial"/>
          <w:sz w:val="20"/>
          <w:szCs w:val="20"/>
          <w:lang w:val="en" w:eastAsia="zh-CN"/>
        </w:rPr>
      </w:pPr>
      <w:r>
        <w:br w:type="page"/>
      </w:r>
    </w:p>
    <w:p w14:paraId="698F75F1" w14:textId="43415FF4" w:rsidR="000F108B" w:rsidRDefault="0008172E" w:rsidP="001F059D">
      <w:r>
        <w:rPr>
          <w:noProof/>
        </w:rPr>
        <w:lastRenderedPageBreak/>
        <mc:AlternateContent>
          <mc:Choice Requires="wpg">
            <w:drawing>
              <wp:anchor distT="0" distB="0" distL="114300" distR="114300" simplePos="0" relativeHeight="251666432" behindDoc="0" locked="0" layoutInCell="1" allowOverlap="1" wp14:anchorId="3E0AF44C" wp14:editId="2BB7B122">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xmlns:w="http://schemas.openxmlformats.org/wordprocessingml/2006/main">
              <v:group xmlns:w14="http://schemas.microsoft.com/office/word/2010/wordml" xmlns:o="urn:schemas-microsoft-com:office:office" xmlns:v="urn:schemas-microsoft-com:vml" id="Group 23" style="position:absolute;margin-left:-54.8pt;margin-top:-1in;width:611.8pt;height:856.65pt;z-index:251666432;mso-height-relative:margin" coordsize="77699,106848" o:spid="_x0000_s1026" w14:anchorId="61AC7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">
                <v:rect id="Rectangle 15" style="position:absolute;width:77662;height:106817;visibility:visible;mso-wrap-style:square;v-text-anchor:middle" o:spid="_x0000_s1027" fillcolor="black [3213]" strokecolor="white [3212]"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v:fill type="gradient" opacity="7864f" color2="black [3213]" focus="100%" o:opacity2="4587f" rotate="t">
                    <o:fill v:ext="view" type="gradientUnscaled"/>
                  </v:fill>
                </v:rect>
                <v:shape id="Triangle 16" style="position:absolute;left:26427;top:61202;width:49986;height:45646;visibility:visible;mso-wrap-style:square;v-text-anchor:middle" o:spid="_x0000_s1028"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v:fill type="gradient" opacity="19005f" color2="#f2f2f2 [3052]" colors="0 #d9d9d9;3932f #d9d9d9" focus="100%" o:opacity2="7208f" rotate="t">
                    <o:fill v:ext="view" type="gradientUnscaled"/>
                  </v:fill>
                </v:shape>
                <v:line id="Straight Connector 17" style="position:absolute;flip:x;visibility:visible;mso-wrap-style:square" o:spid="_x0000_s1029" strokecolor="white [3212]" strokeweight="1pt" o:connectortype="straight" from="22467,127" to="77698,106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v:stroke joinstyle="miter"/>
                </v:line>
                <v:line id="Straight Connector 18" style="position:absolute;visibility:visible;mso-wrap-style:square" o:spid="_x0000_s1030" strokecolor="white [3212]" strokeweight="1pt" o:connectortype="straight" from="51042,51354" to="77699,100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v:stroke joinstyle="miter"/>
                </v:line>
                <v:shape id="Triangle 16" style="position:absolute;left:34971;top:74918;width:33606;height:31211;visibility:visible;mso-wrap-style:square;v-text-anchor:middle" o:spid="_x0000_s1031" fillcolor="#d8d8d8 [273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v:fill type="gradient" opacity="26214f" color2="#f2f2f2 [3052]" colors="0 #d9d9d9;3932f #d9d9d9" focus="100%" o:opacity2="7208f" rotate="t">
                    <o:fill v:ext="view" type="gradientUnscaled"/>
                  </v:fill>
                </v:shape>
                <v:shape id="Triangle 16" style="position:absolute;left:12734;top:103;width:59579;height:58759;flip:y;visibility:visible;mso-wrap-style:square;v-text-anchor:middle" o:spid="_x0000_s1032"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v:fill type="gradient" opacity="19005f" color2="#f2f2f2 [3052]" colors="0 #d9d9d9;3932f #d9d9d9" focus="100%" o:opacity2="7208f" rotate="t">
                    <o:fill v:ext="view" type="gradientUnscaled"/>
                  </v:fill>
                </v:shape>
                <v:line id="Straight Connector 19" style="position:absolute;flip:x y;visibility:visible;mso-wrap-style:square" o:spid="_x0000_s1033" strokecolor="white [3212]" strokeweight="1pt" o:connectortype="straight" from="6153,127" to="42463,67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v:stroke joinstyle="miter"/>
                </v:line>
                <v:shape id="Triangle 16" style="position:absolute;left:20862;width:42977;height:41742;flip:y;visibility:visible;mso-wrap-style:square;v-text-anchor:middle" o:spid="_x0000_s1034"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v:fill type="gradient" opacity="22282f" color2="white [3212]" colors="0 #f2f2f2;3932f #f2f2f2" focus="100%" o:opacity2="3932f" rotate="t">
                    <o:fill v:ext="view" type="gradientUnscaled"/>
                  </v:fill>
                </v:shape>
                <v:shape id="Triangle 16" style="position:absolute;left:43814;top:45373;width:54063;height:12393;rotation:-90;flip:y;visibility:visible;mso-wrap-style:square;v-text-anchor:middle" o:spid="_x0000_s1035"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v:fill type="gradient" opacity="27525f" color2="white [3212]" colors="0 #f2f2f2;3932f #f2f2f2" focus="100%" o:opacity2="11796f" rotate="t">
                    <o:fill v:ext="view" type="gradientUnscaled"/>
                  </v:fill>
                </v:shape>
              </v:group>
            </w:pict>
          </mc:Fallback>
        </mc:AlternateContent>
      </w:r>
      <w:r>
        <w:rPr>
          <w:noProof/>
        </w:rPr>
        <w:drawing>
          <wp:anchor distT="0" distB="0" distL="114300" distR="114300" simplePos="0" relativeHeight="251664384"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7">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footerReference w:type="even" r:id="rId8"/>
      <w:footerReference w:type="default" r:id="rId9"/>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FAFDE" w14:textId="77777777" w:rsidR="0021596B" w:rsidRDefault="0021596B" w:rsidP="00334ADB">
      <w:pPr>
        <w:spacing w:after="0" w:line="240" w:lineRule="auto"/>
      </w:pPr>
      <w:r>
        <w:separator/>
      </w:r>
    </w:p>
  </w:endnote>
  <w:endnote w:type="continuationSeparator" w:id="0">
    <w:p w14:paraId="4C88FE59" w14:textId="77777777" w:rsidR="0021596B" w:rsidRDefault="0021596B"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EndPr>
      <w:rPr>
        <w:rStyle w:val="PageNumber"/>
      </w:rPr>
    </w:sdtEnd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EndPr>
      <w:rPr>
        <w:rStyle w:val="PageNumber"/>
      </w:rPr>
    </w:sdtEnd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A3056" w14:textId="77777777" w:rsidR="0021596B" w:rsidRDefault="0021596B" w:rsidP="00334ADB">
      <w:pPr>
        <w:spacing w:after="0" w:line="240" w:lineRule="auto"/>
      </w:pPr>
      <w:r>
        <w:separator/>
      </w:r>
    </w:p>
  </w:footnote>
  <w:footnote w:type="continuationSeparator" w:id="0">
    <w:p w14:paraId="74831C66" w14:textId="77777777" w:rsidR="0021596B" w:rsidRDefault="0021596B" w:rsidP="00334ADB">
      <w:pPr>
        <w:spacing w:after="0" w:line="240" w:lineRule="auto"/>
      </w:pPr>
      <w:r>
        <w:continuationSeparator/>
      </w:r>
    </w:p>
  </w:footnote>
  <w:footnote w:id="1">
    <w:p w14:paraId="6802C8BF" w14:textId="77777777" w:rsidR="002E3E5A" w:rsidRPr="00B7631E" w:rsidRDefault="002E3E5A" w:rsidP="00B7631E">
      <w:pPr>
        <w:pStyle w:val="Footer"/>
        <w:rPr>
          <w:sz w:val="20"/>
          <w:szCs w:val="20"/>
        </w:rPr>
      </w:pPr>
      <w:r w:rsidRPr="00B7631E">
        <w:rPr>
          <w:sz w:val="20"/>
          <w:szCs w:val="20"/>
          <w:vertAlign w:val="superscript"/>
        </w:rPr>
        <w:footnoteRef/>
      </w:r>
      <w:r w:rsidRPr="00B7631E">
        <w:rPr>
          <w:sz w:val="20"/>
          <w:szCs w:val="20"/>
        </w:rPr>
        <w:t xml:space="preserve"> </w:t>
      </w:r>
      <w:r w:rsidRPr="00F5746F">
        <w:rPr>
          <w:i/>
          <w:iCs/>
          <w:sz w:val="20"/>
          <w:szCs w:val="20"/>
        </w:rPr>
        <w:t xml:space="preserve"> EGH19 v Commonwealth of Australia</w:t>
      </w:r>
      <w:r w:rsidRPr="00B7631E">
        <w:rPr>
          <w:sz w:val="20"/>
          <w:szCs w:val="20"/>
        </w:rPr>
        <w:t xml:space="preserve"> [2026] HCA 7.</w:t>
      </w:r>
    </w:p>
  </w:footnote>
  <w:footnote w:id="2">
    <w:p w14:paraId="4DDC2C9E" w14:textId="77777777" w:rsidR="002E3E5A" w:rsidRPr="00B7631E" w:rsidRDefault="002E3E5A" w:rsidP="00B7631E">
      <w:pPr>
        <w:pStyle w:val="Footer"/>
        <w:rPr>
          <w:sz w:val="20"/>
          <w:szCs w:val="20"/>
        </w:rPr>
      </w:pPr>
      <w:r w:rsidRPr="00B7631E">
        <w:rPr>
          <w:sz w:val="20"/>
          <w:szCs w:val="20"/>
          <w:vertAlign w:val="superscript"/>
        </w:rPr>
        <w:footnoteRef/>
      </w:r>
      <w:r w:rsidRPr="00B7631E">
        <w:rPr>
          <w:sz w:val="20"/>
          <w:szCs w:val="20"/>
        </w:rPr>
        <w:t xml:space="preserve"> </w:t>
      </w:r>
      <w:r w:rsidRPr="00AC572C">
        <w:rPr>
          <w:i/>
          <w:iCs/>
          <w:sz w:val="20"/>
          <w:szCs w:val="20"/>
        </w:rPr>
        <w:t xml:space="preserve">Migration Act 1958 </w:t>
      </w:r>
      <w:r w:rsidRPr="00B7631E">
        <w:rPr>
          <w:sz w:val="20"/>
          <w:szCs w:val="20"/>
        </w:rPr>
        <w:t>(Cth) s504.</w:t>
      </w:r>
    </w:p>
  </w:footnote>
  <w:footnote w:id="3">
    <w:p w14:paraId="12A88317" w14:textId="77777777" w:rsidR="002E3E5A" w:rsidRPr="00B7631E" w:rsidRDefault="002E3E5A" w:rsidP="00B7631E">
      <w:pPr>
        <w:pStyle w:val="Footer"/>
        <w:rPr>
          <w:sz w:val="20"/>
          <w:szCs w:val="20"/>
        </w:rPr>
      </w:pPr>
      <w:r w:rsidRPr="00B7631E">
        <w:rPr>
          <w:sz w:val="20"/>
          <w:szCs w:val="20"/>
          <w:vertAlign w:val="superscript"/>
        </w:rPr>
        <w:footnoteRef/>
      </w:r>
      <w:r w:rsidRPr="00B7631E">
        <w:rPr>
          <w:sz w:val="20"/>
          <w:szCs w:val="20"/>
        </w:rPr>
        <w:t xml:space="preserve"> Ibid [153].</w:t>
      </w:r>
    </w:p>
  </w:footnote>
  <w:footnote w:id="4">
    <w:p w14:paraId="65B9CD17" w14:textId="77777777" w:rsidR="002E3E5A" w:rsidRPr="00B7631E" w:rsidRDefault="002E3E5A" w:rsidP="00B7631E">
      <w:pPr>
        <w:pStyle w:val="Footer"/>
        <w:rPr>
          <w:sz w:val="20"/>
          <w:szCs w:val="20"/>
        </w:rPr>
      </w:pPr>
      <w:r w:rsidRPr="00B7631E">
        <w:rPr>
          <w:sz w:val="20"/>
          <w:szCs w:val="20"/>
          <w:vertAlign w:val="superscript"/>
        </w:rPr>
        <w:footnoteRef/>
      </w:r>
      <w:r w:rsidRPr="00B7631E">
        <w:rPr>
          <w:sz w:val="20"/>
          <w:szCs w:val="20"/>
        </w:rPr>
        <w:t xml:space="preserve"> Ibid [119].</w:t>
      </w:r>
    </w:p>
  </w:footnote>
  <w:footnote w:id="5">
    <w:p w14:paraId="23FDCCFD" w14:textId="77777777" w:rsidR="002E3E5A" w:rsidRPr="00B7631E" w:rsidRDefault="002E3E5A" w:rsidP="00B7631E">
      <w:pPr>
        <w:pStyle w:val="Footer"/>
        <w:rPr>
          <w:sz w:val="20"/>
          <w:szCs w:val="20"/>
        </w:rPr>
      </w:pPr>
      <w:r w:rsidRPr="00B7631E">
        <w:rPr>
          <w:sz w:val="20"/>
          <w:szCs w:val="20"/>
          <w:vertAlign w:val="superscript"/>
        </w:rPr>
        <w:footnoteRef/>
      </w:r>
      <w:r w:rsidRPr="00B7631E">
        <w:rPr>
          <w:sz w:val="20"/>
          <w:szCs w:val="20"/>
        </w:rPr>
        <w:t xml:space="preserve"> Ibid [152].</w:t>
      </w:r>
    </w:p>
  </w:footnote>
  <w:footnote w:id="6">
    <w:p w14:paraId="5AADD362" w14:textId="5804BCAE" w:rsidR="002E3E5A" w:rsidRDefault="002E3E5A" w:rsidP="00B7631E">
      <w:pPr>
        <w:pStyle w:val="Footer"/>
      </w:pPr>
      <w:r w:rsidRPr="00B7631E">
        <w:rPr>
          <w:sz w:val="20"/>
          <w:szCs w:val="20"/>
          <w:vertAlign w:val="superscript"/>
        </w:rPr>
        <w:footnoteRef/>
      </w:r>
      <w:r w:rsidRPr="00B7631E">
        <w:rPr>
          <w:sz w:val="20"/>
          <w:szCs w:val="20"/>
        </w:rPr>
        <w:t xml:space="preserve"> Ibid</w:t>
      </w:r>
      <w:r w:rsidR="00B7631E" w:rsidRPr="00B7631E">
        <w:rPr>
          <w:sz w:val="20"/>
          <w:szCs w:val="20"/>
        </w:rPr>
        <w:t>.</w:t>
      </w:r>
      <w:r w:rsidRPr="00B7631E">
        <w:rPr>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17841"/>
    <w:rsid w:val="0007301A"/>
    <w:rsid w:val="0008172E"/>
    <w:rsid w:val="000A4193"/>
    <w:rsid w:val="000A7F76"/>
    <w:rsid w:val="000B2023"/>
    <w:rsid w:val="000D128E"/>
    <w:rsid w:val="000D3208"/>
    <w:rsid w:val="000F108B"/>
    <w:rsid w:val="00111C95"/>
    <w:rsid w:val="00134090"/>
    <w:rsid w:val="00147DC9"/>
    <w:rsid w:val="00175486"/>
    <w:rsid w:val="001A3BD0"/>
    <w:rsid w:val="001B7DFD"/>
    <w:rsid w:val="001E3028"/>
    <w:rsid w:val="001F059D"/>
    <w:rsid w:val="001F7F8C"/>
    <w:rsid w:val="0021596B"/>
    <w:rsid w:val="00220042"/>
    <w:rsid w:val="0023078B"/>
    <w:rsid w:val="00240E95"/>
    <w:rsid w:val="00285268"/>
    <w:rsid w:val="00294CA4"/>
    <w:rsid w:val="00295E7C"/>
    <w:rsid w:val="002C30CA"/>
    <w:rsid w:val="002E3E5A"/>
    <w:rsid w:val="002F23C0"/>
    <w:rsid w:val="00300E0C"/>
    <w:rsid w:val="0032017D"/>
    <w:rsid w:val="00334ADB"/>
    <w:rsid w:val="00341B1E"/>
    <w:rsid w:val="00344A17"/>
    <w:rsid w:val="00356093"/>
    <w:rsid w:val="003A02E1"/>
    <w:rsid w:val="003A1CFB"/>
    <w:rsid w:val="003B750A"/>
    <w:rsid w:val="003B7C76"/>
    <w:rsid w:val="003C2E5F"/>
    <w:rsid w:val="003E43B4"/>
    <w:rsid w:val="003E7BC4"/>
    <w:rsid w:val="00405FCE"/>
    <w:rsid w:val="004150DE"/>
    <w:rsid w:val="004428B7"/>
    <w:rsid w:val="00454AE5"/>
    <w:rsid w:val="0046317F"/>
    <w:rsid w:val="00464656"/>
    <w:rsid w:val="0046610A"/>
    <w:rsid w:val="00480B5D"/>
    <w:rsid w:val="00482078"/>
    <w:rsid w:val="00483774"/>
    <w:rsid w:val="00483FDC"/>
    <w:rsid w:val="004D2AC4"/>
    <w:rsid w:val="004D4240"/>
    <w:rsid w:val="004E3D64"/>
    <w:rsid w:val="004E66C5"/>
    <w:rsid w:val="00531BB6"/>
    <w:rsid w:val="00553DD0"/>
    <w:rsid w:val="00564DFA"/>
    <w:rsid w:val="00571DCD"/>
    <w:rsid w:val="00580005"/>
    <w:rsid w:val="00580B86"/>
    <w:rsid w:val="0058507A"/>
    <w:rsid w:val="00586C7F"/>
    <w:rsid w:val="00596E11"/>
    <w:rsid w:val="005A6F4D"/>
    <w:rsid w:val="005D092F"/>
    <w:rsid w:val="005E1FFE"/>
    <w:rsid w:val="00601F4E"/>
    <w:rsid w:val="00602F53"/>
    <w:rsid w:val="006059CA"/>
    <w:rsid w:val="00610E85"/>
    <w:rsid w:val="006137B4"/>
    <w:rsid w:val="00621706"/>
    <w:rsid w:val="00630EB4"/>
    <w:rsid w:val="00634D86"/>
    <w:rsid w:val="00691C4F"/>
    <w:rsid w:val="006A2321"/>
    <w:rsid w:val="006B0791"/>
    <w:rsid w:val="006B7BEF"/>
    <w:rsid w:val="006C458F"/>
    <w:rsid w:val="006E3E4C"/>
    <w:rsid w:val="006F60E7"/>
    <w:rsid w:val="006F651C"/>
    <w:rsid w:val="00714231"/>
    <w:rsid w:val="00727A61"/>
    <w:rsid w:val="0076135F"/>
    <w:rsid w:val="0076785F"/>
    <w:rsid w:val="007769FF"/>
    <w:rsid w:val="007969BD"/>
    <w:rsid w:val="007B1D20"/>
    <w:rsid w:val="007B71B0"/>
    <w:rsid w:val="007C4F96"/>
    <w:rsid w:val="007D2217"/>
    <w:rsid w:val="007F17E8"/>
    <w:rsid w:val="00806120"/>
    <w:rsid w:val="0080654C"/>
    <w:rsid w:val="008132C3"/>
    <w:rsid w:val="008215DC"/>
    <w:rsid w:val="00840943"/>
    <w:rsid w:val="00843BE6"/>
    <w:rsid w:val="0085433B"/>
    <w:rsid w:val="00893441"/>
    <w:rsid w:val="008B7194"/>
    <w:rsid w:val="008B7902"/>
    <w:rsid w:val="008F57CF"/>
    <w:rsid w:val="009027DF"/>
    <w:rsid w:val="009035F2"/>
    <w:rsid w:val="009136E9"/>
    <w:rsid w:val="009142C9"/>
    <w:rsid w:val="00924A66"/>
    <w:rsid w:val="00930211"/>
    <w:rsid w:val="0093046D"/>
    <w:rsid w:val="00944B71"/>
    <w:rsid w:val="00962EBB"/>
    <w:rsid w:val="00973C50"/>
    <w:rsid w:val="009929D2"/>
    <w:rsid w:val="009969D9"/>
    <w:rsid w:val="00997C34"/>
    <w:rsid w:val="009B0174"/>
    <w:rsid w:val="009C531C"/>
    <w:rsid w:val="009D06C6"/>
    <w:rsid w:val="009E1A7D"/>
    <w:rsid w:val="00A01517"/>
    <w:rsid w:val="00A03A12"/>
    <w:rsid w:val="00A0638E"/>
    <w:rsid w:val="00A239C8"/>
    <w:rsid w:val="00A502FB"/>
    <w:rsid w:val="00A540EA"/>
    <w:rsid w:val="00A830C0"/>
    <w:rsid w:val="00A97FC9"/>
    <w:rsid w:val="00AA3760"/>
    <w:rsid w:val="00AA67FB"/>
    <w:rsid w:val="00AC572C"/>
    <w:rsid w:val="00AD2504"/>
    <w:rsid w:val="00B02D14"/>
    <w:rsid w:val="00B15DDE"/>
    <w:rsid w:val="00B33213"/>
    <w:rsid w:val="00B46C49"/>
    <w:rsid w:val="00B7631E"/>
    <w:rsid w:val="00B77A24"/>
    <w:rsid w:val="00B832BA"/>
    <w:rsid w:val="00B868C3"/>
    <w:rsid w:val="00B97C02"/>
    <w:rsid w:val="00BA00F7"/>
    <w:rsid w:val="00BB66EB"/>
    <w:rsid w:val="00BC443F"/>
    <w:rsid w:val="00BC6547"/>
    <w:rsid w:val="00BD62C4"/>
    <w:rsid w:val="00BE5553"/>
    <w:rsid w:val="00C00C1E"/>
    <w:rsid w:val="00C41993"/>
    <w:rsid w:val="00C65049"/>
    <w:rsid w:val="00C8782D"/>
    <w:rsid w:val="00CB7B0F"/>
    <w:rsid w:val="00CE2659"/>
    <w:rsid w:val="00D1061C"/>
    <w:rsid w:val="00D30760"/>
    <w:rsid w:val="00D5782C"/>
    <w:rsid w:val="00D67988"/>
    <w:rsid w:val="00D75D0F"/>
    <w:rsid w:val="00D774EF"/>
    <w:rsid w:val="00D94C07"/>
    <w:rsid w:val="00DC1F28"/>
    <w:rsid w:val="00DE365C"/>
    <w:rsid w:val="00DE7698"/>
    <w:rsid w:val="00DF314C"/>
    <w:rsid w:val="00E00CF1"/>
    <w:rsid w:val="00E030D6"/>
    <w:rsid w:val="00E160C6"/>
    <w:rsid w:val="00E179B4"/>
    <w:rsid w:val="00E24F54"/>
    <w:rsid w:val="00E35A95"/>
    <w:rsid w:val="00E35F81"/>
    <w:rsid w:val="00E45958"/>
    <w:rsid w:val="00E6116E"/>
    <w:rsid w:val="00E6236F"/>
    <w:rsid w:val="00E660C7"/>
    <w:rsid w:val="00E75B77"/>
    <w:rsid w:val="00E95486"/>
    <w:rsid w:val="00EC40F3"/>
    <w:rsid w:val="00EF7F99"/>
    <w:rsid w:val="00F007B6"/>
    <w:rsid w:val="00F05EA0"/>
    <w:rsid w:val="00F07236"/>
    <w:rsid w:val="00F1081F"/>
    <w:rsid w:val="00F166DC"/>
    <w:rsid w:val="00F22977"/>
    <w:rsid w:val="00F3602A"/>
    <w:rsid w:val="00F52A96"/>
    <w:rsid w:val="00F5746F"/>
    <w:rsid w:val="00F6794E"/>
    <w:rsid w:val="00F74AD5"/>
    <w:rsid w:val="00F772BB"/>
    <w:rsid w:val="00F81255"/>
    <w:rsid w:val="00F972AD"/>
    <w:rsid w:val="00FA4E12"/>
    <w:rsid w:val="00FB2581"/>
    <w:rsid w:val="00FB5B18"/>
    <w:rsid w:val="00FD42E0"/>
    <w:rsid w:val="00FD531E"/>
    <w:rsid w:val="00FE034A"/>
    <w:rsid w:val="00FE6217"/>
    <w:rsid w:val="203F3282"/>
    <w:rsid w:val="6BF1EA69"/>
    <w:rsid w:val="71F20D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1004</Words>
  <Characters>5723</Characters>
  <Application>Microsoft Office Word</Application>
  <DocSecurity>0</DocSecurity>
  <Lines>47</Lines>
  <Paragraphs>13</Paragraphs>
  <ScaleCrop>false</ScaleCrop>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Deirdre Veneracion</cp:lastModifiedBy>
  <cp:revision>2</cp:revision>
  <dcterms:created xsi:type="dcterms:W3CDTF">2026-04-11T09:36:00Z</dcterms:created>
  <dcterms:modified xsi:type="dcterms:W3CDTF">2026-04-11T09:36:00Z</dcterms:modified>
</cp:coreProperties>
</file>