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72D5E"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Pr>
          <w:rFonts w:ascii="Arial" w:eastAsia="Times New Roman" w:hAnsi="Arial" w:cs="Arial"/>
          <w:kern w:val="0"/>
          <w:sz w:val="20"/>
          <w:szCs w:val="20"/>
          <w:lang w:val="es-CO" w:eastAsia="es-CO"/>
          <w14:ligatures w14:val="none"/>
        </w:rPr>
        <w:t>Para analizar este caso es</w:t>
      </w:r>
      <w:r w:rsidRPr="00555E04">
        <w:rPr>
          <w:rFonts w:ascii="Arial" w:eastAsia="Times New Roman" w:hAnsi="Arial" w:cs="Arial"/>
          <w:kern w:val="0"/>
          <w:sz w:val="20"/>
          <w:szCs w:val="20"/>
          <w:lang w:val="es-CO" w:eastAsia="es-CO"/>
          <w14:ligatures w14:val="none"/>
        </w:rPr>
        <w:t xml:space="preserve"> necesario </w:t>
      </w:r>
      <w:r>
        <w:rPr>
          <w:rFonts w:ascii="Arial" w:eastAsia="Times New Roman" w:hAnsi="Arial" w:cs="Arial"/>
          <w:kern w:val="0"/>
          <w:sz w:val="20"/>
          <w:szCs w:val="20"/>
          <w:lang w:val="es-CO" w:eastAsia="es-CO"/>
          <w14:ligatures w14:val="none"/>
        </w:rPr>
        <w:t>abordar</w:t>
      </w:r>
      <w:r w:rsidRPr="00555E04">
        <w:rPr>
          <w:rFonts w:ascii="Arial" w:eastAsia="Times New Roman" w:hAnsi="Arial" w:cs="Arial"/>
          <w:kern w:val="0"/>
          <w:sz w:val="20"/>
          <w:szCs w:val="20"/>
          <w:lang w:val="es-CO" w:eastAsia="es-CO"/>
          <w14:ligatures w14:val="none"/>
        </w:rPr>
        <w:t xml:space="preserve"> el marco normativo colombiano y de los principios aplicables a</w:t>
      </w:r>
      <w:r>
        <w:rPr>
          <w:rFonts w:ascii="Arial" w:eastAsia="Times New Roman" w:hAnsi="Arial" w:cs="Arial"/>
          <w:kern w:val="0"/>
          <w:sz w:val="20"/>
          <w:szCs w:val="20"/>
          <w:lang w:val="es-CO" w:eastAsia="es-CO"/>
          <w14:ligatures w14:val="none"/>
        </w:rPr>
        <w:t>l uso legal de la fuerza por parte</w:t>
      </w:r>
      <w:r w:rsidRPr="00555E04">
        <w:rPr>
          <w:rFonts w:ascii="Arial" w:eastAsia="Times New Roman" w:hAnsi="Arial" w:cs="Arial"/>
          <w:kern w:val="0"/>
          <w:sz w:val="20"/>
          <w:szCs w:val="20"/>
          <w:lang w:val="es-CO" w:eastAsia="es-CO"/>
          <w14:ligatures w14:val="none"/>
        </w:rPr>
        <w:t xml:space="preserve"> de la Policía Nacional</w:t>
      </w:r>
      <w:r>
        <w:rPr>
          <w:rFonts w:ascii="Arial" w:eastAsia="Times New Roman" w:hAnsi="Arial" w:cs="Arial"/>
          <w:kern w:val="0"/>
          <w:sz w:val="20"/>
          <w:szCs w:val="20"/>
          <w:lang w:val="es-CO" w:eastAsia="es-CO"/>
          <w14:ligatures w14:val="none"/>
        </w:rPr>
        <w:t>, e</w:t>
      </w:r>
      <w:r w:rsidRPr="00555E04">
        <w:rPr>
          <w:rFonts w:ascii="Arial" w:eastAsia="Times New Roman" w:hAnsi="Arial" w:cs="Arial"/>
          <w:kern w:val="0"/>
          <w:sz w:val="20"/>
          <w:szCs w:val="20"/>
          <w:lang w:val="es-CO" w:eastAsia="es-CO"/>
          <w14:ligatures w14:val="none"/>
        </w:rPr>
        <w:t>l uso de un arma de fuego por parte de un policía para defenderse de un ataque por un perro de manejo especial</w:t>
      </w:r>
      <w:r>
        <w:rPr>
          <w:rFonts w:ascii="Arial" w:eastAsia="Times New Roman" w:hAnsi="Arial" w:cs="Arial"/>
          <w:kern w:val="0"/>
          <w:sz w:val="20"/>
          <w:szCs w:val="20"/>
          <w:lang w:val="es-CO" w:eastAsia="es-CO"/>
          <w14:ligatures w14:val="none"/>
        </w:rPr>
        <w:t xml:space="preserve"> o como anterior mente se le llamo (raza potencialmente peligrosa) </w:t>
      </w:r>
      <w:r w:rsidRPr="00555E04">
        <w:rPr>
          <w:rFonts w:ascii="Arial" w:eastAsia="Times New Roman" w:hAnsi="Arial" w:cs="Arial"/>
          <w:kern w:val="0"/>
          <w:sz w:val="20"/>
          <w:szCs w:val="20"/>
          <w:lang w:val="es-CO" w:eastAsia="es-CO"/>
          <w14:ligatures w14:val="none"/>
        </w:rPr>
        <w:t>como un Stanford Pitbull, debe evaluarse cuidadosamente bajo los siguientes aspectos legales.</w:t>
      </w:r>
    </w:p>
    <w:p w14:paraId="477452F4" w14:textId="77777777" w:rsidR="00555E04" w:rsidRPr="00555E04" w:rsidRDefault="00555E04" w:rsidP="00555E04">
      <w:pPr>
        <w:spacing w:before="100" w:beforeAutospacing="1" w:after="100" w:afterAutospacing="1" w:line="240" w:lineRule="auto"/>
        <w:jc w:val="both"/>
        <w:outlineLvl w:val="2"/>
        <w:rPr>
          <w:rFonts w:ascii="Arial" w:eastAsia="Times New Roman" w:hAnsi="Arial" w:cs="Arial"/>
          <w:b/>
          <w:bCs/>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1. Marco Normativo Relevante</w:t>
      </w:r>
    </w:p>
    <w:p w14:paraId="549F3261" w14:textId="77777777" w:rsidR="00555E04" w:rsidRPr="00555E04" w:rsidRDefault="00555E04" w:rsidP="00555E04">
      <w:pPr>
        <w:spacing w:before="100" w:beforeAutospacing="1" w:after="100" w:afterAutospacing="1" w:line="240" w:lineRule="auto"/>
        <w:jc w:val="both"/>
        <w:outlineLvl w:val="3"/>
        <w:rPr>
          <w:rFonts w:ascii="Arial" w:eastAsia="Times New Roman" w:hAnsi="Arial" w:cs="Arial"/>
          <w:b/>
          <w:bCs/>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Ley 1774 de 2016</w:t>
      </w:r>
    </w:p>
    <w:p w14:paraId="7A5CA7F9"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La </w:t>
      </w:r>
      <w:r w:rsidRPr="00555E04">
        <w:rPr>
          <w:rFonts w:ascii="Arial" w:eastAsia="Times New Roman" w:hAnsi="Arial" w:cs="Arial"/>
          <w:b/>
          <w:bCs/>
          <w:kern w:val="0"/>
          <w:sz w:val="20"/>
          <w:szCs w:val="20"/>
          <w:lang w:val="es-CO" w:eastAsia="es-CO"/>
          <w14:ligatures w14:val="none"/>
        </w:rPr>
        <w:t>Ley 1774 de 2016</w:t>
      </w:r>
      <w:r w:rsidRPr="00555E04">
        <w:rPr>
          <w:rFonts w:ascii="Arial" w:eastAsia="Times New Roman" w:hAnsi="Arial" w:cs="Arial"/>
          <w:kern w:val="0"/>
          <w:sz w:val="20"/>
          <w:szCs w:val="20"/>
          <w:lang w:val="es-CO" w:eastAsia="es-CO"/>
          <w14:ligatures w14:val="none"/>
        </w:rPr>
        <w:t xml:space="preserve"> modifica varias disposiciones del Código Civil, Código Penal, Código de Procedimiento Penal, entre otras, para otorgar protección a los animales. Específicamente, introduce el delito de </w:t>
      </w:r>
      <w:r w:rsidRPr="00555E04">
        <w:rPr>
          <w:rFonts w:ascii="Arial" w:eastAsia="Times New Roman" w:hAnsi="Arial" w:cs="Arial"/>
          <w:b/>
          <w:bCs/>
          <w:kern w:val="0"/>
          <w:sz w:val="20"/>
          <w:szCs w:val="20"/>
          <w:lang w:val="es-CO" w:eastAsia="es-CO"/>
          <w14:ligatures w14:val="none"/>
        </w:rPr>
        <w:t>maltrato animal</w:t>
      </w:r>
      <w:r w:rsidRPr="00555E04">
        <w:rPr>
          <w:rFonts w:ascii="Arial" w:eastAsia="Times New Roman" w:hAnsi="Arial" w:cs="Arial"/>
          <w:kern w:val="0"/>
          <w:sz w:val="20"/>
          <w:szCs w:val="20"/>
          <w:lang w:val="es-CO" w:eastAsia="es-CO"/>
          <w14:ligatures w14:val="none"/>
        </w:rPr>
        <w:t>, pero también establece que la muerte de un animal no será punible si esta ocurre en legítima defensa o en defensa de terceros.</w:t>
      </w:r>
    </w:p>
    <w:p w14:paraId="4FA4FB82"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En este caso, el policía fue atacado físicamente por el perro, y a pesar de varios intentos de liberarse del ataque, no lo logró. La situación pone en riesgo su integridad física, lo que constituye una amenaza legítima. Por lo tanto, la Ley 1774 de 2016 permite el uso de la fuerza para neutralizar al animal si es necesario para proteger la vida o la integridad física del policía, en conformidad con el principio de </w:t>
      </w:r>
      <w:r w:rsidRPr="00555E04">
        <w:rPr>
          <w:rFonts w:ascii="Arial" w:eastAsia="Times New Roman" w:hAnsi="Arial" w:cs="Arial"/>
          <w:b/>
          <w:bCs/>
          <w:kern w:val="0"/>
          <w:sz w:val="20"/>
          <w:szCs w:val="20"/>
          <w:lang w:val="es-CO" w:eastAsia="es-CO"/>
          <w14:ligatures w14:val="none"/>
        </w:rPr>
        <w:t>legítima defensa</w:t>
      </w:r>
      <w:r w:rsidRPr="00555E04">
        <w:rPr>
          <w:rFonts w:ascii="Arial" w:eastAsia="Times New Roman" w:hAnsi="Arial" w:cs="Arial"/>
          <w:kern w:val="0"/>
          <w:sz w:val="20"/>
          <w:szCs w:val="20"/>
          <w:lang w:val="es-CO" w:eastAsia="es-CO"/>
          <w14:ligatures w14:val="none"/>
        </w:rPr>
        <w:t>.</w:t>
      </w:r>
    </w:p>
    <w:p w14:paraId="5D1E397F" w14:textId="77777777" w:rsidR="00E53CE4" w:rsidRDefault="00E53CE4" w:rsidP="00E53CE4">
      <w:pPr>
        <w:spacing w:before="100" w:beforeAutospacing="1" w:after="100" w:afterAutospacing="1" w:line="240" w:lineRule="auto"/>
        <w:outlineLvl w:val="3"/>
        <w:rPr>
          <w:rFonts w:ascii="Arial" w:eastAsia="Times New Roman" w:hAnsi="Arial" w:cs="Arial"/>
          <w:b/>
          <w:bCs/>
          <w:kern w:val="0"/>
          <w:sz w:val="20"/>
          <w:szCs w:val="20"/>
          <w:lang w:eastAsia="es-CO"/>
          <w14:ligatures w14:val="none"/>
        </w:rPr>
      </w:pPr>
      <w:r w:rsidRPr="00E53CE4">
        <w:rPr>
          <w:rFonts w:ascii="Arial" w:eastAsia="Times New Roman" w:hAnsi="Arial" w:cs="Arial"/>
          <w:b/>
          <w:bCs/>
          <w:kern w:val="0"/>
          <w:sz w:val="20"/>
          <w:szCs w:val="20"/>
          <w:lang w:eastAsia="es-CO"/>
          <w14:ligatures w14:val="none"/>
        </w:rPr>
        <w:t>Ley 2054 de 2020</w:t>
      </w:r>
    </w:p>
    <w:p w14:paraId="1EF16423" w14:textId="6B90A2E3" w:rsidR="00555E04" w:rsidRPr="00555E04" w:rsidRDefault="00E53CE4" w:rsidP="00E53CE4">
      <w:pPr>
        <w:spacing w:before="100" w:beforeAutospacing="1" w:after="100" w:afterAutospacing="1" w:line="240" w:lineRule="auto"/>
        <w:outlineLvl w:val="3"/>
        <w:rPr>
          <w:rFonts w:ascii="Arial" w:eastAsia="Times New Roman" w:hAnsi="Arial" w:cs="Arial"/>
          <w:b/>
          <w:bCs/>
          <w:kern w:val="0"/>
          <w:sz w:val="20"/>
          <w:szCs w:val="20"/>
          <w:lang w:val="es-CO" w:eastAsia="es-CO"/>
          <w14:ligatures w14:val="none"/>
        </w:rPr>
      </w:pPr>
      <w:r>
        <w:rPr>
          <w:rFonts w:ascii="Arial" w:eastAsia="Times New Roman" w:hAnsi="Arial" w:cs="Arial"/>
          <w:b/>
          <w:bCs/>
          <w:kern w:val="0"/>
          <w:sz w:val="20"/>
          <w:szCs w:val="20"/>
          <w:lang w:eastAsia="es-CO"/>
          <w14:ligatures w14:val="none"/>
        </w:rPr>
        <w:t>h</w:t>
      </w:r>
      <w:r w:rsidRPr="00E53CE4">
        <w:rPr>
          <w:rFonts w:ascii="Arial" w:eastAsia="Times New Roman" w:hAnsi="Arial" w:cs="Arial"/>
          <w:b/>
          <w:bCs/>
          <w:kern w:val="0"/>
          <w:sz w:val="20"/>
          <w:szCs w:val="20"/>
          <w:lang w:eastAsia="es-CO"/>
          <w14:ligatures w14:val="none"/>
        </w:rPr>
        <w:br/>
        <w:t xml:space="preserve">La Ley 2054 de 2020 modifica disposiciones de la Ley 1801 de 2016 relacionadas con bienestar animal, tenencia responsable y medidas frente al abandono y protección de animales domésticos. Asimismo, refuerza obligaciones sobre el manejo adecuado de animales de manejo especial o potencialmente peligrosos, exigiendo medidas de control por parte de sus propietarios. En el caso analizado, su relevancia radica en la responsabilidad del tenedor del animal para evitar situaciones que pongan en riesgo la integridad de terceros. La valoración sobre el uso de la fuerza por parte del policía no deriva de esta ley, sino de los principios de necesidad, proporcionalidad y legalidad contenidos en los lineamientos institucionales y normas que regulan el uso de la fuerza por parte de la Policía Nacional. </w:t>
      </w:r>
      <w:r w:rsidR="00555E04" w:rsidRPr="00555E04">
        <w:rPr>
          <w:rFonts w:ascii="Arial" w:eastAsia="Times New Roman" w:hAnsi="Arial" w:cs="Arial"/>
          <w:b/>
          <w:bCs/>
          <w:kern w:val="0"/>
          <w:sz w:val="20"/>
          <w:szCs w:val="20"/>
          <w:lang w:val="es-CO" w:eastAsia="es-CO"/>
          <w14:ligatures w14:val="none"/>
        </w:rPr>
        <w:t>Ley 1801 de 2016 (Artículo 124)</w:t>
      </w:r>
    </w:p>
    <w:p w14:paraId="2D9B5E05" w14:textId="08AD4242"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El </w:t>
      </w:r>
      <w:r w:rsidRPr="00555E04">
        <w:rPr>
          <w:rFonts w:ascii="Arial" w:eastAsia="Times New Roman" w:hAnsi="Arial" w:cs="Arial"/>
          <w:b/>
          <w:bCs/>
          <w:kern w:val="0"/>
          <w:sz w:val="20"/>
          <w:szCs w:val="20"/>
          <w:lang w:val="es-CO" w:eastAsia="es-CO"/>
          <w14:ligatures w14:val="none"/>
        </w:rPr>
        <w:t>Artículo 124</w:t>
      </w:r>
      <w:r w:rsidRPr="00555E04">
        <w:rPr>
          <w:rFonts w:ascii="Arial" w:eastAsia="Times New Roman" w:hAnsi="Arial" w:cs="Arial"/>
          <w:kern w:val="0"/>
          <w:sz w:val="20"/>
          <w:szCs w:val="20"/>
          <w:lang w:val="es-CO" w:eastAsia="es-CO"/>
          <w14:ligatures w14:val="none"/>
        </w:rPr>
        <w:t xml:space="preserve"> del </w:t>
      </w:r>
      <w:r w:rsidRPr="00555E04">
        <w:rPr>
          <w:rFonts w:ascii="Arial" w:eastAsia="Times New Roman" w:hAnsi="Arial" w:cs="Arial"/>
          <w:b/>
          <w:bCs/>
          <w:kern w:val="0"/>
          <w:sz w:val="20"/>
          <w:szCs w:val="20"/>
          <w:lang w:val="es-CO" w:eastAsia="es-CO"/>
          <w14:ligatures w14:val="none"/>
        </w:rPr>
        <w:t>Código Nacional de Convivencia</w:t>
      </w:r>
      <w:r w:rsidRPr="00555E04">
        <w:rPr>
          <w:rFonts w:ascii="Arial" w:eastAsia="Times New Roman" w:hAnsi="Arial" w:cs="Arial"/>
          <w:kern w:val="0"/>
          <w:sz w:val="20"/>
          <w:szCs w:val="20"/>
          <w:lang w:val="es-CO" w:eastAsia="es-CO"/>
          <w14:ligatures w14:val="none"/>
        </w:rPr>
        <w:t xml:space="preserve"> </w:t>
      </w:r>
      <w:r w:rsidR="003E07D3">
        <w:rPr>
          <w:rFonts w:ascii="Arial" w:eastAsia="Times New Roman" w:hAnsi="Arial" w:cs="Arial"/>
          <w:kern w:val="0"/>
          <w:sz w:val="20"/>
          <w:szCs w:val="20"/>
          <w:lang w:val="es-CO" w:eastAsia="es-CO"/>
          <w14:ligatures w14:val="none"/>
        </w:rPr>
        <w:t xml:space="preserve"> y educación </w:t>
      </w:r>
      <w:r w:rsidR="00E954ED">
        <w:rPr>
          <w:rFonts w:ascii="Arial" w:eastAsia="Times New Roman" w:hAnsi="Arial" w:cs="Arial"/>
          <w:kern w:val="0"/>
          <w:sz w:val="20"/>
          <w:szCs w:val="20"/>
          <w:lang w:val="es-CO" w:eastAsia="es-CO"/>
          <w14:ligatures w14:val="none"/>
        </w:rPr>
        <w:t>ciudadanía</w:t>
      </w:r>
      <w:r w:rsidR="003E07D3">
        <w:rPr>
          <w:rFonts w:ascii="Arial" w:eastAsia="Times New Roman" w:hAnsi="Arial" w:cs="Arial"/>
          <w:kern w:val="0"/>
          <w:sz w:val="20"/>
          <w:szCs w:val="20"/>
          <w:lang w:val="es-CO" w:eastAsia="es-CO"/>
          <w14:ligatures w14:val="none"/>
        </w:rPr>
        <w:t xml:space="preserve"> </w:t>
      </w:r>
      <w:r w:rsidRPr="00555E04">
        <w:rPr>
          <w:rFonts w:ascii="Arial" w:eastAsia="Times New Roman" w:hAnsi="Arial" w:cs="Arial"/>
          <w:kern w:val="0"/>
          <w:sz w:val="20"/>
          <w:szCs w:val="20"/>
          <w:lang w:val="es-CO" w:eastAsia="es-CO"/>
          <w14:ligatures w14:val="none"/>
        </w:rPr>
        <w:t>regula los comportamientos que ponen en riesgo la convivencia por la tenencia de animales. Entre estos comportamientos se incluye el hecho de no tomar las precauciones necesarias para evitar que animales de razas peligrosas causen daño. La tenencia irresponsable del animal por parte de la dueña podría calificarse como una infracción a este artículo, ya que el perro estaba fuera de control y atacó al policía.</w:t>
      </w:r>
    </w:p>
    <w:p w14:paraId="3C72AE59"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Aunque la dueña del perro dio su consentimiento para que el agente utilizara su arma, este factor no es esencial para justificar el uso de la fuerza</w:t>
      </w:r>
      <w:r w:rsidR="00233850">
        <w:rPr>
          <w:rFonts w:ascii="Arial" w:eastAsia="Times New Roman" w:hAnsi="Arial" w:cs="Arial"/>
          <w:kern w:val="0"/>
          <w:sz w:val="20"/>
          <w:szCs w:val="20"/>
          <w:lang w:val="es-CO" w:eastAsia="es-CO"/>
          <w14:ligatures w14:val="none"/>
        </w:rPr>
        <w:t>, l</w:t>
      </w:r>
      <w:r w:rsidRPr="00555E04">
        <w:rPr>
          <w:rFonts w:ascii="Arial" w:eastAsia="Times New Roman" w:hAnsi="Arial" w:cs="Arial"/>
          <w:kern w:val="0"/>
          <w:sz w:val="20"/>
          <w:szCs w:val="20"/>
          <w:lang w:val="es-CO" w:eastAsia="es-CO"/>
          <w14:ligatures w14:val="none"/>
        </w:rPr>
        <w:t>a Ley 1801 de 2016 impone responsabilidades a los dueños de animales peligrosos, y cuando se presenta un peligro inmediato, la Policía puede actuar para proteger la vida e integridad de las personas.</w:t>
      </w:r>
    </w:p>
    <w:p w14:paraId="16975F95" w14:textId="77777777" w:rsidR="00555E04" w:rsidRPr="00555E04" w:rsidRDefault="00555E04" w:rsidP="00555E04">
      <w:pPr>
        <w:spacing w:before="100" w:beforeAutospacing="1" w:after="100" w:afterAutospacing="1" w:line="240" w:lineRule="auto"/>
        <w:jc w:val="both"/>
        <w:outlineLvl w:val="3"/>
        <w:rPr>
          <w:rFonts w:ascii="Arial" w:eastAsia="Times New Roman" w:hAnsi="Arial" w:cs="Arial"/>
          <w:b/>
          <w:bCs/>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Ley 2196 de 2022 (Artículo 45, numeral 9)</w:t>
      </w:r>
    </w:p>
    <w:p w14:paraId="483A8309"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La </w:t>
      </w:r>
      <w:r w:rsidRPr="00555E04">
        <w:rPr>
          <w:rFonts w:ascii="Arial" w:eastAsia="Times New Roman" w:hAnsi="Arial" w:cs="Arial"/>
          <w:b/>
          <w:bCs/>
          <w:kern w:val="0"/>
          <w:sz w:val="20"/>
          <w:szCs w:val="20"/>
          <w:lang w:val="es-CO" w:eastAsia="es-CO"/>
          <w14:ligatures w14:val="none"/>
        </w:rPr>
        <w:t>Ley 2196 de 2022</w:t>
      </w:r>
      <w:r w:rsidRPr="00555E04">
        <w:rPr>
          <w:rFonts w:ascii="Arial" w:eastAsia="Times New Roman" w:hAnsi="Arial" w:cs="Arial"/>
          <w:kern w:val="0"/>
          <w:sz w:val="20"/>
          <w:szCs w:val="20"/>
          <w:lang w:val="es-CO" w:eastAsia="es-CO"/>
          <w14:ligatures w14:val="none"/>
        </w:rPr>
        <w:t>, que regula el estatuto disciplinario de la Policía Nacional, en su artículo 45, numeral 9, prohíbe expresamente a los miembros de la Policía realizar actos que constituyan maltrato animal y, como consecuencia, causen la muerte del animal. Sin embargo, este numeral debe interpretarse a la luz de las excepciones previstas en la Ley 1774 de 2016, que permite el sacrificio de un animal si es necesario para defender la vida o integridad de una persona.</w:t>
      </w:r>
    </w:p>
    <w:p w14:paraId="07C1DB0C"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lastRenderedPageBreak/>
        <w:t xml:space="preserve">Dado que el uso de la fuerza en este caso estuvo dirigido a salvar la vida del policía, no constituiría un acto de maltrato animal punible. El principio de </w:t>
      </w:r>
      <w:r w:rsidRPr="00555E04">
        <w:rPr>
          <w:rFonts w:ascii="Arial" w:eastAsia="Times New Roman" w:hAnsi="Arial" w:cs="Arial"/>
          <w:b/>
          <w:bCs/>
          <w:kern w:val="0"/>
          <w:sz w:val="20"/>
          <w:szCs w:val="20"/>
          <w:lang w:val="es-CO" w:eastAsia="es-CO"/>
          <w14:ligatures w14:val="none"/>
        </w:rPr>
        <w:t>legítima defensa</w:t>
      </w:r>
      <w:r w:rsidRPr="00555E04">
        <w:rPr>
          <w:rFonts w:ascii="Arial" w:eastAsia="Times New Roman" w:hAnsi="Arial" w:cs="Arial"/>
          <w:kern w:val="0"/>
          <w:sz w:val="20"/>
          <w:szCs w:val="20"/>
          <w:lang w:val="es-CO" w:eastAsia="es-CO"/>
          <w14:ligatures w14:val="none"/>
        </w:rPr>
        <w:t xml:space="preserve"> es suficiente para eximir de responsabilidad disciplinaria en este contexto.</w:t>
      </w:r>
    </w:p>
    <w:p w14:paraId="32FD089E" w14:textId="77777777" w:rsidR="00555E04" w:rsidRPr="00555E04" w:rsidRDefault="00555E04" w:rsidP="00555E04">
      <w:pPr>
        <w:spacing w:before="100" w:beforeAutospacing="1" w:after="100" w:afterAutospacing="1" w:line="240" w:lineRule="auto"/>
        <w:jc w:val="both"/>
        <w:outlineLvl w:val="3"/>
        <w:rPr>
          <w:rFonts w:ascii="Arial" w:eastAsia="Times New Roman" w:hAnsi="Arial" w:cs="Arial"/>
          <w:b/>
          <w:bCs/>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Resolución 02906 de 2017</w:t>
      </w:r>
    </w:p>
    <w:p w14:paraId="30406426"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Esta resolución establece las pautas generales para el uso de la fuerza y las armas menos letales por parte de la Policía Nacional, basándose en estándares internacionales de derechos humanos. El </w:t>
      </w:r>
      <w:r w:rsidRPr="00555E04">
        <w:rPr>
          <w:rFonts w:ascii="Arial" w:eastAsia="Times New Roman" w:hAnsi="Arial" w:cs="Arial"/>
          <w:b/>
          <w:bCs/>
          <w:kern w:val="0"/>
          <w:sz w:val="20"/>
          <w:szCs w:val="20"/>
          <w:lang w:val="es-CO" w:eastAsia="es-CO"/>
          <w14:ligatures w14:val="none"/>
        </w:rPr>
        <w:t>uso de la fuerza debe ser diferenciado y proporcional</w:t>
      </w:r>
      <w:r w:rsidRPr="00555E04">
        <w:rPr>
          <w:rFonts w:ascii="Arial" w:eastAsia="Times New Roman" w:hAnsi="Arial" w:cs="Arial"/>
          <w:kern w:val="0"/>
          <w:sz w:val="20"/>
          <w:szCs w:val="20"/>
          <w:lang w:val="es-CO" w:eastAsia="es-CO"/>
          <w14:ligatures w14:val="none"/>
        </w:rPr>
        <w:t xml:space="preserve"> a la amenaza percibida.</w:t>
      </w:r>
    </w:p>
    <w:p w14:paraId="314EDBF9"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El agente intentó primero opciones no letales para resolver la situación, como tratar de soltarse físicamente del ataque. Solo cuando estas medidas fracasaron, y la amenaza a su integridad física se volvió inminente y grave, optó por utilizar su arma de dotación. Esto cumple con los estándares de uso proporcional de la fuerza, tal como lo establece la resolución.</w:t>
      </w:r>
    </w:p>
    <w:p w14:paraId="3959B4F3" w14:textId="77777777" w:rsidR="00555E04" w:rsidRPr="00555E04" w:rsidRDefault="00555E04" w:rsidP="00555E04">
      <w:pPr>
        <w:spacing w:before="100" w:beforeAutospacing="1" w:after="100" w:afterAutospacing="1" w:line="240" w:lineRule="auto"/>
        <w:jc w:val="both"/>
        <w:outlineLvl w:val="3"/>
        <w:rPr>
          <w:rFonts w:ascii="Arial" w:eastAsia="Times New Roman" w:hAnsi="Arial" w:cs="Arial"/>
          <w:b/>
          <w:bCs/>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Jurisprudencia Relevante</w:t>
      </w:r>
    </w:p>
    <w:p w14:paraId="417FB1C8"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La jurisprudencia colombiana ha abordado en diferentes ocasiones la </w:t>
      </w:r>
      <w:r w:rsidRPr="00555E04">
        <w:rPr>
          <w:rFonts w:ascii="Arial" w:eastAsia="Times New Roman" w:hAnsi="Arial" w:cs="Arial"/>
          <w:b/>
          <w:bCs/>
          <w:kern w:val="0"/>
          <w:sz w:val="20"/>
          <w:szCs w:val="20"/>
          <w:lang w:val="es-CO" w:eastAsia="es-CO"/>
          <w14:ligatures w14:val="none"/>
        </w:rPr>
        <w:t>legítima defensa</w:t>
      </w:r>
      <w:r w:rsidRPr="00555E04">
        <w:rPr>
          <w:rFonts w:ascii="Arial" w:eastAsia="Times New Roman" w:hAnsi="Arial" w:cs="Arial"/>
          <w:kern w:val="0"/>
          <w:sz w:val="20"/>
          <w:szCs w:val="20"/>
          <w:lang w:val="es-CO" w:eastAsia="es-CO"/>
          <w14:ligatures w14:val="none"/>
        </w:rPr>
        <w:t xml:space="preserve"> frente a ataques de animales peligrosos. En varias sentencias, los tribunales han confirmado que el uso de la fuerza, incluso letal, es permitido cuando un animal representa un peligro inminente para la vida o la integridad física de una persona.</w:t>
      </w:r>
    </w:p>
    <w:p w14:paraId="5AD427E3"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La </w:t>
      </w:r>
      <w:r w:rsidRPr="00555E04">
        <w:rPr>
          <w:rFonts w:ascii="Arial" w:eastAsia="Times New Roman" w:hAnsi="Arial" w:cs="Arial"/>
          <w:b/>
          <w:bCs/>
          <w:kern w:val="0"/>
          <w:sz w:val="20"/>
          <w:szCs w:val="20"/>
          <w:lang w:val="es-CO" w:eastAsia="es-CO"/>
          <w14:ligatures w14:val="none"/>
        </w:rPr>
        <w:t>Corte Constitucional</w:t>
      </w:r>
      <w:r w:rsidRPr="00555E04">
        <w:rPr>
          <w:rFonts w:ascii="Arial" w:eastAsia="Times New Roman" w:hAnsi="Arial" w:cs="Arial"/>
          <w:kern w:val="0"/>
          <w:sz w:val="20"/>
          <w:szCs w:val="20"/>
          <w:lang w:val="es-CO" w:eastAsia="es-CO"/>
          <w14:ligatures w14:val="none"/>
        </w:rPr>
        <w:t xml:space="preserve"> ha destacado que, en situaciones donde la vida humana está en peligro, prevalece la defensa de la vida frente a la protección de los animales, siempre que se cumpla con el criterio de proporcionalidad. En este caso, el perro era de una raza peligrosa, estaba fuera de control, y el policía estaba en riesgo inminente de sufrir graves lesiones, lo que justifica el uso de su arma de dotación.</w:t>
      </w:r>
    </w:p>
    <w:p w14:paraId="180B0E54" w14:textId="77777777" w:rsidR="00555E04" w:rsidRPr="00555E04" w:rsidRDefault="00555E04" w:rsidP="00555E04">
      <w:pPr>
        <w:spacing w:before="100" w:beforeAutospacing="1" w:after="100" w:afterAutospacing="1" w:line="240" w:lineRule="auto"/>
        <w:jc w:val="both"/>
        <w:outlineLvl w:val="2"/>
        <w:rPr>
          <w:rFonts w:ascii="Arial" w:eastAsia="Times New Roman" w:hAnsi="Arial" w:cs="Arial"/>
          <w:b/>
          <w:bCs/>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2. Análisis Jurídico</w:t>
      </w:r>
    </w:p>
    <w:p w14:paraId="7B315E57"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 xml:space="preserve">El actuar del policía al usar su arma de fuego contra el perro Stanford Pitbull estuvo </w:t>
      </w:r>
      <w:r w:rsidRPr="00555E04">
        <w:rPr>
          <w:rFonts w:ascii="Arial" w:eastAsia="Times New Roman" w:hAnsi="Arial" w:cs="Arial"/>
          <w:b/>
          <w:bCs/>
          <w:kern w:val="0"/>
          <w:sz w:val="20"/>
          <w:szCs w:val="20"/>
          <w:lang w:val="es-CO" w:eastAsia="es-CO"/>
          <w14:ligatures w14:val="none"/>
        </w:rPr>
        <w:t>justificado</w:t>
      </w:r>
      <w:r w:rsidRPr="00555E04">
        <w:rPr>
          <w:rFonts w:ascii="Arial" w:eastAsia="Times New Roman" w:hAnsi="Arial" w:cs="Arial"/>
          <w:kern w:val="0"/>
          <w:sz w:val="20"/>
          <w:szCs w:val="20"/>
          <w:lang w:val="es-CO" w:eastAsia="es-CO"/>
          <w14:ligatures w14:val="none"/>
        </w:rPr>
        <w:t xml:space="preserve"> conforme a derecho. La acción estuvo basada en los siguientes aspectos:</w:t>
      </w:r>
    </w:p>
    <w:p w14:paraId="2FFD27CB" w14:textId="77777777" w:rsidR="00555E04" w:rsidRPr="00555E04" w:rsidRDefault="00555E04" w:rsidP="00555E04">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Legítima defensa</w:t>
      </w:r>
      <w:r w:rsidRPr="00555E04">
        <w:rPr>
          <w:rFonts w:ascii="Arial" w:eastAsia="Times New Roman" w:hAnsi="Arial" w:cs="Arial"/>
          <w:kern w:val="0"/>
          <w:sz w:val="20"/>
          <w:szCs w:val="20"/>
          <w:lang w:val="es-CO" w:eastAsia="es-CO"/>
          <w14:ligatures w14:val="none"/>
        </w:rPr>
        <w:t>: El agente estaba bajo un ataque físico directo y grave por parte del animal, lo que justificaba el uso de la fuerza letal para proteger su integridad física, conforme a lo dispuesto en la Ley 1774 de 2016 y la jurisprudencia sobre defensa contra ataques de animales.</w:t>
      </w:r>
    </w:p>
    <w:p w14:paraId="1DEC57B6" w14:textId="77777777" w:rsidR="00555E04" w:rsidRPr="00555E04" w:rsidRDefault="00555E04" w:rsidP="00555E04">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Proporcionalidad y necesidad</w:t>
      </w:r>
      <w:r w:rsidRPr="00555E04">
        <w:rPr>
          <w:rFonts w:ascii="Arial" w:eastAsia="Times New Roman" w:hAnsi="Arial" w:cs="Arial"/>
          <w:kern w:val="0"/>
          <w:sz w:val="20"/>
          <w:szCs w:val="20"/>
          <w:lang w:val="es-CO" w:eastAsia="es-CO"/>
          <w14:ligatures w14:val="none"/>
        </w:rPr>
        <w:t>: La Ley 2054 de 2020 y la Resolución 02906 de 2017 permiten el uso de la fuerza letal cuando sea necesario y no existan otras opciones efectivas. En este caso, el agente intentó sin éxito métodos menos lesivos antes de recurrir al arma de fuego, lo que indica una acción proporcional a la amenaza.</w:t>
      </w:r>
    </w:p>
    <w:p w14:paraId="0EEDA71B" w14:textId="77777777" w:rsidR="00555E04" w:rsidRPr="00555E04" w:rsidRDefault="00555E04" w:rsidP="00555E04">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Consentimiento de la dueña</w:t>
      </w:r>
      <w:r w:rsidRPr="00555E04">
        <w:rPr>
          <w:rFonts w:ascii="Arial" w:eastAsia="Times New Roman" w:hAnsi="Arial" w:cs="Arial"/>
          <w:kern w:val="0"/>
          <w:sz w:val="20"/>
          <w:szCs w:val="20"/>
          <w:lang w:val="es-CO" w:eastAsia="es-CO"/>
          <w14:ligatures w14:val="none"/>
        </w:rPr>
        <w:t>: Aunque el consentimiento de la dueña del perro para el uso del arma refuerza la legitimidad del acto, no es un requisito indispensable para que el policía actúe en defensa propia.</w:t>
      </w:r>
    </w:p>
    <w:p w14:paraId="4E305CF2" w14:textId="77777777" w:rsidR="00555E04" w:rsidRPr="00555E04" w:rsidRDefault="00555E04" w:rsidP="00555E04">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Ley 2196 de 2022 (Estatuto Disciplinario)</w:t>
      </w:r>
      <w:r w:rsidRPr="00555E04">
        <w:rPr>
          <w:rFonts w:ascii="Arial" w:eastAsia="Times New Roman" w:hAnsi="Arial" w:cs="Arial"/>
          <w:kern w:val="0"/>
          <w:sz w:val="20"/>
          <w:szCs w:val="20"/>
          <w:lang w:val="es-CO" w:eastAsia="es-CO"/>
          <w14:ligatures w14:val="none"/>
        </w:rPr>
        <w:t>: No hubo maltrato animal punible, ya que la muerte del perro ocurrió como resultado de una acción legítima para proteger la vida del agente.</w:t>
      </w:r>
    </w:p>
    <w:p w14:paraId="306A9B36" w14:textId="77777777" w:rsidR="00555E04" w:rsidRPr="00555E04" w:rsidRDefault="00555E04" w:rsidP="00555E04">
      <w:pPr>
        <w:spacing w:before="100" w:beforeAutospacing="1" w:after="100" w:afterAutospacing="1" w:line="240" w:lineRule="auto"/>
        <w:jc w:val="both"/>
        <w:outlineLvl w:val="2"/>
        <w:rPr>
          <w:rFonts w:ascii="Arial" w:eastAsia="Times New Roman" w:hAnsi="Arial" w:cs="Arial"/>
          <w:b/>
          <w:bCs/>
          <w:kern w:val="0"/>
          <w:sz w:val="20"/>
          <w:szCs w:val="20"/>
          <w:lang w:val="es-CO" w:eastAsia="es-CO"/>
          <w14:ligatures w14:val="none"/>
        </w:rPr>
      </w:pPr>
      <w:r w:rsidRPr="00555E04">
        <w:rPr>
          <w:rFonts w:ascii="Arial" w:eastAsia="Times New Roman" w:hAnsi="Arial" w:cs="Arial"/>
          <w:b/>
          <w:bCs/>
          <w:kern w:val="0"/>
          <w:sz w:val="20"/>
          <w:szCs w:val="20"/>
          <w:lang w:val="es-CO" w:eastAsia="es-CO"/>
          <w14:ligatures w14:val="none"/>
        </w:rPr>
        <w:t>3. Conclusión</w:t>
      </w:r>
    </w:p>
    <w:p w14:paraId="04D144A8" w14:textId="77777777" w:rsidR="00555E04" w:rsidRPr="00555E04" w:rsidRDefault="00555E04" w:rsidP="00555E04">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555E04">
        <w:rPr>
          <w:rFonts w:ascii="Arial" w:eastAsia="Times New Roman" w:hAnsi="Arial" w:cs="Arial"/>
          <w:kern w:val="0"/>
          <w:sz w:val="20"/>
          <w:szCs w:val="20"/>
          <w:lang w:val="es-CO" w:eastAsia="es-CO"/>
          <w14:ligatures w14:val="none"/>
        </w:rPr>
        <w:t>El actuar del policía al usar su arma de fuego contra el perro de manejo especial está justificado legalmente, en tanto se trata de una acción de legítima defensa para proteger su integridad física. No habría lugar a sanción disciplinaria ni penal, pues se cumplieron los principios de proporcionalidad, necesidad y legítima defensa establecidos en el ordenamiento jurídico colombiano.</w:t>
      </w:r>
    </w:p>
    <w:p w14:paraId="6B4392EE" w14:textId="77777777" w:rsidR="00193930" w:rsidRPr="00555E04" w:rsidRDefault="00193930" w:rsidP="00555E04">
      <w:pPr>
        <w:jc w:val="both"/>
        <w:rPr>
          <w:rFonts w:ascii="Arial" w:hAnsi="Arial" w:cs="Arial"/>
          <w:sz w:val="20"/>
          <w:szCs w:val="20"/>
        </w:rPr>
      </w:pPr>
    </w:p>
    <w:sectPr w:rsidR="00193930" w:rsidRPr="00555E04"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254063"/>
    <w:multiLevelType w:val="multilevel"/>
    <w:tmpl w:val="9F50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3611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A"/>
    <w:rsid w:val="00193930"/>
    <w:rsid w:val="00233850"/>
    <w:rsid w:val="00281D63"/>
    <w:rsid w:val="002D36F3"/>
    <w:rsid w:val="003E07D3"/>
    <w:rsid w:val="00555E04"/>
    <w:rsid w:val="007824C9"/>
    <w:rsid w:val="00894AF3"/>
    <w:rsid w:val="00CF6D43"/>
    <w:rsid w:val="00E53CE4"/>
    <w:rsid w:val="00E728EA"/>
    <w:rsid w:val="00E954ED"/>
    <w:rsid w:val="00EF1BE3"/>
    <w:rsid w:val="00EF485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599F9"/>
  <w15:chartTrackingRefBased/>
  <w15:docId w15:val="{42539AD0-945E-428F-9A5C-6EA8C32D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555E04"/>
    <w:pPr>
      <w:spacing w:before="100" w:beforeAutospacing="1" w:after="100" w:afterAutospacing="1" w:line="240" w:lineRule="auto"/>
      <w:outlineLvl w:val="2"/>
    </w:pPr>
    <w:rPr>
      <w:rFonts w:ascii="Times New Roman" w:eastAsia="Times New Roman" w:hAnsi="Times New Roman" w:cs="Times New Roman"/>
      <w:b/>
      <w:bCs/>
      <w:kern w:val="0"/>
      <w:sz w:val="27"/>
      <w:szCs w:val="27"/>
      <w:lang w:val="es-CO" w:eastAsia="es-CO"/>
      <w14:ligatures w14:val="none"/>
    </w:rPr>
  </w:style>
  <w:style w:type="paragraph" w:styleId="Ttulo4">
    <w:name w:val="heading 4"/>
    <w:basedOn w:val="Normal"/>
    <w:link w:val="Ttulo4Car"/>
    <w:uiPriority w:val="9"/>
    <w:qFormat/>
    <w:rsid w:val="00555E04"/>
    <w:pPr>
      <w:spacing w:before="100" w:beforeAutospacing="1" w:after="100" w:afterAutospacing="1" w:line="240" w:lineRule="auto"/>
      <w:outlineLvl w:val="3"/>
    </w:pPr>
    <w:rPr>
      <w:rFonts w:ascii="Times New Roman" w:eastAsia="Times New Roman" w:hAnsi="Times New Roman" w:cs="Times New Roman"/>
      <w:b/>
      <w:bCs/>
      <w:kern w:val="0"/>
      <w:sz w:val="24"/>
      <w:szCs w:val="24"/>
      <w:lang w:val="es-CO" w:eastAsia="es-CO"/>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basedOn w:val="Fuentedeprrafopredeter"/>
    <w:uiPriority w:val="22"/>
    <w:qFormat/>
    <w:rsid w:val="00E728EA"/>
    <w:rPr>
      <w:b/>
      <w:bCs/>
    </w:rPr>
  </w:style>
  <w:style w:type="character" w:styleId="nfasis">
    <w:name w:val="Emphasis"/>
    <w:basedOn w:val="Fuentedeprrafopredeter"/>
    <w:uiPriority w:val="20"/>
    <w:qFormat/>
    <w:rsid w:val="00E728EA"/>
    <w:rPr>
      <w:i/>
      <w:iCs/>
    </w:rPr>
  </w:style>
  <w:style w:type="character" w:customStyle="1" w:styleId="Ttulo3Car">
    <w:name w:val="Título 3 Car"/>
    <w:basedOn w:val="Fuentedeprrafopredeter"/>
    <w:link w:val="Ttulo3"/>
    <w:uiPriority w:val="9"/>
    <w:rsid w:val="00555E04"/>
    <w:rPr>
      <w:rFonts w:ascii="Times New Roman" w:eastAsia="Times New Roman" w:hAnsi="Times New Roman" w:cs="Times New Roman"/>
      <w:b/>
      <w:bCs/>
      <w:kern w:val="0"/>
      <w:sz w:val="27"/>
      <w:szCs w:val="27"/>
      <w:lang w:val="es-CO" w:eastAsia="es-CO"/>
      <w14:ligatures w14:val="none"/>
    </w:rPr>
  </w:style>
  <w:style w:type="character" w:customStyle="1" w:styleId="Ttulo4Car">
    <w:name w:val="Título 4 Car"/>
    <w:basedOn w:val="Fuentedeprrafopredeter"/>
    <w:link w:val="Ttulo4"/>
    <w:uiPriority w:val="9"/>
    <w:rsid w:val="00555E04"/>
    <w:rPr>
      <w:rFonts w:ascii="Times New Roman" w:eastAsia="Times New Roman" w:hAnsi="Times New Roman" w:cs="Times New Roman"/>
      <w:b/>
      <w:bCs/>
      <w:kern w:val="0"/>
      <w:sz w:val="24"/>
      <w:szCs w:val="24"/>
      <w:lang w:val="es-CO" w:eastAsia="es-CO"/>
      <w14:ligatures w14:val="none"/>
    </w:rPr>
  </w:style>
  <w:style w:type="paragraph" w:styleId="NormalWeb">
    <w:name w:val="Normal (Web)"/>
    <w:basedOn w:val="Normal"/>
    <w:uiPriority w:val="99"/>
    <w:semiHidden/>
    <w:unhideWhenUsed/>
    <w:rsid w:val="00555E04"/>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42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1039</Words>
  <Characters>5717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4</cp:revision>
  <dcterms:created xsi:type="dcterms:W3CDTF">2024-09-14T22:23:00Z</dcterms:created>
  <dcterms:modified xsi:type="dcterms:W3CDTF">2026-05-16T04:01:00Z</dcterms:modified>
</cp:coreProperties>
</file>