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C56382" w14:textId="4B978749" w:rsidR="000F108B" w:rsidRDefault="00812867" w:rsidP="00235853">
      <w:r>
        <w:rPr>
          <w:noProof/>
        </w:rPr>
        <w:drawing>
          <wp:anchor distT="0" distB="0" distL="114300" distR="114300" simplePos="0" relativeHeight="251686912" behindDoc="1" locked="0" layoutInCell="1" allowOverlap="1" wp14:anchorId="0F2DD8E2" wp14:editId="19C98986">
            <wp:simplePos x="0" y="0"/>
            <wp:positionH relativeFrom="column">
              <wp:posOffset>-647700</wp:posOffset>
            </wp:positionH>
            <wp:positionV relativeFrom="paragraph">
              <wp:posOffset>-1295400</wp:posOffset>
            </wp:positionV>
            <wp:extent cx="8199601" cy="16196634"/>
            <wp:effectExtent l="0" t="0" r="5080" b="0"/>
            <wp:wrapNone/>
            <wp:docPr id="417099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9949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8199601" cy="16196634"/>
                    </a:xfrm>
                    <a:prstGeom prst="rect">
                      <a:avLst/>
                    </a:prstGeom>
                  </pic:spPr>
                </pic:pic>
              </a:graphicData>
            </a:graphic>
            <wp14:sizeRelH relativeFrom="page">
              <wp14:pctWidth>0</wp14:pctWidth>
            </wp14:sizeRelH>
            <wp14:sizeRelV relativeFrom="page">
              <wp14:pctHeight>0</wp14:pctHeight>
            </wp14:sizeRelV>
          </wp:anchor>
        </w:drawing>
      </w:r>
      <w:r w:rsidR="00E23ACE">
        <w:rPr>
          <w:noProof/>
        </w:rPr>
        <mc:AlternateContent>
          <mc:Choice Requires="wpg">
            <w:drawing>
              <wp:anchor distT="0" distB="0" distL="114300" distR="114300" simplePos="0" relativeHeight="251677696" behindDoc="0" locked="0" layoutInCell="1" allowOverlap="1" wp14:anchorId="62F50521" wp14:editId="1BB4DFE2">
                <wp:simplePos x="0" y="0"/>
                <wp:positionH relativeFrom="column">
                  <wp:posOffset>-746760</wp:posOffset>
                </wp:positionH>
                <wp:positionV relativeFrom="paragraph">
                  <wp:posOffset>-914400</wp:posOffset>
                </wp:positionV>
                <wp:extent cx="7692391" cy="10741025"/>
                <wp:effectExtent l="0" t="0" r="0" b="15875"/>
                <wp:wrapNone/>
                <wp:docPr id="78740683" name="Group 31"/>
                <wp:cNvGraphicFramePr/>
                <a:graphic xmlns:a="http://schemas.openxmlformats.org/drawingml/2006/main">
                  <a:graphicData uri="http://schemas.microsoft.com/office/word/2010/wordprocessingGroup">
                    <wpg:wgp>
                      <wpg:cNvGrpSpPr/>
                      <wpg:grpSpPr>
                        <a:xfrm>
                          <a:off x="0" y="0"/>
                          <a:ext cx="7692391" cy="10741025"/>
                          <a:chOff x="-73137" y="-181864"/>
                          <a:chExt cx="7692630" cy="10741152"/>
                        </a:xfrm>
                      </wpg:grpSpPr>
                      <wps:wsp>
                        <wps:cNvPr id="698615390" name="Rectangle 26"/>
                        <wps:cNvSpPr/>
                        <wps:spPr>
                          <a:xfrm>
                            <a:off x="-73137" y="-181864"/>
                            <a:ext cx="7619490" cy="10741152"/>
                          </a:xfrm>
                          <a:prstGeom prst="rect">
                            <a:avLst/>
                          </a:prstGeom>
                          <a:solidFill>
                            <a:schemeClr val="tx1">
                              <a:alpha val="19000"/>
                            </a:schemeClr>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032F26" w14:textId="2C4C7635" w:rsidR="00F72084" w:rsidRDefault="00F72084" w:rsidP="00F7208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621601" name="Text Box 27"/>
                        <wps:cNvSpPr txBox="1"/>
                        <wps:spPr>
                          <a:xfrm>
                            <a:off x="-73136" y="1901952"/>
                            <a:ext cx="7692629" cy="512064"/>
                          </a:xfrm>
                          <a:prstGeom prst="rect">
                            <a:avLst/>
                          </a:prstGeom>
                          <a:noFill/>
                          <a:ln w="6350">
                            <a:noFill/>
                          </a:ln>
                        </wps:spPr>
                        <wps:txbx>
                          <w:txbxContent>
                            <w:p w14:paraId="0923727F" w14:textId="67CFD341" w:rsidR="001F059D" w:rsidRPr="001C6A9D" w:rsidRDefault="00417678" w:rsidP="001C6A9D">
                              <w:pPr>
                                <w:pStyle w:val="Title"/>
                              </w:pPr>
                              <w:r>
                                <w:t xml:space="preserve">Quarter Final </w:t>
                              </w:r>
                              <w:r w:rsidR="00F400FE" w:rsidRPr="00F400FE">
                                <w:t>Submission</w:t>
                              </w:r>
                              <w: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844352" name="Straight Connector 27"/>
                        <wps:cNvCnPr/>
                        <wps:spPr>
                          <a:xfrm>
                            <a:off x="317019" y="1597660"/>
                            <a:ext cx="6913077"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76197336" name="Straight Connector 27"/>
                        <wps:cNvCnPr/>
                        <wps:spPr>
                          <a:xfrm>
                            <a:off x="317019" y="2682748"/>
                            <a:ext cx="691307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74965720" name="Text Box 27"/>
                        <wps:cNvSpPr txBox="1"/>
                        <wps:spPr>
                          <a:xfrm>
                            <a:off x="0" y="2950464"/>
                            <a:ext cx="7546340" cy="512064"/>
                          </a:xfrm>
                          <a:prstGeom prst="rect">
                            <a:avLst/>
                          </a:prstGeom>
                          <a:noFill/>
                          <a:ln w="6350">
                            <a:noFill/>
                          </a:ln>
                        </wps:spPr>
                        <wps:txbx>
                          <w:txbxContent>
                            <w:p w14:paraId="7B295F16" w14:textId="438CD413" w:rsidR="00262BED" w:rsidRPr="00262BED" w:rsidRDefault="00417678" w:rsidP="00235853">
                              <w:pPr>
                                <w:pStyle w:val="Subtitle"/>
                              </w:pPr>
                              <w:r>
                                <w:t>Ashurst Beginners Moot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F50521" id="Group 31" o:spid="_x0000_s1026" style="position:absolute;margin-left:-58.8pt;margin-top:-1in;width:605.7pt;height:845.75pt;z-index:251677696;mso-width-relative:margin;mso-height-relative:margin" coordorigin="-731,-1818" coordsize="76926,107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">
                <v:rect id="Rectangle 26" o:spid="_x0000_s1027" style="position:absolute;left:-731;top:-1818;width:76194;height:1074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" fillcolor="black [3213]" strokecolor="#030e13 [484]" strokeweight="1pt">
                  <v:fill opacity="12336f"/>
                  <v:textbox>
                    <w:txbxContent>
                      <w:p w14:paraId="50032F26" w14:textId="2C4C7635" w:rsidR="00F72084" w:rsidRDefault="00F72084" w:rsidP="00F72084">
                        <w:pPr>
                          <w:jc w:val="center"/>
                        </w:pPr>
                      </w:p>
                    </w:txbxContent>
                  </v:textbox>
                </v:rect>
                <v:shapetype id="_x0000_t202" coordsize="21600,21600" o:spt="202" path="m,l,21600r21600,l21600,xe">
                  <v:stroke joinstyle="miter"/>
                  <v:path gradientshapeok="t" o:connecttype="rect"/>
                </v:shapetype>
                <v:shape id="_x0000_s1028" type="#_x0000_t202" style="position:absolute;left:-731;top:19019;width:76925;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" filled="f" stroked="f" strokeweight=".5pt">
                  <v:textbox>
                    <w:txbxContent>
                      <w:p w14:paraId="0923727F" w14:textId="67CFD341" w:rsidR="001F059D" w:rsidRPr="001C6A9D" w:rsidRDefault="00417678" w:rsidP="001C6A9D">
                        <w:pPr>
                          <w:pStyle w:val="Title"/>
                        </w:pPr>
                        <w:r>
                          <w:t xml:space="preserve">Quarter Final </w:t>
                        </w:r>
                        <w:r w:rsidR="00F400FE" w:rsidRPr="00F400FE">
                          <w:t>Submission</w:t>
                        </w:r>
                        <w:r>
                          <w:t>s</w:t>
                        </w:r>
                      </w:p>
                    </w:txbxContent>
                  </v:textbox>
                </v:shape>
                <v:line id="Straight Connector 27" o:spid="_x0000_s1029" style="position:absolute;visibility:visible;mso-wrap-style:square" from="3170,15976" to="72300,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" strokecolor="white [3212]" strokeweight="2pt">
                  <v:stroke joinstyle="miter"/>
                </v:line>
                <v:line id="Straight Connector 27" o:spid="_x0000_s1030" style="position:absolute;visibility:visible;mso-wrap-style:square" from="3170,26827" to="72300,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" strokecolor="white [3212]" strokeweight="2pt">
                  <v:stroke joinstyle="miter"/>
                </v:line>
                <v:shape id="_x0000_s1031" type="#_x0000_t202" style="position:absolute;top:29504;width:75463;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" filled="f" stroked="f" strokeweight=".5pt">
                  <v:textbox>
                    <w:txbxContent>
                      <w:p w14:paraId="7B295F16" w14:textId="438CD413" w:rsidR="00262BED" w:rsidRPr="00262BED" w:rsidRDefault="00417678" w:rsidP="00235853">
                        <w:pPr>
                          <w:pStyle w:val="Subtitle"/>
                        </w:pPr>
                        <w:proofErr w:type="spellStart"/>
                        <w:r>
                          <w:t>Ashurst</w:t>
                        </w:r>
                        <w:proofErr w:type="spellEnd"/>
                        <w:r>
                          <w:t xml:space="preserve"> Beginners Moot 2025</w:t>
                        </w:r>
                      </w:p>
                    </w:txbxContent>
                  </v:textbox>
                </v:shape>
              </v:group>
            </w:pict>
          </mc:Fallback>
        </mc:AlternateContent>
      </w:r>
      <w:r w:rsidR="00E23ACE">
        <w:rPr>
          <w:noProof/>
        </w:rPr>
        <mc:AlternateContent>
          <mc:Choice Requires="wps">
            <w:drawing>
              <wp:anchor distT="0" distB="0" distL="114300" distR="114300" simplePos="0" relativeHeight="251685888" behindDoc="0" locked="0" layoutInCell="1" allowOverlap="1" wp14:anchorId="2612F2EA" wp14:editId="7C8F7065">
                <wp:simplePos x="0" y="0"/>
                <wp:positionH relativeFrom="column">
                  <wp:posOffset>4639075</wp:posOffset>
                </wp:positionH>
                <wp:positionV relativeFrom="paragraph">
                  <wp:posOffset>8597265</wp:posOffset>
                </wp:positionV>
                <wp:extent cx="2048256" cy="382397"/>
                <wp:effectExtent l="0" t="0" r="0" b="0"/>
                <wp:wrapNone/>
                <wp:docPr id="2036535871" name="Text Box 21"/>
                <wp:cNvGraphicFramePr/>
                <a:graphic xmlns:a="http://schemas.openxmlformats.org/drawingml/2006/main">
                  <a:graphicData uri="http://schemas.microsoft.com/office/word/2010/wordprocessingShape">
                    <wps:wsp>
                      <wps:cNvSpPr txBox="1"/>
                      <wps:spPr>
                        <a:xfrm>
                          <a:off x="0" y="0"/>
                          <a:ext cx="2048256" cy="382397"/>
                        </a:xfrm>
                        <a:prstGeom prst="rect">
                          <a:avLst/>
                        </a:prstGeom>
                        <a:noFill/>
                        <a:ln w="6350">
                          <a:noFill/>
                        </a:ln>
                      </wps:spPr>
                      <wps:txbx>
                        <w:txbxContent>
                          <w:p w14:paraId="27451D67" w14:textId="6A1B16E2" w:rsidR="00262BED" w:rsidRPr="00262BED" w:rsidRDefault="00262BED" w:rsidP="00235853">
                            <w:pPr>
                              <w:pStyle w:val="Subtitle"/>
                            </w:pPr>
                            <w:r w:rsidRPr="00262BED">
                              <w:t xml:space="preserve">Law Student Review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2F2EA" id="Text Box 21" o:spid="_x0000_s1032" type="#_x0000_t202" style="position:absolute;margin-left:365.3pt;margin-top:676.95pt;width:161.3pt;height:3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" filled="f" stroked="f" strokeweight=".5pt">
                <v:textbox>
                  <w:txbxContent>
                    <w:p w14:paraId="27451D67" w14:textId="6A1B16E2" w:rsidR="00262BED" w:rsidRPr="00262BED" w:rsidRDefault="00262BED" w:rsidP="00235853">
                      <w:pPr>
                        <w:pStyle w:val="Subtitle"/>
                      </w:pPr>
                      <w:r w:rsidRPr="00262BED">
                        <w:t xml:space="preserve">Law Student Review </w:t>
                      </w:r>
                    </w:p>
                  </w:txbxContent>
                </v:textbox>
              </v:shape>
            </w:pict>
          </mc:Fallback>
        </mc:AlternateContent>
      </w:r>
      <w:r w:rsidR="00E23ACE">
        <w:rPr>
          <w:noProof/>
        </w:rPr>
        <mc:AlternateContent>
          <mc:Choice Requires="wps">
            <w:drawing>
              <wp:anchor distT="0" distB="0" distL="114300" distR="114300" simplePos="0" relativeHeight="251684864" behindDoc="0" locked="0" layoutInCell="1" allowOverlap="1" wp14:anchorId="7A1C0EEE" wp14:editId="2D377CB7">
                <wp:simplePos x="0" y="0"/>
                <wp:positionH relativeFrom="column">
                  <wp:posOffset>-598552</wp:posOffset>
                </wp:positionH>
                <wp:positionV relativeFrom="paragraph">
                  <wp:posOffset>8594852</wp:posOffset>
                </wp:positionV>
                <wp:extent cx="2047875" cy="389890"/>
                <wp:effectExtent l="0" t="0" r="0" b="0"/>
                <wp:wrapNone/>
                <wp:docPr id="1600177898" name="Text Box 21"/>
                <wp:cNvGraphicFramePr/>
                <a:graphic xmlns:a="http://schemas.openxmlformats.org/drawingml/2006/main">
                  <a:graphicData uri="http://schemas.microsoft.com/office/word/2010/wordprocessingShape">
                    <wps:wsp>
                      <wps:cNvSpPr txBox="1"/>
                      <wps:spPr>
                        <a:xfrm>
                          <a:off x="0" y="0"/>
                          <a:ext cx="2047875" cy="389890"/>
                        </a:xfrm>
                        <a:prstGeom prst="rect">
                          <a:avLst/>
                        </a:prstGeom>
                        <a:noFill/>
                        <a:ln w="6350">
                          <a:noFill/>
                        </a:ln>
                      </wps:spPr>
                      <wps:txbx>
                        <w:txbxContent>
                          <w:p w14:paraId="3B17B765" w14:textId="705FD0F2" w:rsidR="000F108B" w:rsidRDefault="000F108B" w:rsidP="00417678">
                            <w:pPr>
                              <w:pStyle w:val="Subtitle"/>
                            </w:pPr>
                            <w:r w:rsidRPr="00262BED">
                              <w:t xml:space="preserve">By </w:t>
                            </w:r>
                            <w:r w:rsidR="00417678">
                              <w:t>Andrew Lin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C0EEE" id="_x0000_s1033" type="#_x0000_t202" style="position:absolute;margin-left:-47.15pt;margin-top:676.75pt;width:161.25pt;height:30.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" filled="f" stroked="f" strokeweight=".5pt">
                <v:textbox>
                  <w:txbxContent>
                    <w:p w14:paraId="3B17B765" w14:textId="705FD0F2" w:rsidR="000F108B" w:rsidRDefault="000F108B" w:rsidP="00417678">
                      <w:pPr>
                        <w:pStyle w:val="Subtitle"/>
                      </w:pPr>
                      <w:r w:rsidRPr="00262BED">
                        <w:t xml:space="preserve">By </w:t>
                      </w:r>
                      <w:r w:rsidR="00417678">
                        <w:t>Andrew Lin</w:t>
                      </w:r>
                    </w:p>
                  </w:txbxContent>
                </v:textbox>
              </v:shape>
            </w:pict>
          </mc:Fallback>
        </mc:AlternateContent>
      </w:r>
      <w:r w:rsidR="007A4BF8">
        <w:rPr>
          <w:noProof/>
        </w:rPr>
        <mc:AlternateContent>
          <mc:Choice Requires="wps">
            <w:drawing>
              <wp:anchor distT="0" distB="0" distL="114300" distR="114300" simplePos="0" relativeHeight="251667456" behindDoc="0" locked="0" layoutInCell="1" allowOverlap="1" wp14:anchorId="7760C708" wp14:editId="15B218CC">
                <wp:simplePos x="0" y="0"/>
                <wp:positionH relativeFrom="column">
                  <wp:posOffset>-746760</wp:posOffset>
                </wp:positionH>
                <wp:positionV relativeFrom="paragraph">
                  <wp:posOffset>-914400</wp:posOffset>
                </wp:positionV>
                <wp:extent cx="7107428" cy="0"/>
                <wp:effectExtent l="0" t="12700" r="17780" b="12700"/>
                <wp:wrapNone/>
                <wp:docPr id="38297992" name="Straight Connector 27"/>
                <wp:cNvGraphicFramePr/>
                <a:graphic xmlns:a="http://schemas.openxmlformats.org/drawingml/2006/main">
                  <a:graphicData uri="http://schemas.microsoft.com/office/word/2010/wordprocessingShape">
                    <wps:wsp>
                      <wps:cNvCnPr/>
                      <wps:spPr>
                        <a:xfrm>
                          <a:off x="0" y="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26F7FF" id="Straight Connector 2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8pt,-1in" to="500.85pt,-1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" strokecolor="white [3212]" strokeweight="2pt">
                <v:stroke joinstyle="miter"/>
              </v:line>
            </w:pict>
          </mc:Fallback>
        </mc:AlternateContent>
      </w:r>
      <w:r w:rsidR="000F108B">
        <w:br w:type="page"/>
      </w:r>
    </w:p>
    <w:p w14:paraId="006C7ED0" w14:textId="13056A95" w:rsidR="000213BD" w:rsidRPr="002D65A1" w:rsidRDefault="000213BD" w:rsidP="000213BD">
      <w:pPr>
        <w:keepNext/>
        <w:tabs>
          <w:tab w:val="left" w:pos="426"/>
        </w:tabs>
        <w:spacing w:after="200"/>
        <w:ind w:left="420" w:hanging="420"/>
        <w:jc w:val="center"/>
        <w:outlineLvl w:val="1"/>
        <w:rPr>
          <w:rFonts w:eastAsia="Calibri"/>
          <w:b/>
          <w:sz w:val="28"/>
          <w:szCs w:val="28"/>
        </w:rPr>
      </w:pPr>
      <w:r w:rsidRPr="002D65A1">
        <w:rPr>
          <w:rFonts w:eastAsia="Calibri"/>
          <w:b/>
          <w:sz w:val="28"/>
          <w:szCs w:val="28"/>
        </w:rPr>
        <w:lastRenderedPageBreak/>
        <w:t>WRITTEN SUBMISSION FOR THE RESPONDENT</w:t>
      </w:r>
    </w:p>
    <w:p w14:paraId="5D49B299" w14:textId="77777777" w:rsidR="000213BD" w:rsidRPr="000213BD" w:rsidRDefault="000213BD" w:rsidP="000213BD">
      <w:pPr>
        <w:keepNext/>
        <w:tabs>
          <w:tab w:val="left" w:pos="426"/>
        </w:tabs>
        <w:spacing w:after="200"/>
        <w:ind w:left="420" w:hanging="420"/>
        <w:jc w:val="both"/>
        <w:outlineLvl w:val="1"/>
        <w:rPr>
          <w:rFonts w:eastAsia="Calibri"/>
          <w:b/>
        </w:rPr>
      </w:pPr>
      <w:r w:rsidRPr="000213BD">
        <w:rPr>
          <w:rFonts w:eastAsia="Calibri"/>
          <w:b/>
        </w:rPr>
        <w:t>I</w:t>
      </w:r>
      <w:r w:rsidRPr="000213BD">
        <w:rPr>
          <w:rFonts w:eastAsia="Calibri"/>
          <w:b/>
        </w:rPr>
        <w:tab/>
        <w:t>Vicarious liability could not be established.</w:t>
      </w:r>
    </w:p>
    <w:p w14:paraId="6F558AE5" w14:textId="77777777" w:rsidR="000213BD" w:rsidRPr="000213BD" w:rsidRDefault="000213BD" w:rsidP="000213BD">
      <w:pPr>
        <w:numPr>
          <w:ilvl w:val="0"/>
          <w:numId w:val="1"/>
        </w:numPr>
        <w:spacing w:after="200"/>
        <w:jc w:val="both"/>
        <w:rPr>
          <w:rFonts w:eastAsia="Calibri"/>
        </w:rPr>
      </w:pPr>
      <w:r w:rsidRPr="000213BD">
        <w:rPr>
          <w:rFonts w:eastAsia="Calibri"/>
        </w:rPr>
        <w:t>To establish vicarious liability requires four elements:</w:t>
      </w:r>
      <w:r w:rsidRPr="000213BD">
        <w:rPr>
          <w:rFonts w:eastAsia="Calibri"/>
          <w:vertAlign w:val="superscript"/>
        </w:rPr>
        <w:footnoteReference w:id="1"/>
      </w:r>
    </w:p>
    <w:p w14:paraId="3FBE6D66" w14:textId="77777777" w:rsidR="000213BD" w:rsidRPr="000213BD" w:rsidRDefault="000213BD" w:rsidP="000213BD">
      <w:pPr>
        <w:numPr>
          <w:ilvl w:val="1"/>
          <w:numId w:val="1"/>
        </w:numPr>
        <w:spacing w:after="200"/>
        <w:jc w:val="both"/>
        <w:rPr>
          <w:rFonts w:eastAsia="Calibri"/>
        </w:rPr>
      </w:pPr>
      <w:r w:rsidRPr="000213BD">
        <w:rPr>
          <w:rFonts w:eastAsia="Calibri"/>
        </w:rPr>
        <w:t>Wrongful act by tortfeasor.</w:t>
      </w:r>
    </w:p>
    <w:p w14:paraId="0777C5CA" w14:textId="77777777" w:rsidR="000213BD" w:rsidRPr="000213BD" w:rsidRDefault="000213BD" w:rsidP="000213BD">
      <w:pPr>
        <w:numPr>
          <w:ilvl w:val="1"/>
          <w:numId w:val="1"/>
        </w:numPr>
        <w:spacing w:after="200"/>
        <w:jc w:val="both"/>
        <w:rPr>
          <w:rFonts w:eastAsia="Calibri"/>
        </w:rPr>
      </w:pPr>
      <w:r w:rsidRPr="000213BD">
        <w:rPr>
          <w:rFonts w:eastAsia="Calibri"/>
        </w:rPr>
        <w:t>Injury.</w:t>
      </w:r>
    </w:p>
    <w:p w14:paraId="18EB80CC" w14:textId="77777777" w:rsidR="000213BD" w:rsidRPr="000213BD" w:rsidRDefault="000213BD" w:rsidP="000213BD">
      <w:pPr>
        <w:numPr>
          <w:ilvl w:val="1"/>
          <w:numId w:val="1"/>
        </w:numPr>
        <w:spacing w:after="200"/>
        <w:jc w:val="both"/>
        <w:rPr>
          <w:rFonts w:eastAsia="Calibri"/>
        </w:rPr>
      </w:pPr>
      <w:r w:rsidRPr="000213BD">
        <w:rPr>
          <w:rFonts w:eastAsia="Calibri"/>
        </w:rPr>
        <w:t>Requisite relationship between tortfeasor and defendant.</w:t>
      </w:r>
    </w:p>
    <w:p w14:paraId="1DB8BE3F" w14:textId="77777777" w:rsidR="000213BD" w:rsidRPr="000213BD" w:rsidRDefault="000213BD" w:rsidP="000213BD">
      <w:pPr>
        <w:numPr>
          <w:ilvl w:val="1"/>
          <w:numId w:val="1"/>
        </w:numPr>
        <w:spacing w:after="200"/>
        <w:jc w:val="both"/>
        <w:rPr>
          <w:rFonts w:eastAsia="Calibri"/>
        </w:rPr>
      </w:pPr>
      <w:r w:rsidRPr="000213BD">
        <w:rPr>
          <w:rFonts w:eastAsia="Calibri"/>
        </w:rPr>
        <w:t xml:space="preserve">That tortfeasor’s wrongful act was within scope of employment or sufficiently connected to employment for vicarious liability to arise. </w:t>
      </w:r>
    </w:p>
    <w:p w14:paraId="536729D6" w14:textId="77777777" w:rsidR="000213BD" w:rsidRPr="000213BD" w:rsidRDefault="000213BD" w:rsidP="000213BD">
      <w:pPr>
        <w:numPr>
          <w:ilvl w:val="0"/>
          <w:numId w:val="1"/>
        </w:numPr>
        <w:spacing w:after="200"/>
        <w:jc w:val="both"/>
        <w:rPr>
          <w:rFonts w:eastAsia="Calibri"/>
        </w:rPr>
      </w:pPr>
      <w:r w:rsidRPr="000213BD">
        <w:rPr>
          <w:rFonts w:eastAsia="Calibri"/>
        </w:rPr>
        <w:t>The elements in dispute here are (c) and (d).</w:t>
      </w:r>
      <w:r w:rsidRPr="000213BD">
        <w:rPr>
          <w:rFonts w:eastAsia="Calibri"/>
          <w:vertAlign w:val="superscript"/>
        </w:rPr>
        <w:footnoteReference w:id="2"/>
      </w:r>
    </w:p>
    <w:p w14:paraId="37BCE45D" w14:textId="59BA0F52" w:rsidR="000213BD" w:rsidRPr="008E7CDB" w:rsidRDefault="002D65A1" w:rsidP="000213BD">
      <w:pPr>
        <w:spacing w:after="200"/>
        <w:jc w:val="center"/>
        <w:rPr>
          <w:rFonts w:eastAsia="Calibri"/>
          <w:b/>
          <w:bCs/>
          <w:i/>
          <w:sz w:val="28"/>
          <w:szCs w:val="28"/>
        </w:rPr>
      </w:pPr>
      <w:r w:rsidRPr="008E7CDB">
        <w:rPr>
          <w:rFonts w:eastAsia="Calibri"/>
          <w:b/>
          <w:bCs/>
          <w:sz w:val="28"/>
          <w:szCs w:val="28"/>
        </w:rPr>
        <w:t>A</w:t>
      </w:r>
      <w:r w:rsidR="000213BD" w:rsidRPr="008E7CDB">
        <w:rPr>
          <w:rFonts w:eastAsia="Calibri"/>
          <w:b/>
          <w:bCs/>
          <w:sz w:val="28"/>
          <w:szCs w:val="28"/>
        </w:rPr>
        <w:tab/>
      </w:r>
      <w:r w:rsidR="000213BD" w:rsidRPr="008E7CDB">
        <w:rPr>
          <w:rFonts w:eastAsia="Calibri"/>
          <w:b/>
          <w:bCs/>
          <w:i/>
          <w:sz w:val="28"/>
          <w:szCs w:val="28"/>
        </w:rPr>
        <w:t>W</w:t>
      </w:r>
      <w:r w:rsidR="008E7CDB">
        <w:rPr>
          <w:rFonts w:eastAsia="Calibri"/>
          <w:b/>
          <w:bCs/>
          <w:i/>
          <w:sz w:val="28"/>
          <w:szCs w:val="28"/>
        </w:rPr>
        <w:t>HO IS AN EMPLOYEE</w:t>
      </w:r>
      <w:r w:rsidR="000213BD" w:rsidRPr="008E7CDB">
        <w:rPr>
          <w:rFonts w:eastAsia="Calibri"/>
          <w:b/>
          <w:bCs/>
          <w:i/>
          <w:sz w:val="28"/>
          <w:szCs w:val="28"/>
        </w:rPr>
        <w:t>?</w:t>
      </w:r>
    </w:p>
    <w:p w14:paraId="649193A8" w14:textId="77777777" w:rsidR="000213BD" w:rsidRPr="000213BD" w:rsidRDefault="000213BD" w:rsidP="000213BD">
      <w:pPr>
        <w:numPr>
          <w:ilvl w:val="0"/>
          <w:numId w:val="1"/>
        </w:numPr>
        <w:spacing w:after="200"/>
        <w:jc w:val="both"/>
        <w:rPr>
          <w:rFonts w:eastAsia="Calibri"/>
        </w:rPr>
      </w:pPr>
      <w:r w:rsidRPr="000213BD">
        <w:rPr>
          <w:rFonts w:eastAsia="Calibri"/>
        </w:rPr>
        <w:t>The test for identifying an employment relationship has undergone significant clarification by the High Court of Australia. While earlier authorities adopted a multi-factorial approach,</w:t>
      </w:r>
      <w:r w:rsidRPr="000213BD">
        <w:rPr>
          <w:rFonts w:eastAsia="Calibri"/>
          <w:vertAlign w:val="superscript"/>
        </w:rPr>
        <w:footnoteReference w:id="3"/>
      </w:r>
      <w:r w:rsidRPr="000213BD">
        <w:rPr>
          <w:rFonts w:eastAsia="Calibri"/>
        </w:rPr>
        <w:t xml:space="preserve"> this methodology has since been refined.</w:t>
      </w:r>
    </w:p>
    <w:p w14:paraId="3FDA85FF" w14:textId="77777777" w:rsidR="000213BD" w:rsidRPr="000213BD" w:rsidRDefault="000213BD" w:rsidP="000213BD">
      <w:pPr>
        <w:numPr>
          <w:ilvl w:val="0"/>
          <w:numId w:val="1"/>
        </w:numPr>
        <w:spacing w:after="200"/>
        <w:rPr>
          <w:rFonts w:eastAsia="Calibri"/>
          <w:szCs w:val="22"/>
        </w:rPr>
      </w:pPr>
      <w:r w:rsidRPr="000213BD">
        <w:rPr>
          <w:rFonts w:eastAsia="Calibri"/>
        </w:rPr>
        <w:t>The current approach places primary emphasis on the rights and obligations under the contract, where one exists.</w:t>
      </w:r>
      <w:r w:rsidRPr="000213BD">
        <w:rPr>
          <w:rFonts w:eastAsia="Calibri"/>
          <w:vertAlign w:val="superscript"/>
        </w:rPr>
        <w:footnoteReference w:id="4"/>
      </w:r>
      <w:r w:rsidRPr="000213BD">
        <w:rPr>
          <w:rFonts w:eastAsia="Calibri"/>
        </w:rPr>
        <w:t xml:space="preserve"> </w:t>
      </w:r>
      <w:r w:rsidRPr="000213BD">
        <w:rPr>
          <w:rFonts w:eastAsia="Calibri"/>
          <w:szCs w:val="22"/>
        </w:rPr>
        <w:t xml:space="preserve">Under this revised test, determining whether a person is an employee involves a key inquiry: whether the putative employer had the contractual right to control </w:t>
      </w:r>
      <w:r w:rsidRPr="000213BD">
        <w:rPr>
          <w:rFonts w:eastAsia="Calibri"/>
        </w:rPr>
        <w:t>how, when, and where the worker performed their duties</w:t>
      </w:r>
      <w:r w:rsidRPr="000213BD">
        <w:rPr>
          <w:rFonts w:eastAsia="Calibri"/>
          <w:szCs w:val="22"/>
        </w:rPr>
        <w:t>.</w:t>
      </w:r>
      <w:r w:rsidRPr="000213BD">
        <w:rPr>
          <w:rFonts w:eastAsia="Calibri"/>
          <w:szCs w:val="22"/>
          <w:vertAlign w:val="superscript"/>
        </w:rPr>
        <w:footnoteReference w:id="5"/>
      </w:r>
    </w:p>
    <w:p w14:paraId="3D536C0B" w14:textId="77777777" w:rsidR="000213BD" w:rsidRPr="000213BD" w:rsidRDefault="000213BD" w:rsidP="000213BD">
      <w:pPr>
        <w:numPr>
          <w:ilvl w:val="0"/>
          <w:numId w:val="1"/>
        </w:numPr>
        <w:spacing w:after="200"/>
        <w:rPr>
          <w:rFonts w:eastAsia="Calibri"/>
          <w:szCs w:val="22"/>
        </w:rPr>
      </w:pPr>
      <w:r w:rsidRPr="000213BD">
        <w:rPr>
          <w:rFonts w:eastAsia="Times New Roman"/>
          <w:color w:val="000000"/>
          <w:lang w:eastAsia="zh-TW"/>
        </w:rPr>
        <w:lastRenderedPageBreak/>
        <w:t>A general contractual obligation to complete a task does not indicate control over the manner in which that task is performed.</w:t>
      </w:r>
      <w:r w:rsidRPr="000213BD">
        <w:rPr>
          <w:rFonts w:eastAsia="Times New Roman"/>
          <w:i/>
          <w:iCs/>
          <w:color w:val="000000"/>
          <w:vertAlign w:val="superscript"/>
          <w:lang w:eastAsia="zh-TW"/>
        </w:rPr>
        <w:footnoteReference w:id="6"/>
      </w:r>
      <w:r w:rsidRPr="000213BD">
        <w:rPr>
          <w:rFonts w:eastAsia="Times New Roman"/>
          <w:color w:val="000000"/>
          <w:lang w:eastAsia="zh-TW"/>
        </w:rPr>
        <w:t xml:space="preserve"> The distinction lies in whether the employer had the right to </w:t>
      </w:r>
      <w:r w:rsidRPr="000213BD">
        <w:rPr>
          <w:rFonts w:eastAsia="Calibri"/>
        </w:rPr>
        <w:t>direct not just what work is done, but how it is done.</w:t>
      </w:r>
    </w:p>
    <w:p w14:paraId="4464A4C2" w14:textId="77777777" w:rsidR="000213BD" w:rsidRPr="000213BD" w:rsidRDefault="000213BD" w:rsidP="000213BD">
      <w:pPr>
        <w:numPr>
          <w:ilvl w:val="0"/>
          <w:numId w:val="1"/>
        </w:numPr>
        <w:spacing w:after="200"/>
        <w:rPr>
          <w:rFonts w:eastAsia="Calibri"/>
        </w:rPr>
      </w:pPr>
      <w:r w:rsidRPr="000213BD">
        <w:rPr>
          <w:rFonts w:eastAsia="Calibri"/>
        </w:rPr>
        <w:t>In this case, several contractual features suggest a lack of control by the University:</w:t>
      </w:r>
    </w:p>
    <w:p w14:paraId="64117A3F" w14:textId="77777777" w:rsidR="000213BD" w:rsidRPr="000213BD" w:rsidRDefault="000213BD" w:rsidP="000213BD">
      <w:pPr>
        <w:numPr>
          <w:ilvl w:val="1"/>
          <w:numId w:val="1"/>
        </w:numPr>
        <w:spacing w:after="200"/>
        <w:jc w:val="both"/>
        <w:rPr>
          <w:rFonts w:eastAsia="Calibri"/>
        </w:rPr>
      </w:pPr>
      <w:r w:rsidRPr="000213BD">
        <w:rPr>
          <w:rFonts w:eastAsia="Calibri"/>
        </w:rPr>
        <w:t>Firstly, under the </w:t>
      </w:r>
      <w:r w:rsidRPr="000213BD">
        <w:rPr>
          <w:rFonts w:eastAsia="Calibri"/>
          <w:i/>
          <w:iCs/>
        </w:rPr>
        <w:t>Responsibilities</w:t>
      </w:r>
      <w:r w:rsidRPr="000213BD">
        <w:rPr>
          <w:rFonts w:eastAsia="Calibri"/>
        </w:rPr>
        <w:t> clause, the Blue Shirt was assigned to assist with “other incidental tasks and duties… on an ad hoc basis.”</w:t>
      </w:r>
      <w:r w:rsidRPr="000213BD">
        <w:rPr>
          <w:rFonts w:eastAsia="Calibri"/>
          <w:vertAlign w:val="superscript"/>
        </w:rPr>
        <w:t xml:space="preserve"> </w:t>
      </w:r>
      <w:r w:rsidRPr="000213BD">
        <w:rPr>
          <w:rFonts w:eastAsia="Calibri"/>
          <w:vertAlign w:val="superscript"/>
        </w:rPr>
        <w:footnoteReference w:id="7"/>
      </w:r>
      <w:r w:rsidRPr="000213BD">
        <w:rPr>
          <w:rFonts w:eastAsia="Calibri"/>
        </w:rPr>
        <w:t xml:space="preserve"> The computer lab inspection falls within this catch-all category. The absence of direction on how the task was to be performed supports the argument that the University lacked control over the manner of work.</w:t>
      </w:r>
      <w:r w:rsidRPr="000213BD">
        <w:rPr>
          <w:rFonts w:eastAsia="Calibri"/>
          <w:vertAlign w:val="superscript"/>
        </w:rPr>
        <w:footnoteReference w:id="8"/>
      </w:r>
      <w:r w:rsidRPr="000213BD">
        <w:rPr>
          <w:rFonts w:eastAsia="Calibri"/>
        </w:rPr>
        <w:t xml:space="preserve"> </w:t>
      </w:r>
    </w:p>
    <w:p w14:paraId="0D8B9F94" w14:textId="77777777" w:rsidR="000213BD" w:rsidRPr="000213BD" w:rsidRDefault="000213BD" w:rsidP="000213BD">
      <w:pPr>
        <w:numPr>
          <w:ilvl w:val="1"/>
          <w:numId w:val="1"/>
        </w:numPr>
        <w:spacing w:after="200"/>
        <w:jc w:val="both"/>
        <w:rPr>
          <w:rFonts w:eastAsia="Calibri"/>
        </w:rPr>
      </w:pPr>
      <w:r w:rsidRPr="000213BD">
        <w:rPr>
          <w:rFonts w:eastAsia="Calibri"/>
        </w:rPr>
        <w:t>Secondly, the </w:t>
      </w:r>
      <w:r w:rsidRPr="000213BD">
        <w:rPr>
          <w:rFonts w:eastAsia="Calibri"/>
          <w:i/>
          <w:iCs/>
        </w:rPr>
        <w:t>Payment</w:t>
      </w:r>
      <w:r w:rsidRPr="000213BD">
        <w:rPr>
          <w:rFonts w:eastAsia="Calibri"/>
        </w:rPr>
        <w:t> clause states that Blue Shirts are to be paid only for hours actually worked, and there is “no provision… for sick leave, study leave etc.”</w:t>
      </w:r>
      <w:r w:rsidRPr="000213BD">
        <w:rPr>
          <w:rFonts w:eastAsia="Calibri"/>
          <w:vertAlign w:val="superscript"/>
        </w:rPr>
        <w:t xml:space="preserve"> </w:t>
      </w:r>
      <w:r w:rsidRPr="000213BD">
        <w:rPr>
          <w:rFonts w:eastAsia="Calibri"/>
          <w:vertAlign w:val="superscript"/>
        </w:rPr>
        <w:footnoteReference w:id="9"/>
      </w:r>
      <w:r w:rsidRPr="000213BD">
        <w:rPr>
          <w:rFonts w:eastAsia="Calibri"/>
        </w:rPr>
        <w:t xml:space="preserve">  The arrangement reflects transactional, task-based payment. This is more consistent with a contractor-style engagement than with employment.</w:t>
      </w:r>
      <w:r w:rsidRPr="000213BD">
        <w:rPr>
          <w:rFonts w:eastAsia="Calibri"/>
          <w:vertAlign w:val="superscript"/>
        </w:rPr>
        <w:footnoteReference w:id="10"/>
      </w:r>
      <w:r w:rsidRPr="000213BD">
        <w:rPr>
          <w:rFonts w:eastAsia="Calibri"/>
        </w:rPr>
        <w:t xml:space="preserve"> </w:t>
      </w:r>
    </w:p>
    <w:p w14:paraId="40759854" w14:textId="77777777" w:rsidR="000213BD" w:rsidRPr="000213BD" w:rsidRDefault="000213BD" w:rsidP="000213BD">
      <w:pPr>
        <w:numPr>
          <w:ilvl w:val="1"/>
          <w:numId w:val="1"/>
        </w:numPr>
        <w:spacing w:after="200"/>
        <w:jc w:val="both"/>
        <w:rPr>
          <w:rFonts w:eastAsia="Calibri"/>
        </w:rPr>
      </w:pPr>
      <w:r w:rsidRPr="000213BD">
        <w:rPr>
          <w:rFonts w:eastAsia="Calibri"/>
        </w:rPr>
        <w:t>Thirdly, the </w:t>
      </w:r>
      <w:r w:rsidRPr="000213BD">
        <w:rPr>
          <w:rFonts w:eastAsia="Calibri"/>
          <w:i/>
          <w:iCs/>
        </w:rPr>
        <w:t>Personality</w:t>
      </w:r>
      <w:r w:rsidRPr="000213BD">
        <w:rPr>
          <w:rFonts w:eastAsia="Calibri"/>
        </w:rPr>
        <w:t> clause states that the individual’s “number one obligation” is to “have fun.”</w:t>
      </w:r>
      <w:r w:rsidRPr="000213BD">
        <w:rPr>
          <w:rFonts w:eastAsia="Calibri"/>
          <w:vertAlign w:val="superscript"/>
        </w:rPr>
        <w:t xml:space="preserve"> </w:t>
      </w:r>
      <w:r w:rsidRPr="000213BD">
        <w:rPr>
          <w:rFonts w:eastAsia="Calibri"/>
          <w:vertAlign w:val="superscript"/>
        </w:rPr>
        <w:footnoteReference w:id="11"/>
      </w:r>
      <w:r w:rsidRPr="000213BD">
        <w:rPr>
          <w:rFonts w:eastAsia="Calibri"/>
        </w:rPr>
        <w:t xml:space="preserve"> It reflects an absence of strict oversight or managerial authority, suggesting that the arrangement was designed more as a student engagement program than as a formal employment relationship. </w:t>
      </w:r>
    </w:p>
    <w:p w14:paraId="7A61A4C1" w14:textId="77777777" w:rsidR="000213BD" w:rsidRPr="000213BD" w:rsidRDefault="000213BD" w:rsidP="000213BD">
      <w:pPr>
        <w:numPr>
          <w:ilvl w:val="1"/>
          <w:numId w:val="1"/>
        </w:numPr>
        <w:spacing w:after="200"/>
        <w:jc w:val="both"/>
        <w:rPr>
          <w:rFonts w:eastAsia="Calibri"/>
        </w:rPr>
      </w:pPr>
      <w:r w:rsidRPr="000213BD">
        <w:rPr>
          <w:rFonts w:eastAsia="Calibri"/>
        </w:rPr>
        <w:t>Lastly, the </w:t>
      </w:r>
      <w:r w:rsidRPr="000213BD">
        <w:rPr>
          <w:rFonts w:eastAsia="Calibri"/>
          <w:i/>
          <w:iCs/>
        </w:rPr>
        <w:t>Times</w:t>
      </w:r>
      <w:r w:rsidRPr="000213BD">
        <w:rPr>
          <w:rFonts w:eastAsia="Calibri"/>
        </w:rPr>
        <w:t> clause provides that Blue Shirts are only assigned duties based on the availabilities they voluntarily submit.</w:t>
      </w:r>
      <w:r w:rsidRPr="000213BD">
        <w:rPr>
          <w:rFonts w:eastAsia="Calibri"/>
          <w:vertAlign w:val="superscript"/>
        </w:rPr>
        <w:t xml:space="preserve"> </w:t>
      </w:r>
      <w:r w:rsidRPr="000213BD">
        <w:rPr>
          <w:rFonts w:eastAsia="Calibri"/>
          <w:vertAlign w:val="superscript"/>
        </w:rPr>
        <w:footnoteReference w:id="12"/>
      </w:r>
      <w:r w:rsidRPr="000213BD">
        <w:rPr>
          <w:rFonts w:eastAsia="Calibri"/>
        </w:rPr>
        <w:t xml:space="preserve"> The University cannot require them to work at times for which they have not indicated availability. This arrangement places control over working hours squarely in the hands of the Blue Shirts themselves.</w:t>
      </w:r>
      <w:r w:rsidRPr="000213BD">
        <w:rPr>
          <w:rFonts w:eastAsia="Calibri"/>
          <w:vertAlign w:val="superscript"/>
        </w:rPr>
        <w:footnoteReference w:id="13"/>
      </w:r>
    </w:p>
    <w:p w14:paraId="0EFA82F1" w14:textId="77777777" w:rsidR="000213BD" w:rsidRPr="000213BD" w:rsidRDefault="000213BD" w:rsidP="000213BD">
      <w:pPr>
        <w:numPr>
          <w:ilvl w:val="0"/>
          <w:numId w:val="1"/>
        </w:numPr>
        <w:spacing w:after="200"/>
        <w:jc w:val="both"/>
        <w:rPr>
          <w:rFonts w:eastAsia="Calibri"/>
          <w:i/>
        </w:rPr>
      </w:pPr>
      <w:r w:rsidRPr="000213BD">
        <w:rPr>
          <w:rFonts w:eastAsia="Calibri"/>
        </w:rPr>
        <w:t>Accordingly, the University did not retain a sufficient contractual right of control over the Blue Shirt, and the relationship therefore does not meet the legal test for employment.</w:t>
      </w:r>
    </w:p>
    <w:p w14:paraId="3B7E1092" w14:textId="779D9D01" w:rsidR="000213BD" w:rsidRPr="008E7CDB" w:rsidRDefault="000213BD" w:rsidP="000213BD">
      <w:pPr>
        <w:spacing w:after="200"/>
        <w:ind w:left="425"/>
        <w:jc w:val="center"/>
        <w:rPr>
          <w:rFonts w:eastAsia="Calibri"/>
          <w:b/>
          <w:bCs/>
          <w:i/>
          <w:sz w:val="28"/>
          <w:szCs w:val="28"/>
        </w:rPr>
      </w:pPr>
      <w:r w:rsidRPr="008E7CDB">
        <w:rPr>
          <w:rFonts w:eastAsia="Calibri"/>
          <w:b/>
          <w:bCs/>
          <w:sz w:val="28"/>
          <w:szCs w:val="28"/>
        </w:rPr>
        <w:t>B</w:t>
      </w:r>
      <w:r w:rsidRPr="008E7CDB">
        <w:rPr>
          <w:rFonts w:eastAsia="Calibri"/>
          <w:b/>
          <w:bCs/>
          <w:sz w:val="28"/>
          <w:szCs w:val="28"/>
        </w:rPr>
        <w:tab/>
      </w:r>
      <w:r w:rsidR="008E7CDB" w:rsidRPr="008E7CDB">
        <w:rPr>
          <w:rFonts w:eastAsia="Calibri"/>
          <w:b/>
          <w:bCs/>
          <w:i/>
          <w:sz w:val="28"/>
          <w:szCs w:val="28"/>
        </w:rPr>
        <w:t>WHAT IS THE COURSE OF EMPLOYMENT?</w:t>
      </w:r>
    </w:p>
    <w:p w14:paraId="6E4E93A4" w14:textId="77777777" w:rsidR="000213BD" w:rsidRPr="000213BD" w:rsidRDefault="000213BD" w:rsidP="000213BD">
      <w:pPr>
        <w:numPr>
          <w:ilvl w:val="0"/>
          <w:numId w:val="1"/>
        </w:numPr>
        <w:spacing w:after="200"/>
        <w:jc w:val="both"/>
        <w:rPr>
          <w:rFonts w:eastAsia="Calibri"/>
        </w:rPr>
      </w:pPr>
      <w:r w:rsidRPr="000213BD">
        <w:rPr>
          <w:rFonts w:eastAsia="Calibri"/>
        </w:rPr>
        <w:lastRenderedPageBreak/>
        <w:t>To determine whether a wrongful act occurred in the course of employment, the key is identifying what the employee was actually employed and represented as doing.</w:t>
      </w:r>
      <w:r w:rsidRPr="000213BD">
        <w:rPr>
          <w:rFonts w:eastAsia="Calibri"/>
          <w:vertAlign w:val="superscript"/>
        </w:rPr>
        <w:footnoteReference w:id="14"/>
      </w:r>
      <w:r w:rsidRPr="000213BD">
        <w:rPr>
          <w:rFonts w:eastAsia="Calibri"/>
        </w:rPr>
        <w:t xml:space="preserve"> This requires examining the parties’ conduct after the contract was formed, particularly the actions of the person who caused the injury.</w:t>
      </w:r>
      <w:r w:rsidRPr="000213BD">
        <w:rPr>
          <w:rFonts w:eastAsia="Calibri"/>
          <w:vertAlign w:val="superscript"/>
        </w:rPr>
        <w:footnoteReference w:id="15"/>
      </w:r>
      <w:r w:rsidRPr="000213BD">
        <w:rPr>
          <w:rFonts w:eastAsia="Calibri"/>
        </w:rPr>
        <w:t xml:space="preserve"> Moreover, an employer will not be vicariously liable where the employee was on a "frolic of their own”.</w:t>
      </w:r>
      <w:r w:rsidRPr="000213BD">
        <w:rPr>
          <w:rFonts w:eastAsia="Calibri"/>
          <w:vertAlign w:val="superscript"/>
        </w:rPr>
        <w:footnoteReference w:id="16"/>
      </w:r>
    </w:p>
    <w:p w14:paraId="5782FC47" w14:textId="77777777" w:rsidR="000213BD" w:rsidRPr="000213BD" w:rsidRDefault="000213BD" w:rsidP="000213BD">
      <w:pPr>
        <w:numPr>
          <w:ilvl w:val="0"/>
          <w:numId w:val="1"/>
        </w:numPr>
        <w:spacing w:after="200"/>
        <w:jc w:val="both"/>
        <w:rPr>
          <w:rFonts w:eastAsia="Calibri"/>
        </w:rPr>
      </w:pPr>
      <w:r w:rsidRPr="000213BD">
        <w:rPr>
          <w:rFonts w:eastAsia="Calibri"/>
        </w:rPr>
        <w:t>In this case, the Blue Shirt was not performing any core duty defined in the Blue Shirt contract. The role of inspecting computer labs was not expressly listed as part of the standard responsibilities. There is no evidence that such duties were part of the Blue Shirt’s usual functions or publicly represented responsibilities.</w:t>
      </w:r>
    </w:p>
    <w:p w14:paraId="571519D1" w14:textId="77777777" w:rsidR="000213BD" w:rsidRPr="000213BD" w:rsidRDefault="000213BD" w:rsidP="000213BD">
      <w:pPr>
        <w:numPr>
          <w:ilvl w:val="0"/>
          <w:numId w:val="1"/>
        </w:numPr>
        <w:spacing w:after="200"/>
        <w:jc w:val="both"/>
        <w:rPr>
          <w:rFonts w:eastAsia="Calibri"/>
        </w:rPr>
      </w:pPr>
      <w:r w:rsidRPr="000213BD">
        <w:rPr>
          <w:rFonts w:eastAsia="Calibri"/>
        </w:rPr>
        <w:t>Furthermore, the manner in which the task was performed, with the Blue Shirt casually asking, “Are you doing anything dodgy, mate?”, demonstrates that the Blue Shirt acted with independent discretion. This conduct departs significantly from any reasonable method of fulfilling a university-assigned responsibility and instead reflects a careless and personal approach that is disconnected from the University's expectations.</w:t>
      </w:r>
    </w:p>
    <w:p w14:paraId="5F8C4196" w14:textId="77777777" w:rsidR="000213BD" w:rsidRPr="000213BD" w:rsidRDefault="000213BD" w:rsidP="000213BD">
      <w:pPr>
        <w:numPr>
          <w:ilvl w:val="0"/>
          <w:numId w:val="1"/>
        </w:numPr>
        <w:spacing w:after="200"/>
        <w:jc w:val="both"/>
        <w:rPr>
          <w:rFonts w:eastAsia="Calibri"/>
        </w:rPr>
      </w:pPr>
      <w:r w:rsidRPr="000213BD">
        <w:rPr>
          <w:rFonts w:eastAsia="Calibri"/>
        </w:rPr>
        <w:t xml:space="preserve">The conduct should be seen as a “frolic of their own”. The Blue Shirt’s informal and unserious manner, combined with a lack of formal assignment or structured supervision, removes the necessary connection to any official employment relationship. </w:t>
      </w:r>
    </w:p>
    <w:p w14:paraId="22BD0F74" w14:textId="77777777" w:rsidR="000213BD" w:rsidRPr="000213BD" w:rsidRDefault="000213BD" w:rsidP="000213BD">
      <w:pPr>
        <w:numPr>
          <w:ilvl w:val="0"/>
          <w:numId w:val="1"/>
        </w:numPr>
        <w:spacing w:after="200"/>
        <w:jc w:val="both"/>
        <w:rPr>
          <w:rFonts w:eastAsia="Calibri"/>
        </w:rPr>
      </w:pPr>
      <w:r w:rsidRPr="000213BD">
        <w:rPr>
          <w:rFonts w:eastAsia="Calibri"/>
        </w:rPr>
        <w:t>Accordingly, the act was not performed in the course of employment, and the University should not be vicariously liable.</w:t>
      </w:r>
    </w:p>
    <w:p w14:paraId="4A06A790" w14:textId="77777777" w:rsidR="000213BD" w:rsidRPr="000213BD" w:rsidRDefault="000213BD" w:rsidP="000213BD">
      <w:pPr>
        <w:spacing w:after="200"/>
        <w:rPr>
          <w:rFonts w:eastAsia="Calibri"/>
          <w:szCs w:val="22"/>
        </w:rPr>
      </w:pPr>
    </w:p>
    <w:p w14:paraId="7C5711A8" w14:textId="77777777" w:rsidR="000213BD" w:rsidRPr="000213BD" w:rsidRDefault="000213BD" w:rsidP="000213BD">
      <w:pPr>
        <w:spacing w:after="200"/>
        <w:rPr>
          <w:rFonts w:eastAsia="Calibri"/>
          <w:szCs w:val="22"/>
        </w:rPr>
      </w:pPr>
    </w:p>
    <w:p w14:paraId="334D4BC6" w14:textId="77777777" w:rsidR="000213BD" w:rsidRPr="000213BD" w:rsidRDefault="000213BD" w:rsidP="000213BD">
      <w:pPr>
        <w:spacing w:after="160"/>
        <w:rPr>
          <w:rFonts w:eastAsia="Calibri"/>
          <w:szCs w:val="22"/>
        </w:rPr>
      </w:pPr>
      <w:r w:rsidRPr="000213BD">
        <w:rPr>
          <w:rFonts w:eastAsia="Calibri"/>
          <w:szCs w:val="22"/>
        </w:rPr>
        <w:br w:type="page"/>
      </w:r>
    </w:p>
    <w:p w14:paraId="3760BA6E" w14:textId="77777777" w:rsidR="000213BD" w:rsidRPr="000213BD" w:rsidRDefault="000213BD" w:rsidP="003E0982">
      <w:pPr>
        <w:keepNext/>
        <w:tabs>
          <w:tab w:val="left" w:pos="1134"/>
        </w:tabs>
        <w:spacing w:after="200"/>
        <w:jc w:val="center"/>
        <w:outlineLvl w:val="0"/>
        <w:rPr>
          <w:rFonts w:eastAsia="Calibri"/>
          <w:b/>
          <w:caps/>
        </w:rPr>
      </w:pPr>
      <w:r w:rsidRPr="000213BD">
        <w:rPr>
          <w:rFonts w:eastAsia="Calibri"/>
          <w:b/>
          <w:caps/>
        </w:rPr>
        <w:lastRenderedPageBreak/>
        <w:t>LIST OF REFERENCES</w:t>
      </w:r>
    </w:p>
    <w:p w14:paraId="14DCDD17" w14:textId="77777777" w:rsidR="000213BD" w:rsidRPr="000213BD" w:rsidRDefault="000213BD" w:rsidP="000213BD">
      <w:pPr>
        <w:spacing w:after="200"/>
        <w:jc w:val="center"/>
        <w:rPr>
          <w:rFonts w:eastAsia="Calibri"/>
          <w:i/>
          <w:lang w:val="en-US"/>
        </w:rPr>
      </w:pPr>
      <w:r w:rsidRPr="000213BD">
        <w:rPr>
          <w:rFonts w:eastAsia="Calibri"/>
          <w:lang w:val="en-US"/>
        </w:rPr>
        <w:t>A</w:t>
      </w:r>
      <w:r w:rsidRPr="000213BD">
        <w:rPr>
          <w:rFonts w:eastAsia="Calibri"/>
          <w:lang w:val="en-US"/>
        </w:rPr>
        <w:tab/>
      </w:r>
      <w:r w:rsidRPr="000213BD">
        <w:rPr>
          <w:rFonts w:eastAsia="Calibri"/>
          <w:i/>
          <w:lang w:val="en-US"/>
        </w:rPr>
        <w:t>Cases</w:t>
      </w:r>
    </w:p>
    <w:p w14:paraId="781A67A3" w14:textId="77777777" w:rsidR="000213BD" w:rsidRPr="000213BD" w:rsidRDefault="000213BD" w:rsidP="000213BD">
      <w:pPr>
        <w:spacing w:after="200"/>
        <w:rPr>
          <w:rFonts w:eastAsia="Calibri"/>
        </w:rPr>
      </w:pPr>
      <w:r w:rsidRPr="000213BD">
        <w:rPr>
          <w:rFonts w:eastAsia="Calibri"/>
          <w:i/>
          <w:iCs/>
        </w:rPr>
        <w:t>BIRD v DP (a pseudonym)</w:t>
      </w:r>
      <w:r w:rsidRPr="000213BD">
        <w:rPr>
          <w:rFonts w:eastAsia="Calibri"/>
        </w:rPr>
        <w:t> (2024) 419 ALR 552</w:t>
      </w:r>
    </w:p>
    <w:p w14:paraId="2806BF78" w14:textId="77777777" w:rsidR="000213BD" w:rsidRPr="000213BD" w:rsidRDefault="000213BD" w:rsidP="000213BD">
      <w:pPr>
        <w:spacing w:after="200"/>
        <w:rPr>
          <w:rFonts w:eastAsia="Calibri"/>
        </w:rPr>
      </w:pPr>
      <w:r w:rsidRPr="000213BD">
        <w:rPr>
          <w:rFonts w:eastAsia="Calibri"/>
          <w:i/>
          <w:iCs/>
        </w:rPr>
        <w:t>Bugge v Brown</w:t>
      </w:r>
      <w:r w:rsidRPr="000213BD">
        <w:rPr>
          <w:rFonts w:eastAsia="Calibri"/>
        </w:rPr>
        <w:t xml:space="preserve"> (1919) 26 CLR 110</w:t>
      </w:r>
    </w:p>
    <w:p w14:paraId="25EC1D9C" w14:textId="77777777" w:rsidR="000213BD" w:rsidRPr="000213BD" w:rsidRDefault="000213BD" w:rsidP="000213BD">
      <w:pPr>
        <w:spacing w:after="200"/>
        <w:rPr>
          <w:rFonts w:eastAsia="Calibri"/>
          <w:i/>
          <w:iCs/>
          <w:color w:val="000000" w:themeColor="text1"/>
        </w:rPr>
      </w:pPr>
      <w:r w:rsidRPr="000213BD">
        <w:rPr>
          <w:rFonts w:eastAsia="Calibri"/>
          <w:i/>
          <w:iCs/>
          <w:color w:val="000000" w:themeColor="text1"/>
        </w:rPr>
        <w:t xml:space="preserve">CCIG Investments Pty Ltd v </w:t>
      </w:r>
      <w:proofErr w:type="spellStart"/>
      <w:r w:rsidRPr="000213BD">
        <w:rPr>
          <w:rFonts w:eastAsia="Calibri"/>
          <w:i/>
          <w:iCs/>
          <w:color w:val="000000" w:themeColor="text1"/>
        </w:rPr>
        <w:t>Schokman</w:t>
      </w:r>
      <w:proofErr w:type="spellEnd"/>
      <w:r w:rsidRPr="000213BD">
        <w:rPr>
          <w:rFonts w:eastAsia="Calibri"/>
          <w:color w:val="000000" w:themeColor="text1"/>
        </w:rPr>
        <w:t xml:space="preserve"> (2023) 97 ALJR 551</w:t>
      </w:r>
    </w:p>
    <w:p w14:paraId="6E38BA4B" w14:textId="77777777" w:rsidR="000213BD" w:rsidRPr="000213BD" w:rsidRDefault="000213BD" w:rsidP="000213BD">
      <w:pPr>
        <w:spacing w:after="200"/>
        <w:rPr>
          <w:rFonts w:eastAsia="Calibri"/>
        </w:rPr>
      </w:pPr>
      <w:r w:rsidRPr="000213BD">
        <w:rPr>
          <w:rFonts w:eastAsia="Calibri"/>
          <w:i/>
          <w:iCs/>
        </w:rPr>
        <w:t>Construction, Forestry, Maritime, Mining and Energy Union v Personnel Contracting Pty Ltd</w:t>
      </w:r>
      <w:r w:rsidRPr="000213BD">
        <w:rPr>
          <w:rFonts w:eastAsia="Calibri"/>
        </w:rPr>
        <w:t> (2022) 275 CLR 165</w:t>
      </w:r>
    </w:p>
    <w:p w14:paraId="114FBA2C" w14:textId="77777777" w:rsidR="000213BD" w:rsidRPr="000213BD" w:rsidRDefault="000213BD" w:rsidP="000213BD">
      <w:pPr>
        <w:spacing w:after="200"/>
        <w:rPr>
          <w:rFonts w:eastAsia="Calibri"/>
          <w:color w:val="000000" w:themeColor="text1"/>
        </w:rPr>
      </w:pPr>
      <w:r w:rsidRPr="000213BD">
        <w:rPr>
          <w:rFonts w:eastAsia="Calibri"/>
          <w:i/>
          <w:iCs/>
          <w:color w:val="000000" w:themeColor="text1"/>
        </w:rPr>
        <w:t xml:space="preserve">Hollis v </w:t>
      </w:r>
      <w:proofErr w:type="spellStart"/>
      <w:r w:rsidRPr="000213BD">
        <w:rPr>
          <w:rFonts w:eastAsia="Calibri"/>
          <w:i/>
          <w:iCs/>
          <w:color w:val="000000" w:themeColor="text1"/>
        </w:rPr>
        <w:t>Vabu</w:t>
      </w:r>
      <w:proofErr w:type="spellEnd"/>
      <w:r w:rsidRPr="000213BD">
        <w:rPr>
          <w:rFonts w:eastAsia="Calibri"/>
          <w:i/>
          <w:iCs/>
          <w:color w:val="000000" w:themeColor="text1"/>
        </w:rPr>
        <w:t xml:space="preserve"> Pty Ltd </w:t>
      </w:r>
      <w:r w:rsidRPr="000213BD">
        <w:rPr>
          <w:rFonts w:eastAsia="Calibri"/>
          <w:color w:val="000000" w:themeColor="text1"/>
        </w:rPr>
        <w:t>(2001) 207 CLR 21</w:t>
      </w:r>
    </w:p>
    <w:p w14:paraId="3AA5E541" w14:textId="77777777" w:rsidR="000213BD" w:rsidRPr="000213BD" w:rsidRDefault="000213BD" w:rsidP="000213BD">
      <w:pPr>
        <w:spacing w:after="200"/>
        <w:rPr>
          <w:rFonts w:eastAsia="Calibri"/>
          <w:i/>
          <w:iCs/>
          <w:color w:val="000000" w:themeColor="text1"/>
        </w:rPr>
      </w:pPr>
      <w:r w:rsidRPr="000213BD">
        <w:rPr>
          <w:rFonts w:eastAsia="Calibri"/>
          <w:i/>
          <w:iCs/>
        </w:rPr>
        <w:t>New South Wales v Lepore</w:t>
      </w:r>
      <w:r w:rsidRPr="000213BD">
        <w:rPr>
          <w:rFonts w:eastAsia="Calibri"/>
        </w:rPr>
        <w:t> (2003) 212 CLR 511</w:t>
      </w:r>
    </w:p>
    <w:p w14:paraId="0958BC18" w14:textId="77777777" w:rsidR="000213BD" w:rsidRPr="000213BD" w:rsidRDefault="000213BD" w:rsidP="000213BD">
      <w:pPr>
        <w:spacing w:after="200"/>
        <w:rPr>
          <w:rFonts w:eastAsia="Calibri"/>
          <w:i/>
          <w:iCs/>
        </w:rPr>
      </w:pPr>
      <w:r w:rsidRPr="000213BD">
        <w:rPr>
          <w:rFonts w:eastAsia="Calibri"/>
          <w:i/>
          <w:iCs/>
        </w:rPr>
        <w:t xml:space="preserve">Sweeney v Boylan Nominees Pty Ltd </w:t>
      </w:r>
      <w:r w:rsidRPr="000213BD">
        <w:rPr>
          <w:rFonts w:eastAsia="Calibri"/>
        </w:rPr>
        <w:t xml:space="preserve">(2006) 226 CLR 161 </w:t>
      </w:r>
    </w:p>
    <w:p w14:paraId="2C349127" w14:textId="77777777" w:rsidR="000213BD" w:rsidRPr="000213BD" w:rsidRDefault="000213BD" w:rsidP="000213BD">
      <w:pPr>
        <w:spacing w:after="200"/>
        <w:rPr>
          <w:rFonts w:eastAsia="Calibri"/>
          <w:i/>
          <w:iCs/>
        </w:rPr>
      </w:pPr>
      <w:r w:rsidRPr="000213BD">
        <w:rPr>
          <w:rFonts w:eastAsia="Calibri"/>
          <w:i/>
          <w:iCs/>
        </w:rPr>
        <w:t xml:space="preserve">ZG Operations Australia Pty Ltd v Jamsek </w:t>
      </w:r>
      <w:r w:rsidRPr="000213BD">
        <w:rPr>
          <w:rFonts w:eastAsia="Calibri"/>
        </w:rPr>
        <w:t>(2022) 398 ALR 603</w:t>
      </w:r>
    </w:p>
    <w:p w14:paraId="77B153FD" w14:textId="77777777" w:rsidR="000213BD" w:rsidRPr="000213BD" w:rsidRDefault="000213BD" w:rsidP="000213BD">
      <w:pPr>
        <w:spacing w:after="200"/>
        <w:rPr>
          <w:rFonts w:eastAsia="Calibri"/>
          <w:szCs w:val="22"/>
        </w:rPr>
      </w:pPr>
    </w:p>
    <w:p w14:paraId="68F01468" w14:textId="77777777" w:rsidR="000213BD" w:rsidRPr="000213BD" w:rsidRDefault="000213BD" w:rsidP="000213BD">
      <w:pPr>
        <w:spacing w:after="200"/>
        <w:rPr>
          <w:rFonts w:eastAsia="Calibri"/>
          <w:szCs w:val="22"/>
        </w:rPr>
      </w:pPr>
    </w:p>
    <w:p w14:paraId="5D4BD197" w14:textId="77777777" w:rsidR="000213BD" w:rsidRPr="000213BD" w:rsidRDefault="000213BD" w:rsidP="000213BD">
      <w:pPr>
        <w:spacing w:after="160" w:line="278" w:lineRule="auto"/>
        <w:rPr>
          <w:rFonts w:eastAsia="Calibri"/>
          <w:szCs w:val="22"/>
        </w:rPr>
      </w:pPr>
      <w:r w:rsidRPr="000213BD">
        <w:rPr>
          <w:rFonts w:eastAsia="Calibri"/>
          <w:szCs w:val="22"/>
        </w:rPr>
        <w:br w:type="page"/>
      </w:r>
    </w:p>
    <w:p w14:paraId="40B478B4" w14:textId="77777777" w:rsidR="000213BD" w:rsidRPr="000213BD" w:rsidRDefault="000213BD" w:rsidP="003E0982">
      <w:pPr>
        <w:spacing w:after="200"/>
        <w:jc w:val="center"/>
        <w:rPr>
          <w:rFonts w:eastAsia="Calibri"/>
          <w:b/>
        </w:rPr>
      </w:pPr>
      <w:r w:rsidRPr="000213BD">
        <w:rPr>
          <w:rFonts w:eastAsia="Calibri"/>
          <w:b/>
        </w:rPr>
        <w:lastRenderedPageBreak/>
        <w:t>RELEVANT CASE FACTS</w:t>
      </w:r>
    </w:p>
    <w:p w14:paraId="66876BFA" w14:textId="77777777" w:rsidR="000213BD" w:rsidRPr="000213BD" w:rsidRDefault="000213BD" w:rsidP="000213BD">
      <w:pPr>
        <w:spacing w:after="200"/>
        <w:rPr>
          <w:rFonts w:eastAsia="Calibri"/>
          <w:szCs w:val="22"/>
          <w:lang w:eastAsia="zh-TW"/>
        </w:rPr>
      </w:pPr>
      <w:r w:rsidRPr="000213BD">
        <w:rPr>
          <w:rFonts w:eastAsia="Calibri"/>
          <w:szCs w:val="22"/>
          <w:lang w:eastAsia="zh-TW"/>
        </w:rPr>
        <w:t xml:space="preserve">The University of </w:t>
      </w:r>
      <w:proofErr w:type="spellStart"/>
      <w:r w:rsidRPr="000213BD">
        <w:rPr>
          <w:rFonts w:eastAsia="Calibri"/>
          <w:szCs w:val="22"/>
          <w:lang w:eastAsia="zh-TW"/>
        </w:rPr>
        <w:t>Gleften</w:t>
      </w:r>
      <w:proofErr w:type="spellEnd"/>
      <w:r w:rsidRPr="000213BD">
        <w:rPr>
          <w:rFonts w:eastAsia="Calibri"/>
          <w:szCs w:val="22"/>
          <w:lang w:eastAsia="zh-TW"/>
        </w:rPr>
        <w:t xml:space="preserve"> maintained a policy requiring a university employee to inspect all computers in a lab once per hour and report any issues to the IT department. Each lab contained approximately 10 to 15 computers, and a single employee was expected to review the entire lab.</w:t>
      </w:r>
    </w:p>
    <w:p w14:paraId="744646CF" w14:textId="77777777" w:rsidR="000213BD" w:rsidRPr="000213BD" w:rsidRDefault="000213BD" w:rsidP="000213BD">
      <w:pPr>
        <w:spacing w:after="200"/>
        <w:rPr>
          <w:rFonts w:eastAsia="Calibri"/>
          <w:szCs w:val="22"/>
          <w:lang w:eastAsia="zh-TW"/>
        </w:rPr>
      </w:pPr>
      <w:r w:rsidRPr="000213BD">
        <w:rPr>
          <w:rFonts w:eastAsia="Calibri"/>
          <w:szCs w:val="22"/>
          <w:lang w:eastAsia="zh-TW"/>
        </w:rPr>
        <w:t xml:space="preserve">On 20 January, Ms Angelica Blackbeard, a student </w:t>
      </w:r>
      <w:proofErr w:type="gramStart"/>
      <w:r w:rsidRPr="000213BD">
        <w:rPr>
          <w:rFonts w:eastAsia="Calibri"/>
          <w:szCs w:val="22"/>
          <w:lang w:eastAsia="zh-TW"/>
        </w:rPr>
        <w:t>of</w:t>
      </w:r>
      <w:proofErr w:type="gramEnd"/>
      <w:r w:rsidRPr="000213BD">
        <w:rPr>
          <w:rFonts w:eastAsia="Calibri"/>
          <w:szCs w:val="22"/>
          <w:lang w:eastAsia="zh-TW"/>
        </w:rPr>
        <w:t xml:space="preserve"> the University, attended campus and logged into a computer in the Phoenix Computer Lab at 10:07am, logging out at 11:58am. During this session, she downloaded the entire thirteenth season of “Game of Student Loans” from a website known to host copyrighted material.</w:t>
      </w:r>
    </w:p>
    <w:p w14:paraId="4717701B" w14:textId="77777777" w:rsidR="000213BD" w:rsidRPr="000213BD" w:rsidRDefault="000213BD" w:rsidP="000213BD">
      <w:pPr>
        <w:spacing w:after="200"/>
        <w:rPr>
          <w:rFonts w:eastAsia="Calibri"/>
          <w:szCs w:val="22"/>
          <w:lang w:eastAsia="zh-TW"/>
        </w:rPr>
      </w:pPr>
      <w:r w:rsidRPr="000213BD">
        <w:rPr>
          <w:rFonts w:eastAsia="Calibri"/>
          <w:szCs w:val="22"/>
          <w:lang w:eastAsia="zh-TW"/>
        </w:rPr>
        <w:t>On the same day, the staff member ordinarily assigned to conduct computer lab inspections informed their supervisor, Rebecca Sun, that they were ill and would not be attending work. Ms Sun, who was both the head of the IT department and the manager of the University’s Blue Shirt program, requested a Blue Shirt member to carry out the inspection of the computer labs. She provided that member with a copy of the Policy and required them to download a designated app onto their smartphone for reporting purposes. Ms Sun was unable to recall which Blue Shirt member had been assigned the task.</w:t>
      </w:r>
    </w:p>
    <w:p w14:paraId="69348DDA" w14:textId="77777777" w:rsidR="000213BD" w:rsidRPr="000213BD" w:rsidRDefault="000213BD" w:rsidP="000213BD">
      <w:pPr>
        <w:spacing w:after="200"/>
        <w:rPr>
          <w:rFonts w:eastAsia="Calibri"/>
          <w:szCs w:val="22"/>
          <w:lang w:eastAsia="zh-TW"/>
        </w:rPr>
      </w:pPr>
      <w:r w:rsidRPr="000213BD">
        <w:rPr>
          <w:rFonts w:eastAsia="Calibri"/>
          <w:szCs w:val="22"/>
          <w:lang w:eastAsia="zh-TW"/>
        </w:rPr>
        <w:t xml:space="preserve">Blue Shirts are students </w:t>
      </w:r>
      <w:proofErr w:type="gramStart"/>
      <w:r w:rsidRPr="000213BD">
        <w:rPr>
          <w:rFonts w:eastAsia="Calibri"/>
          <w:szCs w:val="22"/>
          <w:lang w:eastAsia="zh-TW"/>
        </w:rPr>
        <w:t>of</w:t>
      </w:r>
      <w:proofErr w:type="gramEnd"/>
      <w:r w:rsidRPr="000213BD">
        <w:rPr>
          <w:rFonts w:eastAsia="Calibri"/>
          <w:szCs w:val="22"/>
          <w:lang w:eastAsia="zh-TW"/>
        </w:rPr>
        <w:t xml:space="preserve"> the University who assist with various tasks around campus. They are selected through a competitive process and engaged under a “Contract for Services”. Under that contract, Blue Shirts perform duties such as running tours, operating reception services, assisting staff at events, and undertaking other incidental tasks on an ad hoc basis. They are paid only for hours actually worked and are not entitled to sick leave or study leave. They are required to provide their own smartphone capable of running relevant applications. They are also required to submit their availability in advance and are not required to work outside the times they nominate.</w:t>
      </w:r>
    </w:p>
    <w:p w14:paraId="2032E06E" w14:textId="77777777" w:rsidR="000213BD" w:rsidRPr="000213BD" w:rsidRDefault="000213BD" w:rsidP="000213BD">
      <w:pPr>
        <w:spacing w:after="200"/>
        <w:rPr>
          <w:rFonts w:eastAsia="Calibri"/>
          <w:szCs w:val="22"/>
          <w:lang w:eastAsia="zh-TW"/>
        </w:rPr>
      </w:pPr>
      <w:r w:rsidRPr="000213BD">
        <w:rPr>
          <w:rFonts w:eastAsia="Calibri"/>
          <w:szCs w:val="22"/>
          <w:lang w:eastAsia="zh-TW"/>
        </w:rPr>
        <w:t xml:space="preserve">A student present in the Phoenix Computer Lab gave evidence that a Blue Shirt member entered the lab, asked each person, “Are you doing anything dodgy, mate?”, and then left shortly thereafter. The student could not recall seeing Ms Blackbeard at the </w:t>
      </w:r>
      <w:proofErr w:type="gramStart"/>
      <w:r w:rsidRPr="000213BD">
        <w:rPr>
          <w:rFonts w:eastAsia="Calibri"/>
          <w:szCs w:val="22"/>
          <w:lang w:eastAsia="zh-TW"/>
        </w:rPr>
        <w:t>time, but</w:t>
      </w:r>
      <w:proofErr w:type="gramEnd"/>
      <w:r w:rsidRPr="000213BD">
        <w:rPr>
          <w:rFonts w:eastAsia="Calibri"/>
          <w:szCs w:val="22"/>
          <w:lang w:eastAsia="zh-TW"/>
        </w:rPr>
        <w:t xml:space="preserve"> based on the times at which she logged into the computer, it was accepted that it was a reasonable inference that she was present.</w:t>
      </w:r>
    </w:p>
    <w:p w14:paraId="54B204E1" w14:textId="439C9867" w:rsidR="000F108B" w:rsidRDefault="000F108B" w:rsidP="00235853">
      <w:r>
        <w:br w:type="page"/>
      </w:r>
    </w:p>
    <w:p w14:paraId="698F75F1" w14:textId="1ED3DC73" w:rsidR="000F108B" w:rsidRDefault="001C6A9D" w:rsidP="00235853">
      <w:r>
        <w:rPr>
          <w:noProof/>
        </w:rPr>
        <w:lastRenderedPageBreak/>
        <mc:AlternateContent>
          <mc:Choice Requires="wpg">
            <w:drawing>
              <wp:anchor distT="0" distB="0" distL="114300" distR="114300" simplePos="0" relativeHeight="251681792" behindDoc="0" locked="0" layoutInCell="1" allowOverlap="1" wp14:anchorId="121B674F" wp14:editId="1C551674">
                <wp:simplePos x="0" y="0"/>
                <wp:positionH relativeFrom="column">
                  <wp:posOffset>-685800</wp:posOffset>
                </wp:positionH>
                <wp:positionV relativeFrom="paragraph">
                  <wp:posOffset>1902460</wp:posOffset>
                </wp:positionV>
                <wp:extent cx="7546340" cy="1084580"/>
                <wp:effectExtent l="0" t="12700" r="0" b="7620"/>
                <wp:wrapNone/>
                <wp:docPr id="168221322" name="Group 31"/>
                <wp:cNvGraphicFramePr/>
                <a:graphic xmlns:a="http://schemas.openxmlformats.org/drawingml/2006/main">
                  <a:graphicData uri="http://schemas.microsoft.com/office/word/2010/wordprocessingGroup">
                    <wpg:wgp>
                      <wpg:cNvGrpSpPr/>
                      <wpg:grpSpPr>
                        <a:xfrm>
                          <a:off x="0" y="0"/>
                          <a:ext cx="7546340" cy="1084580"/>
                          <a:chOff x="35306" y="1597660"/>
                          <a:chExt cx="7546340" cy="1085088"/>
                        </a:xfrm>
                      </wpg:grpSpPr>
                      <wps:wsp>
                        <wps:cNvPr id="1493187613" name="Text Box 27"/>
                        <wps:cNvSpPr txBox="1"/>
                        <wps:spPr>
                          <a:xfrm>
                            <a:off x="35306" y="1914008"/>
                            <a:ext cx="7546340" cy="488193"/>
                          </a:xfrm>
                          <a:prstGeom prst="rect">
                            <a:avLst/>
                          </a:prstGeom>
                          <a:noFill/>
                          <a:ln w="6350">
                            <a:noFill/>
                          </a:ln>
                        </wps:spPr>
                        <wps:txbx>
                          <w:txbxContent>
                            <w:p w14:paraId="2AEBA7A0" w14:textId="4F439EFE" w:rsidR="009470FA" w:rsidRPr="001C6A9D" w:rsidRDefault="009470FA" w:rsidP="001C6A9D">
                              <w:pPr>
                                <w:pStyle w:val="Title"/>
                                <w:rPr>
                                  <w:rStyle w:val="Strong"/>
                                </w:rPr>
                              </w:pPr>
                              <w:r w:rsidRPr="001C6A9D">
                                <w:rPr>
                                  <w:rStyle w:val="Strong"/>
                                </w:rPr>
                                <w:t>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6141420" name="Straight Connector 27"/>
                        <wps:cNvCnPr/>
                        <wps:spPr>
                          <a:xfrm>
                            <a:off x="256032" y="159766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089456829" name="Straight Connector 27"/>
                        <wps:cNvCnPr/>
                        <wps:spPr>
                          <a:xfrm>
                            <a:off x="256032" y="2682748"/>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1B674F" id="_x0000_s1034" style="position:absolute;margin-left:-54pt;margin-top:149.8pt;width:594.2pt;height:85.4pt;z-index:251681792;mso-width-relative:margin;mso-height-relative:margin" coordorigin="353,15976" coordsize="75463,10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">
                <v:shape id="_x0000_s1035" type="#_x0000_t202" style="position:absolute;left:353;top:19140;width:75463;height:4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" filled="f" stroked="f" strokeweight=".5pt">
                  <v:textbox>
                    <w:txbxContent>
                      <w:p w14:paraId="2AEBA7A0" w14:textId="4F439EFE" w:rsidR="009470FA" w:rsidRPr="001C6A9D" w:rsidRDefault="009470FA" w:rsidP="001C6A9D">
                        <w:pPr>
                          <w:pStyle w:val="Title"/>
                          <w:rPr>
                            <w:rStyle w:val="Strong"/>
                          </w:rPr>
                        </w:pPr>
                        <w:r w:rsidRPr="001C6A9D">
                          <w:rPr>
                            <w:rStyle w:val="Strong"/>
                          </w:rPr>
                          <w:t>LAW STUDENT REVIEW</w:t>
                        </w:r>
                      </w:p>
                    </w:txbxContent>
                  </v:textbox>
                </v:shape>
                <v:line id="Straight Connector 27" o:spid="_x0000_s1036" style="position:absolute;visibility:visible;mso-wrap-style:square" from="2560,15976" to="73634,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" strokecolor="white [3212]" strokeweight="2pt">
                  <v:stroke joinstyle="miter"/>
                </v:line>
                <v:line id="Straight Connector 27" o:spid="_x0000_s1037" style="position:absolute;visibility:visible;mso-wrap-style:square" from="2560,26827" to="73634,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" strokecolor="white [3212]" strokeweight="2pt">
                  <v:stroke joinstyle="miter"/>
                </v:line>
              </v:group>
            </w:pict>
          </mc:Fallback>
        </mc:AlternateContent>
      </w:r>
      <w:r w:rsidR="0095632F">
        <w:rPr>
          <w:noProof/>
        </w:rPr>
        <mc:AlternateContent>
          <mc:Choice Requires="wps">
            <w:drawing>
              <wp:anchor distT="0" distB="0" distL="114300" distR="114300" simplePos="0" relativeHeight="251683840" behindDoc="0" locked="0" layoutInCell="1" allowOverlap="1" wp14:anchorId="2BE59E55" wp14:editId="40BCEAFD">
                <wp:simplePos x="0" y="0"/>
                <wp:positionH relativeFrom="column">
                  <wp:posOffset>-161544</wp:posOffset>
                </wp:positionH>
                <wp:positionV relativeFrom="paragraph">
                  <wp:posOffset>3340608</wp:posOffset>
                </wp:positionV>
                <wp:extent cx="6449568" cy="560832"/>
                <wp:effectExtent l="0" t="0" r="0" b="0"/>
                <wp:wrapNone/>
                <wp:docPr id="1144751722" name="Text Box 27"/>
                <wp:cNvGraphicFramePr/>
                <a:graphic xmlns:a="http://schemas.openxmlformats.org/drawingml/2006/main">
                  <a:graphicData uri="http://schemas.microsoft.com/office/word/2010/wordprocessingShape">
                    <wps:wsp>
                      <wps:cNvSpPr txBox="1"/>
                      <wps:spPr>
                        <a:xfrm>
                          <a:off x="0" y="0"/>
                          <a:ext cx="6449568" cy="560832"/>
                        </a:xfrm>
                        <a:prstGeom prst="rect">
                          <a:avLst/>
                        </a:prstGeom>
                        <a:noFill/>
                        <a:ln w="6350">
                          <a:noFill/>
                        </a:ln>
                      </wps:spPr>
                      <wps:txb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59E55" id="Text Box 27" o:spid="_x0000_s1038" type="#_x0000_t202" style="position:absolute;margin-left:-12.7pt;margin-top:263.05pt;width:507.85pt;height:4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" filled="f" stroked="f" strokeweight=".5pt">
                <v:textbo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v:textbox>
              </v:shape>
            </w:pict>
          </mc:Fallback>
        </mc:AlternateContent>
      </w:r>
      <w:r w:rsidR="008A391C">
        <w:rPr>
          <w:noProof/>
        </w:rPr>
        <mc:AlternateContent>
          <mc:Choice Requires="wps">
            <w:drawing>
              <wp:anchor distT="0" distB="0" distL="114300" distR="114300" simplePos="0" relativeHeight="251646972" behindDoc="0" locked="0" layoutInCell="1" allowOverlap="1" wp14:anchorId="2CEEBA33" wp14:editId="685847FB">
                <wp:simplePos x="0" y="0"/>
                <wp:positionH relativeFrom="column">
                  <wp:posOffset>-685165</wp:posOffset>
                </wp:positionH>
                <wp:positionV relativeFrom="paragraph">
                  <wp:posOffset>-926465</wp:posOffset>
                </wp:positionV>
                <wp:extent cx="7545720" cy="10668000"/>
                <wp:effectExtent l="0" t="0" r="10795" b="12700"/>
                <wp:wrapNone/>
                <wp:docPr id="1958028090" name="Rectangle 32"/>
                <wp:cNvGraphicFramePr/>
                <a:graphic xmlns:a="http://schemas.openxmlformats.org/drawingml/2006/main">
                  <a:graphicData uri="http://schemas.microsoft.com/office/word/2010/wordprocessingShape">
                    <wps:wsp>
                      <wps:cNvSpPr/>
                      <wps:spPr>
                        <a:xfrm>
                          <a:off x="0" y="0"/>
                          <a:ext cx="7545720" cy="10668000"/>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D01373" id="Rectangle 32" o:spid="_x0000_s1026" style="position:absolute;margin-left:-53.95pt;margin-top:-72.95pt;width:594.15pt;height:840pt;z-index:2516469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" fillcolor="#0e2841 [3215]" strokecolor="#030e13 [484]" strokeweight="1pt"/>
            </w:pict>
          </mc:Fallback>
        </mc:AlternateContent>
      </w:r>
      <w:r w:rsidR="00EF6D7D">
        <w:rPr>
          <w:noProof/>
        </w:rPr>
        <mc:AlternateContent>
          <mc:Choice Requires="wps">
            <w:drawing>
              <wp:anchor distT="0" distB="0" distL="114300" distR="114300" simplePos="0" relativeHeight="251662336" behindDoc="0" locked="0" layoutInCell="1" allowOverlap="1" wp14:anchorId="0C3EA4BA" wp14:editId="6ACC2562">
                <wp:simplePos x="0" y="0"/>
                <wp:positionH relativeFrom="column">
                  <wp:posOffset>-685800</wp:posOffset>
                </wp:positionH>
                <wp:positionV relativeFrom="paragraph">
                  <wp:posOffset>-926592</wp:posOffset>
                </wp:positionV>
                <wp:extent cx="6668770" cy="0"/>
                <wp:effectExtent l="0" t="0" r="11430" b="12700"/>
                <wp:wrapNone/>
                <wp:docPr id="1913028425" name="Straight Connector 22"/>
                <wp:cNvGraphicFramePr/>
                <a:graphic xmlns:a="http://schemas.openxmlformats.org/drawingml/2006/main">
                  <a:graphicData uri="http://schemas.microsoft.com/office/word/2010/wordprocessingShape">
                    <wps:wsp>
                      <wps:cNvCnPr/>
                      <wps:spPr>
                        <a:xfrm>
                          <a:off x="0" y="0"/>
                          <a:ext cx="666877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82638F" id="Straight Connector 2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72.95pt" to="471.1pt,-7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" strokecolor="white [3212]" strokeweight=".5pt">
                <v:stroke joinstyle="miter"/>
              </v:line>
            </w:pict>
          </mc:Fallback>
        </mc:AlternateContent>
      </w:r>
    </w:p>
    <w:sectPr w:rsidR="000F108B" w:rsidSect="00334ADB">
      <w:footerReference w:type="even" r:id="rId9"/>
      <w:footerReference w:type="default" r:id="rId10"/>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8F0C2F" w14:textId="77777777" w:rsidR="00CC20CF" w:rsidRDefault="00CC20CF" w:rsidP="00235853">
      <w:r>
        <w:separator/>
      </w:r>
    </w:p>
  </w:endnote>
  <w:endnote w:type="continuationSeparator" w:id="0">
    <w:p w14:paraId="46518F7C" w14:textId="77777777" w:rsidR="00CC20CF" w:rsidRDefault="00CC20CF" w:rsidP="0023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1162930"/>
      <w:docPartObj>
        <w:docPartGallery w:val="Page Numbers (Bottom of Page)"/>
        <w:docPartUnique/>
      </w:docPartObj>
    </w:sdtPr>
    <w:sdtContent>
      <w:p w14:paraId="4E6ABFC8" w14:textId="3653FED2" w:rsidR="00334ADB" w:rsidRDefault="00334ADB" w:rsidP="0023585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0A742B" w14:textId="77777777" w:rsidR="00334ADB" w:rsidRDefault="00334ADB" w:rsidP="00235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B0F5DF" w14:textId="32A2F460" w:rsidR="00334ADB" w:rsidRDefault="00000000" w:rsidP="00235853">
    <w:pPr>
      <w:pStyle w:val="Footer"/>
      <w:jc w:val="right"/>
    </w:pPr>
    <w:sdt>
      <w:sdtPr>
        <w:rPr>
          <w:rStyle w:val="PageNumber"/>
        </w:rPr>
        <w:id w:val="1063142190"/>
        <w:docPartObj>
          <w:docPartGallery w:val="Page Numbers (Bottom of Page)"/>
          <w:docPartUnique/>
        </w:docPartObj>
      </w:sdtPr>
      <w:sdtContent>
        <w:r w:rsidR="00334ADB">
          <w:rPr>
            <w:rStyle w:val="PageNumber"/>
          </w:rPr>
          <w:fldChar w:fldCharType="begin"/>
        </w:r>
        <w:r w:rsidR="00334ADB">
          <w:rPr>
            <w:rStyle w:val="PageNumber"/>
          </w:rPr>
          <w:instrText xml:space="preserve"> PAGE </w:instrText>
        </w:r>
        <w:r w:rsidR="00334ADB">
          <w:rPr>
            <w:rStyle w:val="PageNumber"/>
          </w:rPr>
          <w:fldChar w:fldCharType="separate"/>
        </w:r>
        <w:r w:rsidR="00334ADB">
          <w:rPr>
            <w:rStyle w:val="PageNumber"/>
            <w:noProof/>
          </w:rPr>
          <w:t>3</w:t>
        </w:r>
        <w:r w:rsidR="00334ADB">
          <w:rPr>
            <w:rStyle w:val="PageNumber"/>
          </w:rPr>
          <w:fldChar w:fldCharType="end"/>
        </w:r>
      </w:sdtContent>
    </w:sdt>
    <w:r w:rsidR="00235853">
      <w:rPr>
        <w:rStyle w:val="PageNumber"/>
      </w:rPr>
      <w:t xml:space="preserve"> </w:t>
    </w:r>
    <w:r w:rsidR="00334ADB">
      <w: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D20F5F" w14:textId="77777777" w:rsidR="00CC20CF" w:rsidRDefault="00CC20CF" w:rsidP="00235853">
      <w:r>
        <w:separator/>
      </w:r>
    </w:p>
  </w:footnote>
  <w:footnote w:type="continuationSeparator" w:id="0">
    <w:p w14:paraId="0E4FF235" w14:textId="77777777" w:rsidR="00CC20CF" w:rsidRDefault="00CC20CF" w:rsidP="00235853">
      <w:r>
        <w:continuationSeparator/>
      </w:r>
    </w:p>
  </w:footnote>
  <w:footnote w:id="1">
    <w:p w14:paraId="5AD89594" w14:textId="77777777" w:rsidR="000213BD" w:rsidRPr="00FC79D5" w:rsidRDefault="000213BD" w:rsidP="0050679E">
      <w:pPr>
        <w:pStyle w:val="FootnoteText"/>
        <w:spacing w:after="0"/>
        <w:rPr>
          <w:b/>
          <w:bCs/>
          <w:color w:val="000000" w:themeColor="text1"/>
          <w:sz w:val="20"/>
        </w:rPr>
      </w:pPr>
      <w:r w:rsidRPr="00C8568D">
        <w:rPr>
          <w:rStyle w:val="FootnoteReference"/>
          <w:sz w:val="20"/>
        </w:rPr>
        <w:footnoteRef/>
      </w:r>
      <w:r w:rsidRPr="00C8568D">
        <w:rPr>
          <w:sz w:val="20"/>
        </w:rPr>
        <w:t xml:space="preserve"> </w:t>
      </w:r>
      <w:r w:rsidRPr="00C8568D">
        <w:rPr>
          <w:i/>
          <w:iCs/>
          <w:color w:val="000000" w:themeColor="text1"/>
          <w:sz w:val="20"/>
        </w:rPr>
        <w:t xml:space="preserve">Sweeney v Boylan Nominees Pty Ltd </w:t>
      </w:r>
      <w:r w:rsidRPr="00C8568D">
        <w:rPr>
          <w:color w:val="000000" w:themeColor="text1"/>
          <w:sz w:val="20"/>
        </w:rPr>
        <w:t>(2006) 226 CLR 161</w:t>
      </w:r>
      <w:r>
        <w:rPr>
          <w:color w:val="000000" w:themeColor="text1"/>
          <w:sz w:val="20"/>
        </w:rPr>
        <w:t>,</w:t>
      </w:r>
      <w:r w:rsidRPr="00C8568D">
        <w:rPr>
          <w:color w:val="000000" w:themeColor="text1"/>
          <w:sz w:val="20"/>
        </w:rPr>
        <w:t xml:space="preserve"> 173 [33]</w:t>
      </w:r>
      <w:r>
        <w:rPr>
          <w:color w:val="000000" w:themeColor="text1"/>
          <w:sz w:val="20"/>
        </w:rPr>
        <w:t xml:space="preserve"> </w:t>
      </w:r>
      <w:r w:rsidRPr="00FC79D5">
        <w:rPr>
          <w:color w:val="000000" w:themeColor="text1"/>
          <w:sz w:val="20"/>
        </w:rPr>
        <w:t>(Gleeson CJ, Gummow, Hayne, Heydon and Crennan JJ);</w:t>
      </w:r>
      <w:r w:rsidRPr="00FC79D5">
        <w:rPr>
          <w:rFonts w:hint="eastAsia"/>
          <w:color w:val="000000" w:themeColor="text1"/>
          <w:sz w:val="20"/>
          <w:lang w:eastAsia="zh-TW"/>
        </w:rPr>
        <w:t xml:space="preserve"> </w:t>
      </w:r>
      <w:r w:rsidRPr="00FC79D5">
        <w:rPr>
          <w:i/>
          <w:iCs/>
          <w:color w:val="000000" w:themeColor="text1"/>
          <w:sz w:val="20"/>
        </w:rPr>
        <w:t>CCI</w:t>
      </w:r>
      <w:r w:rsidRPr="009042E6">
        <w:rPr>
          <w:i/>
          <w:iCs/>
          <w:color w:val="000000" w:themeColor="text1"/>
          <w:sz w:val="20"/>
        </w:rPr>
        <w:t>G Investments Pty Ltd v Schokman</w:t>
      </w:r>
      <w:r w:rsidRPr="009042E6">
        <w:rPr>
          <w:color w:val="000000" w:themeColor="text1"/>
          <w:sz w:val="20"/>
        </w:rPr>
        <w:t xml:space="preserve"> (2023) 97 ALJR 551</w:t>
      </w:r>
      <w:r>
        <w:rPr>
          <w:color w:val="000000" w:themeColor="text1"/>
          <w:sz w:val="20"/>
        </w:rPr>
        <w:t>,</w:t>
      </w:r>
      <w:r w:rsidRPr="009042E6">
        <w:rPr>
          <w:color w:val="000000" w:themeColor="text1"/>
          <w:sz w:val="20"/>
        </w:rPr>
        <w:t xml:space="preserve"> 555-556 [12]-[14]</w:t>
      </w:r>
      <w:r>
        <w:rPr>
          <w:color w:val="000000" w:themeColor="text1"/>
          <w:sz w:val="20"/>
        </w:rPr>
        <w:t xml:space="preserve"> (</w:t>
      </w:r>
      <w:r w:rsidRPr="00FC79D5">
        <w:rPr>
          <w:color w:val="000000" w:themeColor="text1"/>
          <w:sz w:val="20"/>
        </w:rPr>
        <w:t>Kiefel CJ, Gageler, Gordon and Jagot JJ)</w:t>
      </w:r>
      <w:r w:rsidRPr="009042E6">
        <w:rPr>
          <w:color w:val="000000" w:themeColor="text1"/>
          <w:sz w:val="20"/>
        </w:rPr>
        <w:t>.</w:t>
      </w:r>
    </w:p>
  </w:footnote>
  <w:footnote w:id="2">
    <w:p w14:paraId="41EF42C1" w14:textId="77777777" w:rsidR="000213BD" w:rsidRPr="004D26FD" w:rsidRDefault="000213BD" w:rsidP="0050679E">
      <w:pPr>
        <w:spacing w:after="0"/>
        <w:rPr>
          <w:color w:val="000000" w:themeColor="text1"/>
          <w:sz w:val="20"/>
          <w:szCs w:val="20"/>
        </w:rPr>
      </w:pPr>
      <w:r w:rsidRPr="004D26FD">
        <w:rPr>
          <w:rStyle w:val="FootnoteReference"/>
          <w:sz w:val="20"/>
          <w:szCs w:val="20"/>
        </w:rPr>
        <w:footnoteRef/>
      </w:r>
      <w:r>
        <w:t xml:space="preserve"> </w:t>
      </w:r>
      <w:r w:rsidRPr="00AE62CA">
        <w:rPr>
          <w:i/>
          <w:iCs/>
          <w:color w:val="000000" w:themeColor="text1"/>
          <w:sz w:val="20"/>
          <w:szCs w:val="20"/>
        </w:rPr>
        <w:t>BIRD v DP (a pseudonym)</w:t>
      </w:r>
      <w:r w:rsidRPr="000A145D">
        <w:rPr>
          <w:color w:val="000000" w:themeColor="text1"/>
          <w:sz w:val="20"/>
          <w:szCs w:val="20"/>
        </w:rPr>
        <w:t> (2024) 419 ALR 552</w:t>
      </w:r>
      <w:r>
        <w:rPr>
          <w:color w:val="000000" w:themeColor="text1"/>
          <w:sz w:val="20"/>
          <w:szCs w:val="20"/>
        </w:rPr>
        <w:t>, 568 [56] (</w:t>
      </w:r>
      <w:r w:rsidRPr="004D26FD">
        <w:rPr>
          <w:color w:val="000000" w:themeColor="text1"/>
          <w:sz w:val="20"/>
          <w:szCs w:val="20"/>
        </w:rPr>
        <w:t>Gageler CJ, Gordon, Edelman, Steward and Beech-Jones JJ).</w:t>
      </w:r>
    </w:p>
  </w:footnote>
  <w:footnote w:id="3">
    <w:p w14:paraId="12E0C6D9" w14:textId="77777777" w:rsidR="000213BD" w:rsidRPr="00C8568D" w:rsidRDefault="000213BD" w:rsidP="0050679E">
      <w:pPr>
        <w:pStyle w:val="FootnoteText"/>
        <w:spacing w:after="0"/>
        <w:rPr>
          <w:sz w:val="20"/>
          <w:lang w:val="en-US"/>
        </w:rPr>
      </w:pPr>
      <w:r w:rsidRPr="004D26FD">
        <w:rPr>
          <w:color w:val="000000" w:themeColor="text1"/>
          <w:sz w:val="20"/>
          <w:vertAlign w:val="superscript"/>
        </w:rPr>
        <w:footnoteRef/>
      </w:r>
      <w:r w:rsidRPr="004D26FD">
        <w:rPr>
          <w:color w:val="000000" w:themeColor="text1"/>
          <w:sz w:val="20"/>
        </w:rPr>
        <w:t xml:space="preserve"> </w:t>
      </w:r>
      <w:r w:rsidRPr="00AE62CA">
        <w:rPr>
          <w:i/>
          <w:iCs/>
          <w:color w:val="000000" w:themeColor="text1"/>
          <w:sz w:val="20"/>
        </w:rPr>
        <w:t>Hollis v Vabu Pty Ltd</w:t>
      </w:r>
      <w:r w:rsidRPr="004D26FD">
        <w:rPr>
          <w:color w:val="000000" w:themeColor="text1"/>
          <w:sz w:val="20"/>
        </w:rPr>
        <w:t> </w:t>
      </w:r>
      <w:r w:rsidRPr="00C8568D">
        <w:rPr>
          <w:color w:val="000000" w:themeColor="text1"/>
          <w:sz w:val="20"/>
        </w:rPr>
        <w:t>(2001) 207 CLR 21.</w:t>
      </w:r>
    </w:p>
  </w:footnote>
  <w:footnote w:id="4">
    <w:p w14:paraId="5439396A" w14:textId="77777777" w:rsidR="000213BD" w:rsidRPr="000A145D" w:rsidRDefault="000213BD" w:rsidP="0050679E">
      <w:pPr>
        <w:spacing w:after="0"/>
      </w:pPr>
      <w:r w:rsidRPr="00C8568D">
        <w:rPr>
          <w:rStyle w:val="FootnoteReference"/>
          <w:sz w:val="20"/>
          <w:szCs w:val="20"/>
        </w:rPr>
        <w:footnoteRef/>
      </w:r>
      <w:r w:rsidRPr="00C8568D">
        <w:rPr>
          <w:sz w:val="20"/>
          <w:szCs w:val="20"/>
        </w:rPr>
        <w:t xml:space="preserve"> </w:t>
      </w:r>
      <w:r w:rsidRPr="00C8568D">
        <w:rPr>
          <w:i/>
          <w:iCs/>
          <w:sz w:val="20"/>
          <w:szCs w:val="20"/>
        </w:rPr>
        <w:t>Construction, Forestry, Maritime, Mining and Energy Union v Personnel Contracting Pty Ltd</w:t>
      </w:r>
      <w:r w:rsidRPr="00C8568D">
        <w:rPr>
          <w:sz w:val="20"/>
          <w:szCs w:val="20"/>
        </w:rPr>
        <w:t> (2022) 275 CLR 165</w:t>
      </w:r>
      <w:r>
        <w:rPr>
          <w:sz w:val="20"/>
        </w:rPr>
        <w:t>, 415 [43] and 419 [55] (</w:t>
      </w:r>
      <w:r w:rsidRPr="002158C4">
        <w:rPr>
          <w:sz w:val="20"/>
        </w:rPr>
        <w:t xml:space="preserve">Kiefel CJ, Keane and Edelman </w:t>
      </w:r>
      <w:r w:rsidRPr="000A145D">
        <w:rPr>
          <w:sz w:val="20"/>
          <w:szCs w:val="20"/>
        </w:rPr>
        <w:t>JJ)</w:t>
      </w:r>
      <w:r>
        <w:rPr>
          <w:sz w:val="20"/>
          <w:szCs w:val="20"/>
        </w:rPr>
        <w:t xml:space="preserve"> (‘</w:t>
      </w:r>
      <w:r w:rsidRPr="00436DC0">
        <w:rPr>
          <w:i/>
          <w:iCs/>
          <w:sz w:val="20"/>
          <w:szCs w:val="20"/>
        </w:rPr>
        <w:t>CFMMEU</w:t>
      </w:r>
      <w:r>
        <w:rPr>
          <w:sz w:val="20"/>
          <w:szCs w:val="20"/>
        </w:rPr>
        <w:t>’).</w:t>
      </w:r>
    </w:p>
  </w:footnote>
  <w:footnote w:id="5">
    <w:p w14:paraId="325C7565" w14:textId="77777777" w:rsidR="000213BD" w:rsidRPr="00C8568D" w:rsidRDefault="000213BD" w:rsidP="0050679E">
      <w:pPr>
        <w:pStyle w:val="FootnoteText"/>
        <w:spacing w:after="0"/>
        <w:rPr>
          <w:lang w:val="en-US"/>
        </w:rPr>
      </w:pPr>
      <w:r w:rsidRPr="00C8568D">
        <w:rPr>
          <w:rStyle w:val="FootnoteReference"/>
          <w:sz w:val="20"/>
        </w:rPr>
        <w:footnoteRef/>
      </w:r>
      <w:r w:rsidRPr="00C8568D">
        <w:rPr>
          <w:sz w:val="20"/>
        </w:rPr>
        <w:t xml:space="preserve"> </w:t>
      </w:r>
      <w:r w:rsidRPr="00BB17E9">
        <w:rPr>
          <w:sz w:val="20"/>
        </w:rPr>
        <w:t>Ibid</w:t>
      </w:r>
      <w:r>
        <w:rPr>
          <w:sz w:val="20"/>
        </w:rPr>
        <w:t>,</w:t>
      </w:r>
      <w:r w:rsidRPr="00BB17E9">
        <w:rPr>
          <w:sz w:val="20"/>
        </w:rPr>
        <w:t xml:space="preserve"> </w:t>
      </w:r>
      <w:r>
        <w:rPr>
          <w:sz w:val="20"/>
        </w:rPr>
        <w:t xml:space="preserve">423 </w:t>
      </w:r>
      <w:r w:rsidRPr="00C8568D">
        <w:rPr>
          <w:sz w:val="20"/>
        </w:rPr>
        <w:t>[74]</w:t>
      </w:r>
      <w:r>
        <w:rPr>
          <w:sz w:val="20"/>
        </w:rPr>
        <w:t xml:space="preserve"> (</w:t>
      </w:r>
      <w:r w:rsidRPr="002158C4">
        <w:rPr>
          <w:sz w:val="20"/>
        </w:rPr>
        <w:t xml:space="preserve">Kiefel CJ, Keane and Edelman </w:t>
      </w:r>
      <w:r w:rsidRPr="000A145D">
        <w:rPr>
          <w:sz w:val="20"/>
        </w:rPr>
        <w:t>JJ)</w:t>
      </w:r>
      <w:r w:rsidRPr="00C8568D">
        <w:rPr>
          <w:sz w:val="20"/>
        </w:rPr>
        <w:t>.</w:t>
      </w:r>
    </w:p>
  </w:footnote>
  <w:footnote w:id="6">
    <w:p w14:paraId="20106E06" w14:textId="77777777" w:rsidR="000213BD" w:rsidRPr="009442CA" w:rsidRDefault="000213BD" w:rsidP="0050679E">
      <w:pPr>
        <w:pStyle w:val="FootnoteText"/>
        <w:spacing w:after="0"/>
        <w:rPr>
          <w:sz w:val="20"/>
        </w:rPr>
      </w:pPr>
      <w:r w:rsidRPr="009442CA">
        <w:rPr>
          <w:rStyle w:val="FootnoteReference"/>
          <w:sz w:val="20"/>
        </w:rPr>
        <w:footnoteRef/>
      </w:r>
      <w:r w:rsidRPr="009442CA">
        <w:rPr>
          <w:sz w:val="20"/>
        </w:rPr>
        <w:t xml:space="preserve"> </w:t>
      </w:r>
      <w:r w:rsidRPr="009442CA">
        <w:rPr>
          <w:i/>
          <w:iCs/>
          <w:sz w:val="20"/>
        </w:rPr>
        <w:t xml:space="preserve">ZG Operations Australia Pty Ltd v Jamsek </w:t>
      </w:r>
      <w:r w:rsidRPr="009442CA">
        <w:rPr>
          <w:sz w:val="20"/>
        </w:rPr>
        <w:t>(2022) 398 ALR 603</w:t>
      </w:r>
      <w:r>
        <w:rPr>
          <w:sz w:val="20"/>
        </w:rPr>
        <w:t xml:space="preserve"> (‘</w:t>
      </w:r>
      <w:r w:rsidRPr="00B76B63">
        <w:rPr>
          <w:i/>
          <w:iCs/>
          <w:sz w:val="20"/>
        </w:rPr>
        <w:t>ZG Operations</w:t>
      </w:r>
      <w:r>
        <w:rPr>
          <w:sz w:val="20"/>
        </w:rPr>
        <w:t>’)</w:t>
      </w:r>
      <w:r w:rsidRPr="009442CA">
        <w:rPr>
          <w:sz w:val="20"/>
        </w:rPr>
        <w:t>.</w:t>
      </w:r>
    </w:p>
  </w:footnote>
  <w:footnote w:id="7">
    <w:p w14:paraId="315996DA" w14:textId="77777777" w:rsidR="000213BD" w:rsidRPr="009042E6" w:rsidRDefault="000213BD" w:rsidP="0050679E">
      <w:pPr>
        <w:pStyle w:val="FootnoteText"/>
        <w:spacing w:after="0"/>
        <w:rPr>
          <w:lang w:val="en-US"/>
        </w:rPr>
      </w:pPr>
      <w:r w:rsidRPr="001B5AEE">
        <w:rPr>
          <w:rStyle w:val="FootnoteReference"/>
          <w:sz w:val="20"/>
        </w:rPr>
        <w:footnoteRef/>
      </w:r>
      <w:r>
        <w:t xml:space="preserve"> </w:t>
      </w:r>
      <w:r w:rsidRPr="009042E6">
        <w:rPr>
          <w:sz w:val="20"/>
        </w:rPr>
        <w:t>Facts [8].</w:t>
      </w:r>
    </w:p>
  </w:footnote>
  <w:footnote w:id="8">
    <w:p w14:paraId="54FCE549" w14:textId="77777777" w:rsidR="000213BD" w:rsidRPr="00DA67D8" w:rsidRDefault="000213BD" w:rsidP="0050679E">
      <w:pPr>
        <w:pStyle w:val="FootnoteText"/>
        <w:spacing w:after="0"/>
        <w:rPr>
          <w:sz w:val="20"/>
          <w:lang w:val="en-US"/>
        </w:rPr>
      </w:pPr>
      <w:r w:rsidRPr="00DA67D8">
        <w:rPr>
          <w:rStyle w:val="FootnoteReference"/>
          <w:sz w:val="20"/>
        </w:rPr>
        <w:footnoteRef/>
      </w:r>
      <w:r w:rsidRPr="00DA67D8">
        <w:rPr>
          <w:sz w:val="20"/>
        </w:rPr>
        <w:t xml:space="preserve"> </w:t>
      </w:r>
      <w:r w:rsidRPr="00DA67D8">
        <w:rPr>
          <w:i/>
          <w:iCs/>
          <w:sz w:val="20"/>
        </w:rPr>
        <w:t>ZG Operations</w:t>
      </w:r>
      <w:r>
        <w:rPr>
          <w:i/>
          <w:iCs/>
          <w:sz w:val="20"/>
        </w:rPr>
        <w:t xml:space="preserve"> </w:t>
      </w:r>
      <w:r w:rsidRPr="00B76B63">
        <w:rPr>
          <w:sz w:val="20"/>
        </w:rPr>
        <w:t>(n</w:t>
      </w:r>
      <w:r>
        <w:rPr>
          <w:sz w:val="20"/>
        </w:rPr>
        <w:t xml:space="preserve"> </w:t>
      </w:r>
      <w:r w:rsidRPr="00B76B63">
        <w:rPr>
          <w:sz w:val="20"/>
        </w:rPr>
        <w:t>6)</w:t>
      </w:r>
      <w:r w:rsidRPr="00DA67D8">
        <w:rPr>
          <w:sz w:val="20"/>
        </w:rPr>
        <w:t xml:space="preserve"> </w:t>
      </w:r>
      <w:r>
        <w:rPr>
          <w:sz w:val="20"/>
        </w:rPr>
        <w:t xml:space="preserve">611 </w:t>
      </w:r>
      <w:r w:rsidRPr="00DA67D8">
        <w:rPr>
          <w:sz w:val="20"/>
        </w:rPr>
        <w:t>[34]-[36] (Kiefel CJ, Keane and Edelman JJ).</w:t>
      </w:r>
    </w:p>
  </w:footnote>
  <w:footnote w:id="9">
    <w:p w14:paraId="04F5154A" w14:textId="77777777" w:rsidR="000213BD" w:rsidRPr="00DA67D8" w:rsidRDefault="000213BD" w:rsidP="0050679E">
      <w:pPr>
        <w:spacing w:after="0"/>
        <w:rPr>
          <w:sz w:val="20"/>
          <w:szCs w:val="20"/>
        </w:rPr>
      </w:pPr>
      <w:r w:rsidRPr="00DA67D8">
        <w:rPr>
          <w:rStyle w:val="FootnoteReference"/>
          <w:sz w:val="20"/>
          <w:szCs w:val="20"/>
        </w:rPr>
        <w:footnoteRef/>
      </w:r>
      <w:r w:rsidRPr="00DA67D8">
        <w:rPr>
          <w:sz w:val="20"/>
          <w:szCs w:val="20"/>
        </w:rPr>
        <w:t xml:space="preserve"> </w:t>
      </w:r>
      <w:r w:rsidRPr="009042E6">
        <w:rPr>
          <w:sz w:val="20"/>
        </w:rPr>
        <w:t>Facts [8].</w:t>
      </w:r>
    </w:p>
  </w:footnote>
  <w:footnote w:id="10">
    <w:p w14:paraId="493E5D59" w14:textId="77777777" w:rsidR="000213BD" w:rsidRPr="00DA67D8" w:rsidRDefault="000213BD" w:rsidP="0050679E">
      <w:pPr>
        <w:spacing w:after="0"/>
        <w:rPr>
          <w:sz w:val="20"/>
          <w:szCs w:val="20"/>
        </w:rPr>
      </w:pPr>
      <w:r w:rsidRPr="00DA67D8">
        <w:rPr>
          <w:rStyle w:val="FootnoteReference"/>
          <w:sz w:val="20"/>
          <w:szCs w:val="20"/>
        </w:rPr>
        <w:footnoteRef/>
      </w:r>
      <w:r w:rsidRPr="00DA67D8">
        <w:rPr>
          <w:sz w:val="20"/>
          <w:szCs w:val="20"/>
        </w:rPr>
        <w:t xml:space="preserve"> </w:t>
      </w:r>
      <w:r w:rsidRPr="00DA67D8">
        <w:rPr>
          <w:i/>
          <w:iCs/>
          <w:sz w:val="20"/>
          <w:szCs w:val="20"/>
        </w:rPr>
        <w:t xml:space="preserve">ZG Operations </w:t>
      </w:r>
      <w:r w:rsidRPr="00B76B63">
        <w:rPr>
          <w:sz w:val="20"/>
        </w:rPr>
        <w:t>(n</w:t>
      </w:r>
      <w:r>
        <w:rPr>
          <w:sz w:val="20"/>
        </w:rPr>
        <w:t xml:space="preserve"> </w:t>
      </w:r>
      <w:r w:rsidRPr="00B76B63">
        <w:rPr>
          <w:sz w:val="20"/>
        </w:rPr>
        <w:t>6)</w:t>
      </w:r>
      <w:r w:rsidRPr="00DA67D8">
        <w:rPr>
          <w:sz w:val="20"/>
          <w:szCs w:val="20"/>
        </w:rPr>
        <w:t xml:space="preserve"> </w:t>
      </w:r>
      <w:r>
        <w:rPr>
          <w:sz w:val="20"/>
          <w:szCs w:val="20"/>
        </w:rPr>
        <w:t xml:space="preserve">609 </w:t>
      </w:r>
      <w:r w:rsidRPr="00DA67D8">
        <w:rPr>
          <w:sz w:val="20"/>
          <w:szCs w:val="20"/>
        </w:rPr>
        <w:t>[19]</w:t>
      </w:r>
      <w:r>
        <w:rPr>
          <w:sz w:val="20"/>
          <w:szCs w:val="20"/>
        </w:rPr>
        <w:t xml:space="preserve"> and 610</w:t>
      </w:r>
      <w:r w:rsidRPr="00DA67D8">
        <w:rPr>
          <w:sz w:val="20"/>
          <w:szCs w:val="20"/>
        </w:rPr>
        <w:t xml:space="preserve"> [25]-[27] (Kiefel CJ, Keane and Edelman JJ).</w:t>
      </w:r>
    </w:p>
  </w:footnote>
  <w:footnote w:id="11">
    <w:p w14:paraId="788FF246" w14:textId="77777777" w:rsidR="000213BD" w:rsidRPr="00DA67D8" w:rsidRDefault="000213BD" w:rsidP="0050679E">
      <w:pPr>
        <w:pStyle w:val="FootnoteText"/>
        <w:spacing w:after="0"/>
        <w:rPr>
          <w:sz w:val="20"/>
        </w:rPr>
      </w:pPr>
      <w:r w:rsidRPr="00DA67D8">
        <w:rPr>
          <w:sz w:val="20"/>
          <w:vertAlign w:val="superscript"/>
        </w:rPr>
        <w:footnoteRef/>
      </w:r>
      <w:r w:rsidRPr="00DA67D8">
        <w:rPr>
          <w:sz w:val="20"/>
        </w:rPr>
        <w:t xml:space="preserve"> </w:t>
      </w:r>
      <w:r w:rsidRPr="009042E6">
        <w:rPr>
          <w:sz w:val="20"/>
        </w:rPr>
        <w:t>Facts [8].</w:t>
      </w:r>
    </w:p>
  </w:footnote>
  <w:footnote w:id="12">
    <w:p w14:paraId="454E6A8E" w14:textId="77777777" w:rsidR="000213BD" w:rsidRPr="00DA67D8" w:rsidRDefault="000213BD" w:rsidP="0050679E">
      <w:pPr>
        <w:pStyle w:val="FootnoteText"/>
        <w:spacing w:after="0"/>
        <w:rPr>
          <w:sz w:val="20"/>
        </w:rPr>
      </w:pPr>
      <w:r w:rsidRPr="00DA67D8">
        <w:rPr>
          <w:rStyle w:val="FootnoteReference"/>
          <w:sz w:val="20"/>
        </w:rPr>
        <w:footnoteRef/>
      </w:r>
      <w:r w:rsidRPr="00DA67D8">
        <w:rPr>
          <w:sz w:val="20"/>
        </w:rPr>
        <w:t xml:space="preserve"> </w:t>
      </w:r>
      <w:r>
        <w:rPr>
          <w:sz w:val="20"/>
        </w:rPr>
        <w:t>Ibid.</w:t>
      </w:r>
    </w:p>
  </w:footnote>
  <w:footnote w:id="13">
    <w:p w14:paraId="6C5A9E7A" w14:textId="77777777" w:rsidR="000213BD" w:rsidRPr="00DA67D8" w:rsidRDefault="000213BD" w:rsidP="0050679E">
      <w:pPr>
        <w:pStyle w:val="FootnoteText"/>
        <w:spacing w:after="0"/>
        <w:rPr>
          <w:sz w:val="20"/>
        </w:rPr>
      </w:pPr>
      <w:r w:rsidRPr="00DA67D8">
        <w:rPr>
          <w:rStyle w:val="FootnoteReference"/>
          <w:sz w:val="20"/>
        </w:rPr>
        <w:footnoteRef/>
      </w:r>
      <w:r w:rsidRPr="00DA67D8">
        <w:rPr>
          <w:sz w:val="20"/>
        </w:rPr>
        <w:t xml:space="preserve"> </w:t>
      </w:r>
      <w:r w:rsidRPr="00DA67D8">
        <w:rPr>
          <w:i/>
          <w:iCs/>
          <w:sz w:val="20"/>
        </w:rPr>
        <w:t xml:space="preserve">ZG Operations </w:t>
      </w:r>
      <w:r w:rsidRPr="00B76B63">
        <w:rPr>
          <w:sz w:val="20"/>
        </w:rPr>
        <w:t xml:space="preserve">(n 6) </w:t>
      </w:r>
      <w:r>
        <w:rPr>
          <w:sz w:val="20"/>
        </w:rPr>
        <w:t xml:space="preserve">610 </w:t>
      </w:r>
      <w:r w:rsidRPr="00DA67D8">
        <w:rPr>
          <w:sz w:val="20"/>
        </w:rPr>
        <w:t>[28]-[31]</w:t>
      </w:r>
      <w:r>
        <w:rPr>
          <w:sz w:val="20"/>
        </w:rPr>
        <w:t xml:space="preserve"> and 615 [54]-[55]</w:t>
      </w:r>
      <w:r w:rsidRPr="00DA67D8">
        <w:rPr>
          <w:sz w:val="20"/>
        </w:rPr>
        <w:t xml:space="preserve"> (Kiefel CJ, Keane and Edelman JJ).</w:t>
      </w:r>
    </w:p>
  </w:footnote>
  <w:footnote w:id="14">
    <w:p w14:paraId="6B7EA6CD" w14:textId="77777777" w:rsidR="000213BD" w:rsidRPr="001355E9" w:rsidRDefault="000213BD" w:rsidP="0050679E">
      <w:pPr>
        <w:pStyle w:val="FootnoteText"/>
        <w:spacing w:after="0"/>
        <w:rPr>
          <w:sz w:val="20"/>
        </w:rPr>
      </w:pPr>
      <w:r w:rsidRPr="00DA67D8">
        <w:rPr>
          <w:rStyle w:val="FootnoteReference"/>
          <w:sz w:val="20"/>
        </w:rPr>
        <w:footnoteRef/>
      </w:r>
      <w:r w:rsidRPr="00DA67D8">
        <w:rPr>
          <w:rStyle w:val="FootnoteReference"/>
          <w:sz w:val="20"/>
        </w:rPr>
        <w:t xml:space="preserve"> </w:t>
      </w:r>
      <w:r w:rsidRPr="00DA67D8">
        <w:rPr>
          <w:i/>
          <w:iCs/>
          <w:sz w:val="20"/>
        </w:rPr>
        <w:t>New South Wales v Lepore</w:t>
      </w:r>
      <w:r w:rsidRPr="00DA67D8">
        <w:rPr>
          <w:sz w:val="20"/>
        </w:rPr>
        <w:t> (2003) 212 CLR 511</w:t>
      </w:r>
      <w:r>
        <w:rPr>
          <w:sz w:val="20"/>
        </w:rPr>
        <w:t>,</w:t>
      </w:r>
      <w:r w:rsidRPr="00DA67D8">
        <w:rPr>
          <w:sz w:val="20"/>
        </w:rPr>
        <w:t xml:space="preserve"> [</w:t>
      </w:r>
      <w:r w:rsidRPr="001355E9">
        <w:rPr>
          <w:sz w:val="20"/>
        </w:rPr>
        <w:t>232] (Gleeson CJ).</w:t>
      </w:r>
    </w:p>
  </w:footnote>
  <w:footnote w:id="15">
    <w:p w14:paraId="74D209AB" w14:textId="77777777" w:rsidR="000213BD" w:rsidRPr="00DA67D8" w:rsidRDefault="000213BD" w:rsidP="0050679E">
      <w:pPr>
        <w:pStyle w:val="FootnoteText"/>
        <w:spacing w:after="0"/>
        <w:rPr>
          <w:sz w:val="20"/>
          <w:lang w:val="en-US" w:eastAsia="zh-TW"/>
        </w:rPr>
      </w:pPr>
      <w:r w:rsidRPr="00DA67D8">
        <w:rPr>
          <w:rStyle w:val="FootnoteReference"/>
          <w:sz w:val="20"/>
        </w:rPr>
        <w:footnoteRef/>
      </w:r>
      <w:r w:rsidRPr="00DA67D8">
        <w:rPr>
          <w:rStyle w:val="FootnoteReference"/>
          <w:sz w:val="20"/>
        </w:rPr>
        <w:t xml:space="preserve"> </w:t>
      </w:r>
      <w:r w:rsidRPr="00DA67D8">
        <w:rPr>
          <w:i/>
          <w:iCs/>
          <w:sz w:val="20"/>
        </w:rPr>
        <w:t>C</w:t>
      </w:r>
      <w:r>
        <w:rPr>
          <w:i/>
          <w:iCs/>
          <w:sz w:val="20"/>
        </w:rPr>
        <w:t xml:space="preserve">FMMEU </w:t>
      </w:r>
      <w:r>
        <w:rPr>
          <w:sz w:val="20"/>
        </w:rPr>
        <w:t>(n 4)</w:t>
      </w:r>
      <w:r w:rsidRPr="00DA67D8">
        <w:rPr>
          <w:sz w:val="20"/>
        </w:rPr>
        <w:t xml:space="preserve"> </w:t>
      </w:r>
      <w:r>
        <w:rPr>
          <w:sz w:val="20"/>
        </w:rPr>
        <w:t xml:space="preserve">425 </w:t>
      </w:r>
      <w:r w:rsidRPr="00DA67D8">
        <w:rPr>
          <w:sz w:val="20"/>
        </w:rPr>
        <w:t>[83] and</w:t>
      </w:r>
      <w:r>
        <w:rPr>
          <w:sz w:val="20"/>
        </w:rPr>
        <w:t xml:space="preserve"> 455</w:t>
      </w:r>
      <w:r w:rsidRPr="00DA67D8">
        <w:rPr>
          <w:sz w:val="20"/>
        </w:rPr>
        <w:t xml:space="preserve"> [191]</w:t>
      </w:r>
      <w:r>
        <w:rPr>
          <w:sz w:val="20"/>
        </w:rPr>
        <w:t xml:space="preserve"> (</w:t>
      </w:r>
      <w:r w:rsidRPr="001355E9">
        <w:rPr>
          <w:sz w:val="20"/>
        </w:rPr>
        <w:t>Gageler and Gleeson JJ)</w:t>
      </w:r>
      <w:r w:rsidRPr="00DA67D8">
        <w:rPr>
          <w:sz w:val="20"/>
        </w:rPr>
        <w:t>.</w:t>
      </w:r>
    </w:p>
  </w:footnote>
  <w:footnote w:id="16">
    <w:p w14:paraId="38C9E76C" w14:textId="77777777" w:rsidR="000213BD" w:rsidRPr="00DB4E30" w:rsidRDefault="000213BD" w:rsidP="0050679E">
      <w:pPr>
        <w:pStyle w:val="FootnoteText"/>
        <w:spacing w:after="0"/>
        <w:rPr>
          <w:b/>
          <w:bCs/>
        </w:rPr>
      </w:pPr>
      <w:r w:rsidRPr="00DA67D8">
        <w:rPr>
          <w:rStyle w:val="FootnoteReference"/>
          <w:sz w:val="20"/>
        </w:rPr>
        <w:footnoteRef/>
      </w:r>
      <w:r w:rsidRPr="00DA67D8">
        <w:rPr>
          <w:sz w:val="20"/>
        </w:rPr>
        <w:t xml:space="preserve"> </w:t>
      </w:r>
      <w:r w:rsidRPr="00DA67D8">
        <w:rPr>
          <w:i/>
          <w:iCs/>
          <w:sz w:val="20"/>
        </w:rPr>
        <w:t>Bugge v Brown</w:t>
      </w:r>
      <w:r w:rsidRPr="00DA67D8">
        <w:rPr>
          <w:sz w:val="20"/>
        </w:rPr>
        <w:t xml:space="preserve"> (1919) 26 CLR 110</w:t>
      </w:r>
      <w:r>
        <w:rPr>
          <w:sz w:val="20"/>
        </w:rPr>
        <w:t xml:space="preserve">, </w:t>
      </w:r>
      <w:r w:rsidRPr="00DA67D8">
        <w:rPr>
          <w:sz w:val="20"/>
        </w:rPr>
        <w:t xml:space="preserve">128 </w:t>
      </w:r>
      <w:r w:rsidRPr="00DA67D8">
        <w:rPr>
          <w:rFonts w:hint="eastAsia"/>
          <w:sz w:val="20"/>
          <w:lang w:eastAsia="zh-TW"/>
        </w:rPr>
        <w:t>(</w:t>
      </w:r>
      <w:r w:rsidRPr="00DA67D8">
        <w:rPr>
          <w:sz w:val="20"/>
        </w:rPr>
        <w:t>Isaacs J).</w:t>
      </w:r>
      <w:r w:rsidRPr="00DB4E30">
        <w:rPr>
          <w:b/>
          <w:bCs/>
        </w:rPr>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6B2A9C"/>
    <w:multiLevelType w:val="hybridMultilevel"/>
    <w:tmpl w:val="449A1EC4"/>
    <w:lvl w:ilvl="0" w:tplc="F89C38E8">
      <w:start w:val="1"/>
      <w:numFmt w:val="decimal"/>
      <w:lvlText w:val="%1"/>
      <w:lvlJc w:val="left"/>
      <w:pPr>
        <w:ind w:left="425" w:hanging="425"/>
      </w:pPr>
      <w:rPr>
        <w:rFonts w:ascii="Times New Roman" w:hAnsi="Times New Roman" w:cs="Times New Roman" w:hint="default"/>
        <w:i w:val="0"/>
        <w:sz w:val="24"/>
        <w:szCs w:val="24"/>
      </w:rPr>
    </w:lvl>
    <w:lvl w:ilvl="1" w:tplc="AADAEFBE">
      <w:start w:val="1"/>
      <w:numFmt w:val="lowerLetter"/>
      <w:lvlText w:val="(%2)"/>
      <w:lvlJc w:val="left"/>
      <w:pPr>
        <w:ind w:left="851" w:hanging="426"/>
      </w:pPr>
      <w:rPr>
        <w:rFonts w:ascii="Times New Roman" w:hAnsi="Times New Roman" w:cs="Times New Roman" w:hint="default"/>
        <w:sz w:val="24"/>
        <w:szCs w:val="20"/>
      </w:rPr>
    </w:lvl>
    <w:lvl w:ilvl="2" w:tplc="9DCE7C60">
      <w:start w:val="1"/>
      <w:numFmt w:val="lowerRoman"/>
      <w:lvlText w:val="%3."/>
      <w:lvlJc w:val="left"/>
      <w:pPr>
        <w:ind w:left="1276" w:hanging="425"/>
      </w:pPr>
      <w:rPr>
        <w:rFonts w:hint="default"/>
      </w:rPr>
    </w:lvl>
    <w:lvl w:ilvl="3" w:tplc="421A37B8">
      <w:start w:val="1"/>
      <w:numFmt w:val="lowerLetter"/>
      <w:lvlText w:val="%4."/>
      <w:lvlJc w:val="left"/>
      <w:pPr>
        <w:ind w:left="2880" w:hanging="720"/>
      </w:pPr>
      <w:rPr>
        <w:rFonts w:hint="default"/>
      </w:r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357338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B"/>
    <w:rsid w:val="000213BD"/>
    <w:rsid w:val="0007301A"/>
    <w:rsid w:val="0008172E"/>
    <w:rsid w:val="000A4193"/>
    <w:rsid w:val="000A7F76"/>
    <w:rsid w:val="000B2023"/>
    <w:rsid w:val="000D128E"/>
    <w:rsid w:val="000F108B"/>
    <w:rsid w:val="00111C95"/>
    <w:rsid w:val="00134090"/>
    <w:rsid w:val="00137E3E"/>
    <w:rsid w:val="00142E38"/>
    <w:rsid w:val="00147DC9"/>
    <w:rsid w:val="0016094B"/>
    <w:rsid w:val="00166E10"/>
    <w:rsid w:val="001725BB"/>
    <w:rsid w:val="00175486"/>
    <w:rsid w:val="00195F7D"/>
    <w:rsid w:val="001A3BD0"/>
    <w:rsid w:val="001B7DFD"/>
    <w:rsid w:val="001C6A9D"/>
    <w:rsid w:val="001F059D"/>
    <w:rsid w:val="001F21E4"/>
    <w:rsid w:val="001F7F8C"/>
    <w:rsid w:val="0021596B"/>
    <w:rsid w:val="00220042"/>
    <w:rsid w:val="0023078B"/>
    <w:rsid w:val="00235853"/>
    <w:rsid w:val="00240E95"/>
    <w:rsid w:val="00247111"/>
    <w:rsid w:val="00262BED"/>
    <w:rsid w:val="0027444B"/>
    <w:rsid w:val="00285268"/>
    <w:rsid w:val="00294CA4"/>
    <w:rsid w:val="002D65A1"/>
    <w:rsid w:val="002D6AA4"/>
    <w:rsid w:val="002F23C0"/>
    <w:rsid w:val="00300E0C"/>
    <w:rsid w:val="0032017D"/>
    <w:rsid w:val="00334ADB"/>
    <w:rsid w:val="00341B1E"/>
    <w:rsid w:val="00344A17"/>
    <w:rsid w:val="00356093"/>
    <w:rsid w:val="00363D1D"/>
    <w:rsid w:val="003A02E1"/>
    <w:rsid w:val="003A1CFB"/>
    <w:rsid w:val="003B7C76"/>
    <w:rsid w:val="003C2E5F"/>
    <w:rsid w:val="003E0982"/>
    <w:rsid w:val="003E43B4"/>
    <w:rsid w:val="003E7BC4"/>
    <w:rsid w:val="003F5A67"/>
    <w:rsid w:val="00404131"/>
    <w:rsid w:val="00404398"/>
    <w:rsid w:val="00405FCE"/>
    <w:rsid w:val="00417678"/>
    <w:rsid w:val="004373E5"/>
    <w:rsid w:val="004428B7"/>
    <w:rsid w:val="00454AE5"/>
    <w:rsid w:val="0046317F"/>
    <w:rsid w:val="00464656"/>
    <w:rsid w:val="0046610A"/>
    <w:rsid w:val="00480B5D"/>
    <w:rsid w:val="00482078"/>
    <w:rsid w:val="00483774"/>
    <w:rsid w:val="00483FDC"/>
    <w:rsid w:val="004D2AC4"/>
    <w:rsid w:val="004D4240"/>
    <w:rsid w:val="004E3D64"/>
    <w:rsid w:val="004E66C5"/>
    <w:rsid w:val="004F4891"/>
    <w:rsid w:val="005126AF"/>
    <w:rsid w:val="00531BB6"/>
    <w:rsid w:val="00553DD0"/>
    <w:rsid w:val="00564DFA"/>
    <w:rsid w:val="00571DCD"/>
    <w:rsid w:val="00580005"/>
    <w:rsid w:val="00580B86"/>
    <w:rsid w:val="0058507A"/>
    <w:rsid w:val="00596E11"/>
    <w:rsid w:val="005A2FB7"/>
    <w:rsid w:val="005A6F4D"/>
    <w:rsid w:val="005D092F"/>
    <w:rsid w:val="005E1FFE"/>
    <w:rsid w:val="00601F4E"/>
    <w:rsid w:val="00602F53"/>
    <w:rsid w:val="006059CA"/>
    <w:rsid w:val="00610E85"/>
    <w:rsid w:val="00613015"/>
    <w:rsid w:val="006137B4"/>
    <w:rsid w:val="00621706"/>
    <w:rsid w:val="00630EB4"/>
    <w:rsid w:val="00634D86"/>
    <w:rsid w:val="00691C4F"/>
    <w:rsid w:val="006B0791"/>
    <w:rsid w:val="006B7BEF"/>
    <w:rsid w:val="006C0C11"/>
    <w:rsid w:val="006C458F"/>
    <w:rsid w:val="006F60E7"/>
    <w:rsid w:val="006F651C"/>
    <w:rsid w:val="00714231"/>
    <w:rsid w:val="007279F6"/>
    <w:rsid w:val="00727A61"/>
    <w:rsid w:val="0076135F"/>
    <w:rsid w:val="0076785F"/>
    <w:rsid w:val="007769FF"/>
    <w:rsid w:val="007969BD"/>
    <w:rsid w:val="007A4BF8"/>
    <w:rsid w:val="007B1D20"/>
    <w:rsid w:val="007B71B0"/>
    <w:rsid w:val="007C4F96"/>
    <w:rsid w:val="007D2217"/>
    <w:rsid w:val="007F17E8"/>
    <w:rsid w:val="00805941"/>
    <w:rsid w:val="00806120"/>
    <w:rsid w:val="0080654C"/>
    <w:rsid w:val="00812867"/>
    <w:rsid w:val="008132C3"/>
    <w:rsid w:val="008215DC"/>
    <w:rsid w:val="00840943"/>
    <w:rsid w:val="00843BE6"/>
    <w:rsid w:val="0085433B"/>
    <w:rsid w:val="00893441"/>
    <w:rsid w:val="008A391C"/>
    <w:rsid w:val="008B0CF6"/>
    <w:rsid w:val="008B7194"/>
    <w:rsid w:val="008B7902"/>
    <w:rsid w:val="008E7CDB"/>
    <w:rsid w:val="008F57CF"/>
    <w:rsid w:val="009035F2"/>
    <w:rsid w:val="009142C9"/>
    <w:rsid w:val="00924A66"/>
    <w:rsid w:val="00930211"/>
    <w:rsid w:val="0093046D"/>
    <w:rsid w:val="00944B71"/>
    <w:rsid w:val="009470FA"/>
    <w:rsid w:val="00951FD7"/>
    <w:rsid w:val="0095632F"/>
    <w:rsid w:val="00962EBB"/>
    <w:rsid w:val="00964E96"/>
    <w:rsid w:val="009929D2"/>
    <w:rsid w:val="00997C34"/>
    <w:rsid w:val="009C531C"/>
    <w:rsid w:val="009D06C6"/>
    <w:rsid w:val="009E1A7D"/>
    <w:rsid w:val="00A01517"/>
    <w:rsid w:val="00A03A12"/>
    <w:rsid w:val="00A0638E"/>
    <w:rsid w:val="00A502FB"/>
    <w:rsid w:val="00A540EA"/>
    <w:rsid w:val="00A830C0"/>
    <w:rsid w:val="00A97FC9"/>
    <w:rsid w:val="00AA3760"/>
    <w:rsid w:val="00AA67FB"/>
    <w:rsid w:val="00AC1831"/>
    <w:rsid w:val="00AD2504"/>
    <w:rsid w:val="00B02D14"/>
    <w:rsid w:val="00B15DDE"/>
    <w:rsid w:val="00B33213"/>
    <w:rsid w:val="00B46C49"/>
    <w:rsid w:val="00B65234"/>
    <w:rsid w:val="00B832BA"/>
    <w:rsid w:val="00B868C3"/>
    <w:rsid w:val="00B90FAA"/>
    <w:rsid w:val="00B97C02"/>
    <w:rsid w:val="00BA00F7"/>
    <w:rsid w:val="00BB66EB"/>
    <w:rsid w:val="00BC443F"/>
    <w:rsid w:val="00BC6547"/>
    <w:rsid w:val="00BD62C4"/>
    <w:rsid w:val="00BE5553"/>
    <w:rsid w:val="00C00C1E"/>
    <w:rsid w:val="00C41993"/>
    <w:rsid w:val="00C63EA7"/>
    <w:rsid w:val="00C65049"/>
    <w:rsid w:val="00C8782D"/>
    <w:rsid w:val="00C94C21"/>
    <w:rsid w:val="00CB7B0F"/>
    <w:rsid w:val="00CC20CF"/>
    <w:rsid w:val="00CE2659"/>
    <w:rsid w:val="00D1061C"/>
    <w:rsid w:val="00D30760"/>
    <w:rsid w:val="00D5782C"/>
    <w:rsid w:val="00D67988"/>
    <w:rsid w:val="00D7124D"/>
    <w:rsid w:val="00D74462"/>
    <w:rsid w:val="00D75D0F"/>
    <w:rsid w:val="00D774EF"/>
    <w:rsid w:val="00D94C07"/>
    <w:rsid w:val="00DC1F28"/>
    <w:rsid w:val="00DE365C"/>
    <w:rsid w:val="00DE7698"/>
    <w:rsid w:val="00DF314C"/>
    <w:rsid w:val="00E00CF1"/>
    <w:rsid w:val="00E0232C"/>
    <w:rsid w:val="00E030D6"/>
    <w:rsid w:val="00E160C6"/>
    <w:rsid w:val="00E179B4"/>
    <w:rsid w:val="00E23ACE"/>
    <w:rsid w:val="00E35F81"/>
    <w:rsid w:val="00E45958"/>
    <w:rsid w:val="00E6116E"/>
    <w:rsid w:val="00E6236F"/>
    <w:rsid w:val="00E660C7"/>
    <w:rsid w:val="00E95486"/>
    <w:rsid w:val="00EC40F3"/>
    <w:rsid w:val="00EF6D7D"/>
    <w:rsid w:val="00EF7F99"/>
    <w:rsid w:val="00F05EA0"/>
    <w:rsid w:val="00F1081F"/>
    <w:rsid w:val="00F15FF2"/>
    <w:rsid w:val="00F166DC"/>
    <w:rsid w:val="00F22977"/>
    <w:rsid w:val="00F3602A"/>
    <w:rsid w:val="00F400FE"/>
    <w:rsid w:val="00F52A96"/>
    <w:rsid w:val="00F6794E"/>
    <w:rsid w:val="00F72084"/>
    <w:rsid w:val="00F74AD5"/>
    <w:rsid w:val="00F76D99"/>
    <w:rsid w:val="00F772BB"/>
    <w:rsid w:val="00F81255"/>
    <w:rsid w:val="00F84D64"/>
    <w:rsid w:val="00F972AD"/>
    <w:rsid w:val="00FA4988"/>
    <w:rsid w:val="00FA4E12"/>
    <w:rsid w:val="00FB2581"/>
    <w:rsid w:val="00FB5B18"/>
    <w:rsid w:val="00FD42E0"/>
    <w:rsid w:val="00FD531E"/>
    <w:rsid w:val="00FE034A"/>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7C0F"/>
  <w15:chartTrackingRefBased/>
  <w15:docId w15:val="{5B7C685B-599E-F249-9F2E-FA1E023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53"/>
    <w:pPr>
      <w:spacing w:after="240" w:line="360" w:lineRule="auto"/>
    </w:pPr>
    <w:rPr>
      <w:rFonts w:ascii="Times New Roman" w:hAnsi="Times New Roman" w:cs="Times New Roman"/>
    </w:rPr>
  </w:style>
  <w:style w:type="paragraph" w:styleId="Heading1">
    <w:name w:val="heading 1"/>
    <w:basedOn w:val="Normal"/>
    <w:next w:val="Normal"/>
    <w:link w:val="Heading1Char"/>
    <w:uiPriority w:val="9"/>
    <w:qFormat/>
    <w:rsid w:val="00E23ACE"/>
    <w:pPr>
      <w:jc w:val="center"/>
      <w:outlineLvl w:val="0"/>
    </w:pPr>
    <w:rPr>
      <w:b/>
      <w:bCs/>
      <w:color w:val="000000" w:themeColor="text1"/>
      <w:sz w:val="28"/>
      <w:szCs w:val="28"/>
    </w:rPr>
  </w:style>
  <w:style w:type="paragraph" w:styleId="Heading2">
    <w:name w:val="heading 2"/>
    <w:basedOn w:val="Normal"/>
    <w:next w:val="Normal"/>
    <w:link w:val="Heading2Char"/>
    <w:uiPriority w:val="9"/>
    <w:unhideWhenUsed/>
    <w:qFormat/>
    <w:rsid w:val="00235853"/>
    <w:pPr>
      <w:outlineLvl w:val="1"/>
    </w:pPr>
    <w:rPr>
      <w:u w:val="single"/>
    </w:rPr>
  </w:style>
  <w:style w:type="paragraph" w:styleId="Heading3">
    <w:name w:val="heading 3"/>
    <w:basedOn w:val="Normal"/>
    <w:next w:val="Normal"/>
    <w:link w:val="Heading3Char"/>
    <w:uiPriority w:val="9"/>
    <w:semiHidden/>
    <w:unhideWhenUsed/>
    <w:qFormat/>
    <w:rsid w:val="000F1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CE"/>
    <w:rPr>
      <w:rFonts w:ascii="Times New Roman"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235853"/>
    <w:rPr>
      <w:rFonts w:ascii="Times New Roman" w:hAnsi="Times New Roman" w:cs="Times New Roman"/>
      <w:u w:val="single"/>
    </w:rPr>
  </w:style>
  <w:style w:type="character" w:customStyle="1" w:styleId="Heading3Char">
    <w:name w:val="Heading 3 Char"/>
    <w:basedOn w:val="DefaultParagraphFont"/>
    <w:link w:val="Heading3"/>
    <w:uiPriority w:val="9"/>
    <w:semiHidden/>
    <w:rsid w:val="000F1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8B"/>
    <w:rPr>
      <w:rFonts w:eastAsiaTheme="majorEastAsia" w:cstheme="majorBidi"/>
      <w:color w:val="272727" w:themeColor="text1" w:themeTint="D8"/>
    </w:rPr>
  </w:style>
  <w:style w:type="paragraph" w:styleId="Title">
    <w:name w:val="Title"/>
    <w:basedOn w:val="Normal"/>
    <w:next w:val="Normal"/>
    <w:link w:val="TitleChar"/>
    <w:uiPriority w:val="10"/>
    <w:qFormat/>
    <w:rsid w:val="001C6A9D"/>
    <w:pPr>
      <w:jc w:val="center"/>
    </w:pPr>
    <w:rPr>
      <w:color w:val="FFFFFF" w:themeColor="background1"/>
      <w:sz w:val="48"/>
      <w:szCs w:val="48"/>
    </w:rPr>
  </w:style>
  <w:style w:type="character" w:customStyle="1" w:styleId="TitleChar">
    <w:name w:val="Title Char"/>
    <w:basedOn w:val="DefaultParagraphFont"/>
    <w:link w:val="Title"/>
    <w:uiPriority w:val="10"/>
    <w:rsid w:val="001C6A9D"/>
    <w:rPr>
      <w:rFonts w:ascii="Times New Roman" w:hAnsi="Times New Roman" w:cs="Times New Roman"/>
      <w:color w:val="FFFFFF" w:themeColor="background1"/>
      <w:sz w:val="48"/>
      <w:szCs w:val="48"/>
    </w:rPr>
  </w:style>
  <w:style w:type="paragraph" w:styleId="Subtitle">
    <w:name w:val="Subtitle"/>
    <w:basedOn w:val="Normal"/>
    <w:next w:val="Normal"/>
    <w:link w:val="SubtitleChar"/>
    <w:uiPriority w:val="11"/>
    <w:qFormat/>
    <w:rsid w:val="00262BED"/>
    <w:pPr>
      <w:spacing w:after="0"/>
      <w:jc w:val="center"/>
    </w:pPr>
    <w:rPr>
      <w:i/>
      <w:iCs/>
      <w:color w:val="FFFFFF" w:themeColor="background1"/>
      <w:sz w:val="36"/>
      <w:szCs w:val="36"/>
    </w:rPr>
  </w:style>
  <w:style w:type="character" w:customStyle="1" w:styleId="SubtitleChar">
    <w:name w:val="Subtitle Char"/>
    <w:basedOn w:val="DefaultParagraphFont"/>
    <w:link w:val="Subtitle"/>
    <w:uiPriority w:val="11"/>
    <w:rsid w:val="00262BED"/>
    <w:rPr>
      <w:rFonts w:ascii="Times New Roman" w:hAnsi="Times New Roman" w:cs="Times New Roman"/>
      <w:i/>
      <w:iCs/>
      <w:color w:val="FFFFFF" w:themeColor="background1"/>
      <w:sz w:val="36"/>
      <w:szCs w:val="36"/>
    </w:rPr>
  </w:style>
  <w:style w:type="paragraph" w:styleId="Quote">
    <w:name w:val="Quote"/>
    <w:basedOn w:val="Normal"/>
    <w:next w:val="Normal"/>
    <w:link w:val="QuoteChar"/>
    <w:uiPriority w:val="29"/>
    <w:qFormat/>
    <w:rsid w:val="000F10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08B"/>
    <w:rPr>
      <w:i/>
      <w:iCs/>
      <w:color w:val="404040" w:themeColor="text1" w:themeTint="BF"/>
    </w:rPr>
  </w:style>
  <w:style w:type="paragraph" w:styleId="ListParagraph">
    <w:name w:val="List Paragraph"/>
    <w:basedOn w:val="Normal"/>
    <w:uiPriority w:val="34"/>
    <w:qFormat/>
    <w:rsid w:val="000F108B"/>
    <w:pPr>
      <w:ind w:left="720"/>
      <w:contextualSpacing/>
    </w:pPr>
  </w:style>
  <w:style w:type="character" w:styleId="IntenseEmphasis">
    <w:name w:val="Intense Emphasis"/>
    <w:basedOn w:val="DefaultParagraphFont"/>
    <w:uiPriority w:val="21"/>
    <w:qFormat/>
    <w:rsid w:val="000F108B"/>
    <w:rPr>
      <w:i/>
      <w:iCs/>
      <w:color w:val="0F4761" w:themeColor="accent1" w:themeShade="BF"/>
    </w:rPr>
  </w:style>
  <w:style w:type="paragraph" w:styleId="IntenseQuote">
    <w:name w:val="Intense Quote"/>
    <w:basedOn w:val="Normal"/>
    <w:next w:val="Normal"/>
    <w:link w:val="IntenseQuoteChar"/>
    <w:uiPriority w:val="30"/>
    <w:qFormat/>
    <w:rsid w:val="000F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8B"/>
    <w:rPr>
      <w:i/>
      <w:iCs/>
      <w:color w:val="0F4761" w:themeColor="accent1" w:themeShade="BF"/>
    </w:rPr>
  </w:style>
  <w:style w:type="character" w:styleId="IntenseReference">
    <w:name w:val="Intense Reference"/>
    <w:basedOn w:val="DefaultParagraphFont"/>
    <w:uiPriority w:val="32"/>
    <w:qFormat/>
    <w:rsid w:val="000F108B"/>
    <w:rPr>
      <w:b/>
      <w:bCs/>
      <w:smallCaps/>
      <w:color w:val="0F4761" w:themeColor="accent1" w:themeShade="BF"/>
      <w:spacing w:val="5"/>
    </w:rPr>
  </w:style>
  <w:style w:type="paragraph" w:styleId="Header">
    <w:name w:val="header"/>
    <w:basedOn w:val="Normal"/>
    <w:link w:val="HeaderChar"/>
    <w:uiPriority w:val="99"/>
    <w:unhideWhenUsed/>
    <w:rsid w:val="00334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ADB"/>
    <w:rPr>
      <w:rFonts w:ascii="Times New Roman" w:hAnsi="Times New Roman" w:cs="Times New Roman"/>
      <w:sz w:val="22"/>
      <w:szCs w:val="22"/>
    </w:rPr>
  </w:style>
  <w:style w:type="paragraph" w:styleId="Footer">
    <w:name w:val="footer"/>
    <w:basedOn w:val="Normal"/>
    <w:link w:val="FooterChar"/>
    <w:uiPriority w:val="99"/>
    <w:unhideWhenUsed/>
    <w:rsid w:val="00334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ADB"/>
    <w:rPr>
      <w:rFonts w:ascii="Times New Roman" w:hAnsi="Times New Roman" w:cs="Times New Roman"/>
      <w:sz w:val="22"/>
      <w:szCs w:val="22"/>
    </w:rPr>
  </w:style>
  <w:style w:type="character" w:styleId="PageNumber">
    <w:name w:val="page number"/>
    <w:basedOn w:val="DefaultParagraphFont"/>
    <w:uiPriority w:val="99"/>
    <w:semiHidden/>
    <w:unhideWhenUsed/>
    <w:rsid w:val="00334ADB"/>
  </w:style>
  <w:style w:type="character" w:styleId="SubtleEmphasis">
    <w:name w:val="Subtle Emphasis"/>
    <w:uiPriority w:val="19"/>
    <w:qFormat/>
    <w:rsid w:val="00E23ACE"/>
    <w:rPr>
      <w:sz w:val="24"/>
      <w:szCs w:val="24"/>
    </w:rPr>
  </w:style>
  <w:style w:type="character" w:styleId="Strong">
    <w:name w:val="Strong"/>
    <w:uiPriority w:val="22"/>
    <w:qFormat/>
    <w:rsid w:val="001C6A9D"/>
  </w:style>
  <w:style w:type="paragraph" w:styleId="FootnoteText">
    <w:name w:val="footnote text"/>
    <w:basedOn w:val="Normal"/>
    <w:link w:val="FootnoteTextChar"/>
    <w:uiPriority w:val="99"/>
    <w:unhideWhenUsed/>
    <w:rsid w:val="000213BD"/>
    <w:pPr>
      <w:spacing w:after="120" w:line="240" w:lineRule="auto"/>
    </w:pPr>
    <w:rPr>
      <w:rFonts w:eastAsia="Calibri"/>
      <w:szCs w:val="20"/>
    </w:rPr>
  </w:style>
  <w:style w:type="character" w:customStyle="1" w:styleId="FootnoteTextChar">
    <w:name w:val="Footnote Text Char"/>
    <w:basedOn w:val="DefaultParagraphFont"/>
    <w:link w:val="FootnoteText"/>
    <w:uiPriority w:val="99"/>
    <w:rsid w:val="000213BD"/>
    <w:rPr>
      <w:rFonts w:ascii="Times New Roman" w:eastAsia="Calibri" w:hAnsi="Times New Roman" w:cs="Times New Roman"/>
      <w:szCs w:val="20"/>
    </w:rPr>
  </w:style>
  <w:style w:type="character" w:styleId="FootnoteReference">
    <w:name w:val="footnote reference"/>
    <w:uiPriority w:val="99"/>
    <w:unhideWhenUsed/>
    <w:rsid w:val="000213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C12E-0CC6-9048-B462-92C22EB89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1067</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Macvean</dc:creator>
  <cp:keywords/>
  <dc:description/>
  <cp:lastModifiedBy>Benjamin Macvean</cp:lastModifiedBy>
  <cp:revision>3</cp:revision>
  <dcterms:created xsi:type="dcterms:W3CDTF">2026-05-16T05:14:00Z</dcterms:created>
  <dcterms:modified xsi:type="dcterms:W3CDTF">2026-08-13T10:12:00Z</dcterms:modified>
</cp:coreProperties>
</file>