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DB14B" w14:textId="77777777" w:rsidR="00317E02" w:rsidRDefault="00317E02">
      <w:pPr>
        <w:spacing w:after="1200"/>
      </w:pPr>
    </w:p>
    <w:p w14:paraId="2DA74D88" w14:textId="77777777" w:rsidR="00317E02" w:rsidRDefault="00000000">
      <w:pPr>
        <w:spacing w:after="600"/>
        <w:jc w:val="center"/>
      </w:pPr>
      <w:r>
        <w:rPr>
          <w:rFonts w:ascii="Arial" w:eastAsia="Arial" w:hAnsi="Arial" w:cs="Arial"/>
          <w:b/>
          <w:bCs/>
          <w:sz w:val="28"/>
          <w:szCs w:val="28"/>
        </w:rPr>
        <w:t>TECHNICAL WHITE PAPER</w:t>
      </w:r>
    </w:p>
    <w:p w14:paraId="06563898" w14:textId="77777777" w:rsidR="00317E02" w:rsidRDefault="00000000">
      <w:pPr>
        <w:spacing w:after="400"/>
        <w:jc w:val="center"/>
      </w:pPr>
      <w:r>
        <w:rPr>
          <w:rFonts w:ascii="Arial" w:eastAsia="Arial" w:hAnsi="Arial" w:cs="Arial"/>
          <w:b/>
          <w:bCs/>
          <w:sz w:val="40"/>
          <w:szCs w:val="40"/>
        </w:rPr>
        <w:t xml:space="preserve">Ensuring Quality, Fairness, and Security in </w:t>
      </w:r>
      <w:proofErr w:type="gramStart"/>
      <w:r>
        <w:rPr>
          <w:rFonts w:ascii="Arial" w:eastAsia="Arial" w:hAnsi="Arial" w:cs="Arial"/>
          <w:b/>
          <w:bCs/>
          <w:sz w:val="40"/>
          <w:szCs w:val="40"/>
        </w:rPr>
        <w:t>Open Source</w:t>
      </w:r>
      <w:proofErr w:type="gramEnd"/>
      <w:r>
        <w:rPr>
          <w:rFonts w:ascii="Arial" w:eastAsia="Arial" w:hAnsi="Arial" w:cs="Arial"/>
          <w:b/>
          <w:bCs/>
          <w:sz w:val="40"/>
          <w:szCs w:val="40"/>
        </w:rPr>
        <w:t xml:space="preserve"> Large Language Models for National Defense</w:t>
      </w:r>
    </w:p>
    <w:p w14:paraId="34C5DF0F" w14:textId="77777777" w:rsidR="00317E02" w:rsidRDefault="00000000">
      <w:pPr>
        <w:spacing w:after="200"/>
        <w:jc w:val="center"/>
      </w:pPr>
      <w:r>
        <w:rPr>
          <w:rFonts w:ascii="Arial" w:eastAsia="Arial" w:hAnsi="Arial" w:cs="Arial"/>
          <w:i/>
          <w:iCs/>
        </w:rPr>
        <w:t>A Comprehensive Framework for Model Evaluation, Risk Assessment, and Secure Deployment</w:t>
      </w:r>
    </w:p>
    <w:p w14:paraId="260B1300" w14:textId="77777777" w:rsidR="00317E02" w:rsidRDefault="00317E02">
      <w:pPr>
        <w:spacing w:after="800"/>
      </w:pPr>
    </w:p>
    <w:p w14:paraId="11E4A498" w14:textId="77777777" w:rsidR="00317E02" w:rsidRDefault="00000000">
      <w:pPr>
        <w:spacing w:after="100"/>
        <w:jc w:val="center"/>
      </w:pPr>
      <w:r>
        <w:rPr>
          <w:sz w:val="22"/>
          <w:szCs w:val="22"/>
        </w:rPr>
        <w:t>Version 1.0</w:t>
      </w:r>
    </w:p>
    <w:p w14:paraId="0B8B1A89" w14:textId="77777777" w:rsidR="00317E02" w:rsidRDefault="00000000">
      <w:pPr>
        <w:spacing w:after="100"/>
        <w:jc w:val="center"/>
      </w:pPr>
      <w:r>
        <w:rPr>
          <w:sz w:val="22"/>
          <w:szCs w:val="22"/>
        </w:rPr>
        <w:t>January 2026</w:t>
      </w:r>
    </w:p>
    <w:p w14:paraId="7285BFE6" w14:textId="77777777" w:rsidR="00317E02" w:rsidRDefault="00317E02">
      <w:pPr>
        <w:spacing w:after="1600"/>
      </w:pPr>
    </w:p>
    <w:p w14:paraId="101FDB5C" w14:textId="77777777" w:rsidR="00317E02" w:rsidRDefault="00000000">
      <w:pPr>
        <w:spacing w:after="100"/>
        <w:jc w:val="center"/>
      </w:pPr>
      <w:r>
        <w:rPr>
          <w:rFonts w:ascii="Arial" w:eastAsia="Arial" w:hAnsi="Arial" w:cs="Arial"/>
          <w:b/>
          <w:bCs/>
          <w:sz w:val="20"/>
          <w:szCs w:val="20"/>
        </w:rPr>
        <w:t>DISTRIBUTION STATEMENT A</w:t>
      </w:r>
    </w:p>
    <w:p w14:paraId="312F1531" w14:textId="77777777" w:rsidR="00317E02" w:rsidRDefault="00000000">
      <w:pPr>
        <w:jc w:val="center"/>
      </w:pPr>
      <w:r>
        <w:rPr>
          <w:i/>
          <w:iCs/>
          <w:sz w:val="20"/>
          <w:szCs w:val="20"/>
        </w:rPr>
        <w:t>Approved for public release; distribution is unlimited.</w:t>
      </w:r>
    </w:p>
    <w:p w14:paraId="764CB830" w14:textId="77777777" w:rsidR="00317E02" w:rsidRDefault="00000000">
      <w:r>
        <w:br w:type="page"/>
      </w:r>
    </w:p>
    <w:p w14:paraId="7842FCE6" w14:textId="77777777" w:rsidR="00317E02" w:rsidRDefault="00000000">
      <w:pPr>
        <w:pStyle w:val="Heading1"/>
        <w:spacing w:after="200"/>
      </w:pPr>
      <w:r>
        <w:lastRenderedPageBreak/>
        <w:t>Executive Summary</w:t>
      </w:r>
    </w:p>
    <w:p w14:paraId="3CED0050" w14:textId="77777777" w:rsidR="00317E02" w:rsidRDefault="00000000">
      <w:pPr>
        <w:spacing w:after="200"/>
        <w:jc w:val="both"/>
      </w:pPr>
      <w:r>
        <w:t>The proliferation of large language models (LLMs) represents a paradigm shift in artificial intelligence capabilities, with profound implications for national defense applications. As these models transition from research artifacts to operational tools, the Department of Defense (DoD) and allied agencies face unprecedented challenges in evaluating their suitability for mission-critical applications. This white paper establishes a rigorous technical framework for assessing open source LLMs across three fundamental dimensions: quality assurance, fairness and bias mitigation, and security hardening.</w:t>
      </w:r>
    </w:p>
    <w:p w14:paraId="6B31C12C" w14:textId="77777777" w:rsidR="00317E02" w:rsidRDefault="00000000">
      <w:pPr>
        <w:spacing w:after="200"/>
        <w:jc w:val="both"/>
      </w:pPr>
      <w:r>
        <w:t>The evaluation methodology presented herein draws upon established machine learning evaluation paradigms while addressing the unique requirements of defense contexts, including adversarial operating environments, high-stakes decision support, and stringent information security requirements. Key contributions include: (1) a defense-specific benchmark taxonomy aligned with Joint All-Domain Command and Control (JADC2) requirements; (2) quantitative bias detection protocols calibrated for military personnel demographics and operational scenarios; (3) threat modeling frameworks addressing both inference-time attacks and supply chain vulnerabilities; and (4) secure deployment architectures compatible with classified network enclaves.</w:t>
      </w:r>
    </w:p>
    <w:p w14:paraId="6ECC9317" w14:textId="77777777" w:rsidR="00317E02" w:rsidRDefault="00000000">
      <w:pPr>
        <w:spacing w:after="200"/>
        <w:jc w:val="both"/>
      </w:pPr>
      <w:r>
        <w:t>The urgency of this work is underscored by the accelerating adoption of AI-enabled capabilities across the defense enterprise, from intelligence analysis and logistics optimization to autonomous systems and cyber operations. Without systematic evaluation methodologies, defense organizations risk deploying models that produce unreliable outputs, perpetuate harmful biases, or present exploitable vulnerabilities to adversaries. This paper provides actionable guidance for program managers, acquisition professionals, and technical evaluators responsible for integrating LLM capabilities into defense systems.</w:t>
      </w:r>
    </w:p>
    <w:p w14:paraId="3933DEF4" w14:textId="77777777" w:rsidR="00317E02" w:rsidRDefault="00000000">
      <w:r>
        <w:br w:type="page"/>
      </w:r>
    </w:p>
    <w:p w14:paraId="15FD0B63" w14:textId="77777777" w:rsidR="00317E02" w:rsidRDefault="00000000">
      <w:pPr>
        <w:pStyle w:val="Heading1"/>
        <w:spacing w:after="200"/>
      </w:pPr>
      <w:r>
        <w:lastRenderedPageBreak/>
        <w:t>1. Introduction</w:t>
      </w:r>
    </w:p>
    <w:p w14:paraId="27AA9927" w14:textId="77777777" w:rsidR="00317E02" w:rsidRDefault="00000000">
      <w:pPr>
        <w:pStyle w:val="Heading2"/>
        <w:spacing w:before="360"/>
      </w:pPr>
      <w:r>
        <w:t>1.1 Background and Motivation</w:t>
      </w:r>
    </w:p>
    <w:p w14:paraId="56C22BE2" w14:textId="77777777" w:rsidR="00317E02" w:rsidRDefault="00000000">
      <w:pPr>
        <w:spacing w:after="200"/>
        <w:jc w:val="both"/>
      </w:pPr>
      <w:r>
        <w:t xml:space="preserve">Large language models have emerged as foundational technologies capable of performing sophisticated natural language understanding, generation, and reasoning tasks (Brown et al., 2020; Touvron et al., 2023). The release of increasingly capable </w:t>
      </w:r>
      <w:proofErr w:type="gramStart"/>
      <w:r>
        <w:t>open source</w:t>
      </w:r>
      <w:proofErr w:type="gramEnd"/>
      <w:r>
        <w:t xml:space="preserve"> models, including LLaMA (Touvron et al., 2023), Mistral (Jiang et al., 2023), and Falcon (Penedo et al., 2023), has democratized access to these capabilities while raising critical questions about their responsible deployment in sensitive applications.</w:t>
      </w:r>
    </w:p>
    <w:p w14:paraId="721A5836" w14:textId="77777777" w:rsidR="00317E02" w:rsidRDefault="00000000">
      <w:pPr>
        <w:spacing w:after="200"/>
        <w:jc w:val="both"/>
      </w:pPr>
      <w:r>
        <w:t>The national defense context presents unique evaluation challenges that existing commercial or academic frameworks inadequately address. Defense applications demand not merely competitive benchmark performance, but demonstrable reliability under adversarial conditions, fairness across diverse operational contexts, and resilience against sophisticated threat actors. Furthermore, the integration of LLMs into defense systems must comply with established acquisition regulations, including DoD Instruction 5000.02 and emerging AI-specific guidance such as the DoD AI Principles (2020) and Responsible AI Strategy (2022).</w:t>
      </w:r>
    </w:p>
    <w:p w14:paraId="77B70B05" w14:textId="77777777" w:rsidR="00317E02" w:rsidRDefault="00000000">
      <w:pPr>
        <w:spacing w:after="200"/>
        <w:jc w:val="both"/>
      </w:pPr>
      <w:r>
        <w:t>This white paper addresses a critical gap in the current literature by synthesizing evaluation methodologies from machine learning, software assurance, and defense acquisition into a cohesive framework tailored for open source LLM assessment. The framework is designed to be extensible, enabling adaptation to evolving model architectures and emerging threat landscapes.</w:t>
      </w:r>
    </w:p>
    <w:p w14:paraId="442EC550" w14:textId="77777777" w:rsidR="00317E02" w:rsidRDefault="00000000">
      <w:pPr>
        <w:pStyle w:val="Heading2"/>
        <w:spacing w:before="360"/>
      </w:pPr>
      <w:r>
        <w:t>1.2 Scope and Objectives</w:t>
      </w:r>
    </w:p>
    <w:p w14:paraId="515469B3" w14:textId="77777777" w:rsidR="00317E02" w:rsidRDefault="00000000">
      <w:pPr>
        <w:spacing w:after="200"/>
        <w:jc w:val="both"/>
      </w:pPr>
      <w:r>
        <w:t>This document establishes technical requirements and evaluation procedures for assessing open source LLMs intended for integration into defense information systems. The scope encompasses:</w:t>
      </w:r>
    </w:p>
    <w:p w14:paraId="2E67D77D" w14:textId="77777777" w:rsidR="00317E02" w:rsidRDefault="00000000">
      <w:pPr>
        <w:pStyle w:val="ListParagraph"/>
        <w:numPr>
          <w:ilvl w:val="0"/>
          <w:numId w:val="2"/>
        </w:numPr>
        <w:spacing w:after="120"/>
      </w:pPr>
      <w:r>
        <w:rPr>
          <w:b/>
          <w:bCs/>
        </w:rPr>
        <w:t xml:space="preserve">Quality Assessment: </w:t>
      </w:r>
      <w:r>
        <w:t>Methodologies for evaluating model accuracy, consistency, and domain-specific performance across defense-relevant tasks including intelligence analysis, operational planning, and technical documentation synthesis.</w:t>
      </w:r>
    </w:p>
    <w:p w14:paraId="60C2999F" w14:textId="77777777" w:rsidR="00317E02" w:rsidRDefault="00000000">
      <w:pPr>
        <w:pStyle w:val="ListParagraph"/>
        <w:numPr>
          <w:ilvl w:val="0"/>
          <w:numId w:val="2"/>
        </w:numPr>
        <w:spacing w:after="120"/>
      </w:pPr>
      <w:r>
        <w:rPr>
          <w:b/>
          <w:bCs/>
        </w:rPr>
        <w:t xml:space="preserve">Fairness Evaluation: </w:t>
      </w:r>
      <w:r>
        <w:t>Protocols for detecting, quantifying, and mitigating biases that could result in discriminatory outcomes or undermine operational effectiveness across diverse personnel and operational contexts.</w:t>
      </w:r>
    </w:p>
    <w:p w14:paraId="248C3FFB" w14:textId="77777777" w:rsidR="00317E02" w:rsidRDefault="00000000">
      <w:pPr>
        <w:pStyle w:val="ListParagraph"/>
        <w:numPr>
          <w:ilvl w:val="0"/>
          <w:numId w:val="2"/>
        </w:numPr>
        <w:spacing w:after="120"/>
      </w:pPr>
      <w:r>
        <w:rPr>
          <w:b/>
          <w:bCs/>
        </w:rPr>
        <w:t xml:space="preserve">Security Analysis: </w:t>
      </w:r>
      <w:r>
        <w:t>Threat modeling and vulnerability assessment procedures addressing adversarial attacks, model manipulation, and information leakage risks.</w:t>
      </w:r>
    </w:p>
    <w:p w14:paraId="337F4425" w14:textId="77777777" w:rsidR="00317E02" w:rsidRDefault="00000000">
      <w:pPr>
        <w:pStyle w:val="ListParagraph"/>
        <w:numPr>
          <w:ilvl w:val="0"/>
          <w:numId w:val="2"/>
        </w:numPr>
        <w:spacing w:after="120"/>
      </w:pPr>
      <w:r>
        <w:rPr>
          <w:b/>
          <w:bCs/>
        </w:rPr>
        <w:t xml:space="preserve">Deployment Architecture: </w:t>
      </w:r>
      <w:r>
        <w:t>Reference architectures for secure model deployment compatible with DoD information assurance requirements and network enclave constraints.</w:t>
      </w:r>
    </w:p>
    <w:p w14:paraId="34660F9E" w14:textId="77777777" w:rsidR="00317E02" w:rsidRDefault="00000000">
      <w:pPr>
        <w:pStyle w:val="Heading2"/>
        <w:spacing w:before="360"/>
      </w:pPr>
      <w:r>
        <w:t>1.3 Document Organization</w:t>
      </w:r>
    </w:p>
    <w:p w14:paraId="4A71E183" w14:textId="77777777" w:rsidR="00317E02" w:rsidRDefault="00000000">
      <w:pPr>
        <w:spacing w:after="200"/>
        <w:jc w:val="both"/>
      </w:pPr>
      <w:r>
        <w:t xml:space="preserve">The remainder of this white paper is organized as follows. Section 2 provides technical background on LLM </w:t>
      </w:r>
      <w:proofErr w:type="gramStart"/>
      <w:r>
        <w:t>architectures</w:t>
      </w:r>
      <w:proofErr w:type="gramEnd"/>
      <w:r>
        <w:t xml:space="preserve"> and their relevance to defense applications. Section 3 presents the quality </w:t>
      </w:r>
      <w:r>
        <w:lastRenderedPageBreak/>
        <w:t>assessment framework, including benchmark design principles and evaluation metrics. Section 4 addresses fairness and bias considerations with quantitative detection methodologies. Section 5 develops the security evaluation framework, encompassing threat modeling and adversarial robustness testing. Section 6 describes secure deployment architectures. Section 7 offers implementation recommendations and a phased adoption roadmap. Section 8 concludes with future research directions.</w:t>
      </w:r>
    </w:p>
    <w:p w14:paraId="2CCF8FDA" w14:textId="77777777" w:rsidR="00317E02" w:rsidRDefault="00000000">
      <w:pPr>
        <w:pStyle w:val="Heading1"/>
        <w:spacing w:after="200"/>
      </w:pPr>
      <w:r>
        <w:t>2. Technical Background</w:t>
      </w:r>
    </w:p>
    <w:p w14:paraId="31CE63E1" w14:textId="77777777" w:rsidR="00317E02" w:rsidRDefault="00000000">
      <w:pPr>
        <w:pStyle w:val="Heading2"/>
        <w:spacing w:before="360"/>
      </w:pPr>
      <w:r>
        <w:t>2.1 Large Language Model Architectures</w:t>
      </w:r>
    </w:p>
    <w:p w14:paraId="55DA85BB" w14:textId="77777777" w:rsidR="00317E02" w:rsidRDefault="00000000">
      <w:pPr>
        <w:spacing w:after="200"/>
        <w:jc w:val="both"/>
      </w:pPr>
      <w:r>
        <w:t xml:space="preserve">Modern LLMs are predominantly based on the Transformer architecture (Vaswani et al., 2017), which employs self-attention mechanisms to model long-range dependencies in sequential data. The scaling laws identified by Kaplan et al. (2020) and refined by Hoffmann et al. (2022) demonstrate that model performance improves predictably with increases in model parameters, training data, and computational resources. Contemporary </w:t>
      </w:r>
      <w:proofErr w:type="gramStart"/>
      <w:r>
        <w:t>open source</w:t>
      </w:r>
      <w:proofErr w:type="gramEnd"/>
      <w:r>
        <w:t xml:space="preserve"> models range from 7 billion to over 70 billion parameters, with architectural variations including decoder-only designs (GPT-family), encoder-decoder configurations, and mixture-of-experts approaches (Fedus et al., 2022).</w:t>
      </w:r>
    </w:p>
    <w:p w14:paraId="3B492C5A" w14:textId="77777777" w:rsidR="00317E02" w:rsidRDefault="00000000">
      <w:pPr>
        <w:spacing w:after="200"/>
        <w:jc w:val="both"/>
      </w:pPr>
      <w:r>
        <w:t>The training process for LLMs typically involves two phases: pre-training on large corpora of text data using self-supervised objectives (typically next-token prediction), followed by fine-tuning on task-specific data or alignment procedures. Reinforcement Learning from Human Feedback (RLHF) has emerged as a critical technique for aligning model outputs with human preferences and safety requirements (Ouyang et al., 2022). More recent approaches include Direct Preference Optimization (DPO) (Rafailov et al., 2023) and Constitutional AI methods (Bai et al., 2022), which offer alternative alignment strategies with different computational and data requirements.</w:t>
      </w:r>
    </w:p>
    <w:p w14:paraId="0137553C" w14:textId="77777777" w:rsidR="00317E02" w:rsidRDefault="00000000">
      <w:pPr>
        <w:pStyle w:val="Heading2"/>
        <w:spacing w:before="360"/>
      </w:pPr>
      <w:r>
        <w:t>2.2 Defense Application Taxonomy</w:t>
      </w:r>
    </w:p>
    <w:p w14:paraId="42CD9EC9" w14:textId="77777777" w:rsidR="00317E02" w:rsidRDefault="00000000">
      <w:pPr>
        <w:spacing w:after="200"/>
        <w:jc w:val="both"/>
      </w:pPr>
      <w:r>
        <w:t>LLM capabilities map to numerous defense applications, which can be categorized by their risk profile and autonomy level:</w:t>
      </w:r>
    </w:p>
    <w:p w14:paraId="65516381" w14:textId="77777777" w:rsidR="00317E02" w:rsidRDefault="00000000">
      <w:pPr>
        <w:pStyle w:val="ListParagraph"/>
        <w:numPr>
          <w:ilvl w:val="0"/>
          <w:numId w:val="2"/>
        </w:numPr>
        <w:spacing w:after="120"/>
      </w:pPr>
      <w:r>
        <w:rPr>
          <w:b/>
          <w:bCs/>
        </w:rPr>
        <w:t xml:space="preserve">Tier 1 - Decision Support: </w:t>
      </w:r>
      <w:r>
        <w:t>Intelligence analysis assistance, threat assessment synthesis, course of action development, and after-action report generation. These applications provide recommendations to human decision-makers who retain authority.</w:t>
      </w:r>
    </w:p>
    <w:p w14:paraId="7E633309" w14:textId="77777777" w:rsidR="00317E02" w:rsidRDefault="00000000">
      <w:pPr>
        <w:pStyle w:val="ListParagraph"/>
        <w:numPr>
          <w:ilvl w:val="0"/>
          <w:numId w:val="2"/>
        </w:numPr>
        <w:spacing w:after="120"/>
      </w:pPr>
      <w:r>
        <w:rPr>
          <w:b/>
          <w:bCs/>
        </w:rPr>
        <w:t xml:space="preserve">Tier 2 - Automation: </w:t>
      </w:r>
      <w:r>
        <w:t>Document classification, translation services, logistics optimization, and predictive maintenance scheduling. These applications execute defined tasks with limited human oversight.</w:t>
      </w:r>
    </w:p>
    <w:p w14:paraId="3EA9E50B" w14:textId="77777777" w:rsidR="00317E02" w:rsidRDefault="00000000">
      <w:pPr>
        <w:pStyle w:val="ListParagraph"/>
        <w:numPr>
          <w:ilvl w:val="0"/>
          <w:numId w:val="2"/>
        </w:numPr>
        <w:spacing w:after="120"/>
      </w:pPr>
      <w:r>
        <w:rPr>
          <w:b/>
          <w:bCs/>
        </w:rPr>
        <w:t xml:space="preserve">Tier 3 - Autonomous Operations: </w:t>
      </w:r>
      <w:r>
        <w:t>Real-time cyber defense, autonomous vehicle control, and dynamic mission planning. These applications require highest assurance levels due to limited human intervention capability.</w:t>
      </w:r>
    </w:p>
    <w:p w14:paraId="16C4ABBE" w14:textId="77777777" w:rsidR="00317E02" w:rsidRDefault="00000000">
      <w:pPr>
        <w:spacing w:after="200"/>
        <w:jc w:val="both"/>
      </w:pPr>
      <w:r>
        <w:t>The evaluation rigor required scales with application tier, with Tier 3 applications demanding the most comprehensive assessment protocols and continuous monitoring capabilities.</w:t>
      </w:r>
    </w:p>
    <w:p w14:paraId="11FD5C36" w14:textId="77777777" w:rsidR="00317E02" w:rsidRDefault="00000000">
      <w:pPr>
        <w:pStyle w:val="Heading2"/>
        <w:spacing w:before="360"/>
      </w:pPr>
      <w:r>
        <w:lastRenderedPageBreak/>
        <w:t>2.3 Regulatory and Policy Context</w:t>
      </w:r>
    </w:p>
    <w:p w14:paraId="3FC74255" w14:textId="77777777" w:rsidR="00317E02" w:rsidRDefault="00000000">
      <w:pPr>
        <w:spacing w:after="200"/>
        <w:jc w:val="both"/>
      </w:pPr>
      <w:r>
        <w:t>The deployment of AI systems within the DoD is governed by an evolving policy framework. The DoD AI Principles (2020) establish foundational requirements for responsible AI development, emphasizing that AI systems must be responsible, equitable, traceable, reliable, and governable. Executive Order 14110 on Safe, Secure, and Trustworthy Artificial Intelligence (2023) imposes additional requirements on federal agencies, including mandatory risk assessments and bias testing for high-impact AI applications.</w:t>
      </w:r>
    </w:p>
    <w:p w14:paraId="5A4891FE" w14:textId="77777777" w:rsidR="00317E02" w:rsidRDefault="00000000">
      <w:pPr>
        <w:spacing w:after="200"/>
        <w:jc w:val="both"/>
      </w:pPr>
      <w:r>
        <w:t>The National Institute of Standards and Technology (NIST) AI Risk Management Framework (AI RMF 1.0, 2023) provides voluntary guidance that has been widely adopted across defense agencies. The framework emphasizes four core functions: Govern, Map, Measure, and Manage, which align with the evaluation methodology presented in this white paper. Additionally, emerging international standards, including ISO/IEC 42001 for AI Management Systems, provide complementary guidance for establishing organizational AI governance capabilities.</w:t>
      </w:r>
    </w:p>
    <w:p w14:paraId="2F9B0D7C" w14:textId="77777777" w:rsidR="00317E02" w:rsidRDefault="00000000">
      <w:pPr>
        <w:pStyle w:val="Heading1"/>
        <w:spacing w:after="200"/>
      </w:pPr>
      <w:r>
        <w:t>3. Quality Assessment Framework</w:t>
      </w:r>
    </w:p>
    <w:p w14:paraId="6A6122A3" w14:textId="77777777" w:rsidR="00317E02" w:rsidRDefault="00000000">
      <w:pPr>
        <w:pStyle w:val="Heading2"/>
        <w:spacing w:before="360"/>
      </w:pPr>
      <w:r>
        <w:t>3.1 Evaluation Dimensions</w:t>
      </w:r>
    </w:p>
    <w:p w14:paraId="2B7ACA31" w14:textId="77777777" w:rsidR="00317E02" w:rsidRDefault="00000000">
      <w:pPr>
        <w:spacing w:after="200"/>
        <w:jc w:val="both"/>
      </w:pPr>
      <w:r>
        <w:t>Quality assessment for defense applications encompasses multiple interrelated dimensions that must be evaluated holistically. Task performance measures the model's ability to correctly execute defined tasks, while consistency evaluates output stability across equivalent inputs. Calibration assesses alignment between model confidence and actual accuracy, critical for human-AI teaming scenarios where operators must appropriately weight model recommendations.</w:t>
      </w:r>
    </w:p>
    <w:p w14:paraId="20AB80C3" w14:textId="77777777" w:rsidR="00317E02" w:rsidRDefault="00000000">
      <w:pPr>
        <w:spacing w:after="200"/>
        <w:jc w:val="both"/>
      </w:pPr>
      <w:r>
        <w:t>Domain knowledge evaluation examines the model's command of defense-specific terminology, doctrine, and operational concepts. Reasoning capability assessment probes the model's ability to perform multi-step inference, causal reasoning, and counterfactual analysis. Finally, robustness testing evaluates performance degradation under distribution shift, including variations in input format, domain, and adversarial perturbations.</w:t>
      </w:r>
    </w:p>
    <w:p w14:paraId="6E776CD6" w14:textId="77777777" w:rsidR="00317E02" w:rsidRDefault="00000000">
      <w:pPr>
        <w:pStyle w:val="Heading2"/>
        <w:spacing w:before="360"/>
      </w:pPr>
      <w:r>
        <w:t>3.2 Defense-Specific Benchmark Design</w:t>
      </w:r>
    </w:p>
    <w:p w14:paraId="76975030" w14:textId="77777777" w:rsidR="00317E02" w:rsidRDefault="00000000">
      <w:pPr>
        <w:spacing w:after="200"/>
        <w:jc w:val="both"/>
      </w:pPr>
      <w:r>
        <w:t>Existing academic benchmarks, while valuable for general capability assessment, inadequately capture defense-relevant performance characteristics. We propose a defense-specific benchmark taxonomy organized around Joint Function areas:</w:t>
      </w:r>
    </w:p>
    <w:p w14:paraId="3084F848" w14:textId="77777777" w:rsidR="001D24E4" w:rsidRDefault="001D24E4">
      <w:pPr>
        <w:spacing w:after="200"/>
        <w:jc w:val="both"/>
      </w:pPr>
    </w:p>
    <w:p w14:paraId="4051B91F" w14:textId="77777777" w:rsidR="001D24E4" w:rsidRDefault="001D24E4">
      <w:pPr>
        <w:spacing w:after="200"/>
        <w:jc w:val="both"/>
      </w:pPr>
    </w:p>
    <w:p w14:paraId="6319BCBD" w14:textId="77777777" w:rsidR="001D24E4" w:rsidRDefault="001D24E4">
      <w:pPr>
        <w:spacing w:after="200"/>
        <w:jc w:val="both"/>
      </w:pPr>
    </w:p>
    <w:p w14:paraId="2DE49B64" w14:textId="77777777" w:rsidR="001D24E4" w:rsidRDefault="001D24E4">
      <w:pPr>
        <w:spacing w:after="200"/>
        <w:jc w:val="both"/>
      </w:pPr>
    </w:p>
    <w:p w14:paraId="0700D567" w14:textId="77777777" w:rsidR="001D24E4" w:rsidRDefault="001D24E4">
      <w:pPr>
        <w:spacing w:after="200"/>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09"/>
        <w:gridCol w:w="3509"/>
      </w:tblGrid>
      <w:tr w:rsidR="00317E02" w14:paraId="71E3466E" w14:textId="77777777">
        <w:tblPrEx>
          <w:tblCellMar>
            <w:top w:w="0" w:type="dxa"/>
            <w:bottom w:w="0" w:type="dxa"/>
          </w:tblCellMar>
        </w:tblPrEx>
        <w:tc>
          <w:tcPr>
            <w:tcW w:w="2340" w:type="dxa"/>
            <w:tcBorders>
              <w:top w:val="single" w:sz="1" w:space="0" w:color="000000"/>
              <w:left w:val="single" w:sz="1" w:space="0" w:color="000000"/>
              <w:bottom w:val="single" w:sz="1" w:space="0" w:color="000000"/>
              <w:right w:val="single" w:sz="1" w:space="0" w:color="000000"/>
            </w:tcBorders>
            <w:shd w:val="clear" w:color="auto" w:fill="D9E2F3"/>
            <w:tcMar>
              <w:top w:w="80" w:type="dxa"/>
              <w:left w:w="120" w:type="dxa"/>
              <w:bottom w:w="80" w:type="dxa"/>
              <w:right w:w="120" w:type="dxa"/>
            </w:tcMar>
          </w:tcPr>
          <w:p w14:paraId="25EC4AC8" w14:textId="77777777" w:rsidR="00317E02" w:rsidRDefault="00000000">
            <w:r>
              <w:rPr>
                <w:b/>
                <w:bCs/>
              </w:rPr>
              <w:lastRenderedPageBreak/>
              <w:t>Joint Function</w:t>
            </w:r>
          </w:p>
        </w:tc>
        <w:tc>
          <w:tcPr>
            <w:tcW w:w="3510" w:type="dxa"/>
            <w:tcBorders>
              <w:top w:val="single" w:sz="1" w:space="0" w:color="000000"/>
              <w:left w:val="single" w:sz="1" w:space="0" w:color="000000"/>
              <w:bottom w:val="single" w:sz="1" w:space="0" w:color="000000"/>
              <w:right w:val="single" w:sz="1" w:space="0" w:color="000000"/>
            </w:tcBorders>
            <w:shd w:val="clear" w:color="auto" w:fill="D9E2F3"/>
            <w:tcMar>
              <w:top w:w="80" w:type="dxa"/>
              <w:left w:w="120" w:type="dxa"/>
              <w:bottom w:w="80" w:type="dxa"/>
              <w:right w:w="120" w:type="dxa"/>
            </w:tcMar>
          </w:tcPr>
          <w:p w14:paraId="74FDB28B" w14:textId="77777777" w:rsidR="00317E02" w:rsidRDefault="00000000">
            <w:r>
              <w:rPr>
                <w:b/>
                <w:bCs/>
              </w:rPr>
              <w:t>Benchmark Tasks</w:t>
            </w:r>
          </w:p>
        </w:tc>
        <w:tc>
          <w:tcPr>
            <w:tcW w:w="3510" w:type="dxa"/>
            <w:tcBorders>
              <w:top w:val="single" w:sz="1" w:space="0" w:color="000000"/>
              <w:left w:val="single" w:sz="1" w:space="0" w:color="000000"/>
              <w:bottom w:val="single" w:sz="1" w:space="0" w:color="000000"/>
              <w:right w:val="single" w:sz="1" w:space="0" w:color="000000"/>
            </w:tcBorders>
            <w:shd w:val="clear" w:color="auto" w:fill="D9E2F3"/>
            <w:tcMar>
              <w:top w:w="80" w:type="dxa"/>
              <w:left w:w="120" w:type="dxa"/>
              <w:bottom w:w="80" w:type="dxa"/>
              <w:right w:w="120" w:type="dxa"/>
            </w:tcMar>
          </w:tcPr>
          <w:p w14:paraId="43B7812C" w14:textId="77777777" w:rsidR="00317E02" w:rsidRDefault="00000000">
            <w:r>
              <w:rPr>
                <w:b/>
                <w:bCs/>
              </w:rPr>
              <w:t>Primary Metrics</w:t>
            </w:r>
          </w:p>
        </w:tc>
      </w:tr>
      <w:tr w:rsidR="00317E02" w14:paraId="11AD286B" w14:textId="77777777">
        <w:tblPrEx>
          <w:tblCellMar>
            <w:top w:w="0" w:type="dxa"/>
            <w:bottom w:w="0" w:type="dxa"/>
          </w:tblCellMar>
        </w:tblPrEx>
        <w:tc>
          <w:tcPr>
            <w:tcW w:w="234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3711D4CF" w14:textId="77777777" w:rsidR="00317E02" w:rsidRDefault="00000000">
            <w:r>
              <w:t>Intelligence</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421DE3F0" w14:textId="77777777" w:rsidR="00317E02" w:rsidRDefault="00000000">
            <w:r>
              <w:t>Entity extraction, relationship mapping, threat pattern recognition, report synthesis</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0FBE46C2" w14:textId="77777777" w:rsidR="00317E02" w:rsidRDefault="00000000">
            <w:r>
              <w:t>F1-score, ROUGE-L, factual consistency</w:t>
            </w:r>
          </w:p>
        </w:tc>
      </w:tr>
      <w:tr w:rsidR="00317E02" w14:paraId="1A615614" w14:textId="77777777">
        <w:tblPrEx>
          <w:tblCellMar>
            <w:top w:w="0" w:type="dxa"/>
            <w:bottom w:w="0" w:type="dxa"/>
          </w:tblCellMar>
        </w:tblPrEx>
        <w:tc>
          <w:tcPr>
            <w:tcW w:w="234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3AF43D3B" w14:textId="77777777" w:rsidR="00317E02" w:rsidRDefault="00000000">
            <w:r>
              <w:t>Command &amp; Control</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46DDC84A" w14:textId="77777777" w:rsidR="00317E02" w:rsidRDefault="00000000">
            <w:r>
              <w:t>Order parsing, COA generation, resource allocation optimization</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4559A024" w14:textId="77777777" w:rsidR="00317E02" w:rsidRDefault="00000000">
            <w:r>
              <w:t>Task accuracy, constraint satisfaction, optimality gap</w:t>
            </w:r>
          </w:p>
        </w:tc>
      </w:tr>
      <w:tr w:rsidR="00317E02" w14:paraId="23C01404" w14:textId="77777777">
        <w:tblPrEx>
          <w:tblCellMar>
            <w:top w:w="0" w:type="dxa"/>
            <w:bottom w:w="0" w:type="dxa"/>
          </w:tblCellMar>
        </w:tblPrEx>
        <w:tc>
          <w:tcPr>
            <w:tcW w:w="234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232FFE4E" w14:textId="77777777" w:rsidR="00317E02" w:rsidRDefault="00000000">
            <w:r>
              <w:t>Sustainment</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033BC34B" w14:textId="77777777" w:rsidR="00317E02" w:rsidRDefault="00000000">
            <w:r>
              <w:t>Technical manual QA, maintenance prediction, supply chain analysis</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26BFB644" w14:textId="77777777" w:rsidR="00317E02" w:rsidRDefault="00000000">
            <w:r>
              <w:t>Precision, recall, mean absolute error</w:t>
            </w:r>
          </w:p>
        </w:tc>
      </w:tr>
      <w:tr w:rsidR="00317E02" w14:paraId="5BC30052" w14:textId="77777777">
        <w:tblPrEx>
          <w:tblCellMar>
            <w:top w:w="0" w:type="dxa"/>
            <w:bottom w:w="0" w:type="dxa"/>
          </w:tblCellMar>
        </w:tblPrEx>
        <w:tc>
          <w:tcPr>
            <w:tcW w:w="234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1ACCA89C" w14:textId="77777777" w:rsidR="00317E02" w:rsidRDefault="00000000">
            <w:r>
              <w:t>Protection</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386D2344" w14:textId="77777777" w:rsidR="00317E02" w:rsidRDefault="00000000">
            <w:r>
              <w:t>Vulnerability assessment, threat detection, incident classification</w:t>
            </w:r>
          </w:p>
        </w:tc>
        <w:tc>
          <w:tcPr>
            <w:tcW w:w="3510" w:type="dxa"/>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4DEEC331" w14:textId="77777777" w:rsidR="00317E02" w:rsidRDefault="00000000">
            <w:r>
              <w:t>Detection rate, false positive rate, CVSS correlation</w:t>
            </w:r>
          </w:p>
        </w:tc>
      </w:tr>
    </w:tbl>
    <w:p w14:paraId="62F03B9A" w14:textId="77777777" w:rsidR="00317E02" w:rsidRDefault="00317E02">
      <w:pPr>
        <w:spacing w:after="200"/>
      </w:pPr>
    </w:p>
    <w:p w14:paraId="352B7FC7" w14:textId="77777777" w:rsidR="00317E02" w:rsidRDefault="00000000">
      <w:pPr>
        <w:spacing w:after="200"/>
        <w:jc w:val="center"/>
      </w:pPr>
      <w:r>
        <w:rPr>
          <w:i/>
          <w:iCs/>
          <w:sz w:val="20"/>
          <w:szCs w:val="20"/>
        </w:rPr>
        <w:t>Table 1: Defense-Specific Benchmark Taxonomy Aligned with Joint Functions</w:t>
      </w:r>
    </w:p>
    <w:p w14:paraId="60D1C04B" w14:textId="77777777" w:rsidR="00317E02" w:rsidRDefault="00317E02">
      <w:pPr>
        <w:spacing w:after="200"/>
      </w:pPr>
    </w:p>
    <w:p w14:paraId="69CAF6A1" w14:textId="77777777" w:rsidR="00317E02" w:rsidRDefault="00000000">
      <w:pPr>
        <w:pStyle w:val="Heading2"/>
        <w:spacing w:before="360"/>
      </w:pPr>
      <w:r>
        <w:t xml:space="preserve">3.3 </w:t>
      </w:r>
      <w:proofErr w:type="gramStart"/>
      <w:r>
        <w:t>Evaluation</w:t>
      </w:r>
      <w:proofErr w:type="gramEnd"/>
      <w:r>
        <w:t xml:space="preserve"> Metrics and Methodology</w:t>
      </w:r>
    </w:p>
    <w:p w14:paraId="2A646238" w14:textId="77777777" w:rsidR="00317E02" w:rsidRDefault="00000000">
      <w:pPr>
        <w:spacing w:after="200"/>
        <w:jc w:val="both"/>
      </w:pPr>
      <w:r>
        <w:t>Quantitative evaluation employs a multi-metric approach to capture distinct quality dimensions. For generation tasks, we recommend ROUGE-L (Lin, 2004) for surface-level similarity, BERTScore (Zhang et al., 2020) for semantic equivalence, and factual consistency metrics based on natural language inference (Honovich et al., 2022). Classification tasks employ standard precision, recall, and F1 metrics with macro-averaging to prevent majority class domination.</w:t>
      </w:r>
    </w:p>
    <w:p w14:paraId="6818CF1D" w14:textId="77777777" w:rsidR="00317E02" w:rsidRDefault="00000000">
      <w:pPr>
        <w:spacing w:after="200"/>
        <w:jc w:val="both"/>
      </w:pPr>
      <w:r>
        <w:t xml:space="preserve">Calibration assessment utilizes Expected Calibration Error (ECE) and reliability diagrams to evaluate the alignment between predicted confidence and empirical accuracy (Guo et al., 2017). Well-calibrated models enable operators to appropriately weight model recommendations in human-AI collaborative decision-making scenarios. Models exhibiting systematic overconfidence or underconfidence pose </w:t>
      </w:r>
      <w:proofErr w:type="gramStart"/>
      <w:r>
        <w:t>particular risks</w:t>
      </w:r>
      <w:proofErr w:type="gramEnd"/>
      <w:r>
        <w:t xml:space="preserve"> in defense contexts where miscalibrated outputs may lead to inappropriate reliance or dismissal.</w:t>
      </w:r>
    </w:p>
    <w:p w14:paraId="1ACE8466" w14:textId="77777777" w:rsidR="00317E02" w:rsidRDefault="00000000">
      <w:pPr>
        <w:spacing w:after="200"/>
        <w:jc w:val="both"/>
      </w:pPr>
      <w:r>
        <w:t>Behavioral testing complements metric-based evaluation by probing model capabilities through structured test suites. The CheckList methodology (Ribeiro et al., 2020) provides a systematic framework for generating test cases that evaluate linguistic capabilities (vocabulary, negation, coreference), robustness (typos, irrelevant changes), and logic (consistency, fairness). We extend this framework to include defense-specific capabilities such as doctrinal compliance, acronym expansion, and operational terminology usage.</w:t>
      </w:r>
    </w:p>
    <w:p w14:paraId="7FB9F001" w14:textId="77777777" w:rsidR="00317E02" w:rsidRDefault="00000000">
      <w:pPr>
        <w:pStyle w:val="Heading2"/>
        <w:spacing w:before="360"/>
      </w:pPr>
      <w:r>
        <w:t>3.4 Expert Evaluation Protocols</w:t>
      </w:r>
    </w:p>
    <w:p w14:paraId="1B3943FC" w14:textId="77777777" w:rsidR="00317E02" w:rsidRDefault="00000000">
      <w:pPr>
        <w:spacing w:after="200"/>
        <w:jc w:val="both"/>
      </w:pPr>
      <w:r>
        <w:t xml:space="preserve">Automated metrics, while essential for scalable evaluation, cannot fully capture quality dimensions critical to defense applications. Human expert evaluation provides essential validation, particularly </w:t>
      </w:r>
      <w:r>
        <w:lastRenderedPageBreak/>
        <w:t>for subjective quality attributes such as tactical appropriateness, operational relevance, and adherence to doctrinal standards.</w:t>
      </w:r>
    </w:p>
    <w:p w14:paraId="21BDDCB6" w14:textId="2C2A5989" w:rsidR="00317E02" w:rsidRDefault="00000000" w:rsidP="001D24E4">
      <w:pPr>
        <w:spacing w:after="200"/>
        <w:jc w:val="both"/>
      </w:pPr>
      <w:r>
        <w:t xml:space="preserve">We recommend a structured expert evaluation protocol employing subject matter experts (SMEs) from relevant functional areas. Evaluators assess model outputs using standardized </w:t>
      </w:r>
      <w:proofErr w:type="gramStart"/>
      <w:r>
        <w:t>rubrics</w:t>
      </w:r>
      <w:proofErr w:type="gramEnd"/>
      <w:r>
        <w:t xml:space="preserve"> addressing accuracy, completeness, relevance, and presentation. Inter-rater reliability should be established using Cohen's kappa or Krippendorff's alpha, with disagreements resolved through consensus discussion. Sample sizes should be determined using power analysis to ensure statistically meaningful conclusions.</w:t>
      </w:r>
    </w:p>
    <w:p w14:paraId="0BC8EC31" w14:textId="77777777" w:rsidR="00317E02" w:rsidRDefault="00000000">
      <w:pPr>
        <w:pStyle w:val="Heading1"/>
        <w:spacing w:after="200"/>
      </w:pPr>
      <w:r>
        <w:t>4. Fairness and Bias Evaluation</w:t>
      </w:r>
    </w:p>
    <w:p w14:paraId="3619BE83" w14:textId="77777777" w:rsidR="00317E02" w:rsidRDefault="00000000">
      <w:pPr>
        <w:pStyle w:val="Heading2"/>
        <w:spacing w:before="360"/>
      </w:pPr>
      <w:r>
        <w:t>4.1 Bias Sources and Manifestations</w:t>
      </w:r>
    </w:p>
    <w:p w14:paraId="14AE6F99" w14:textId="77777777" w:rsidR="00317E02" w:rsidRDefault="00000000">
      <w:pPr>
        <w:spacing w:after="200"/>
        <w:jc w:val="both"/>
      </w:pPr>
      <w:r>
        <w:t xml:space="preserve">Bias in LLMs originates from multiple sources throughout the model development lifecycle. Training data bias reflects societal prejudices, historical inequities, and representational imbalances present in the </w:t>
      </w:r>
      <w:proofErr w:type="gramStart"/>
      <w:r>
        <w:t>corpora</w:t>
      </w:r>
      <w:proofErr w:type="gramEnd"/>
      <w:r>
        <w:t xml:space="preserve"> used for pre-training (Bender et al., 2021). Algorithmic bias may arise from model architecture choices, optimization objectives, or training procedures that amplify certain patterns. Deployment bias emerges from the interaction between model capabilities and specific use contexts, potentially producing discriminatory outcomes even from ostensibly unbiased models.</w:t>
      </w:r>
    </w:p>
    <w:p w14:paraId="02FC096B" w14:textId="77777777" w:rsidR="00317E02" w:rsidRDefault="00000000">
      <w:pPr>
        <w:spacing w:after="200"/>
        <w:jc w:val="both"/>
      </w:pPr>
      <w:r>
        <w:t>In defense contexts, bias manifestations may include differential treatment of personnel based on demographic characteristics, geographic bias in threat assessments, and cultural stereotyping in human terrain analysis. Such biases undermine operational effectiveness, violate equal opportunity principles, and may expose the organization to legal liability. The 2024 Executive Order on AI in Federal Government explicitly requires agencies to assess and mitigate algorithmic bias in high-impact applications.</w:t>
      </w:r>
    </w:p>
    <w:p w14:paraId="1A01F044" w14:textId="77777777" w:rsidR="00317E02" w:rsidRDefault="00000000">
      <w:pPr>
        <w:pStyle w:val="Heading2"/>
        <w:spacing w:before="360"/>
      </w:pPr>
      <w:r>
        <w:t>4.2 Bias Detection Methodologies</w:t>
      </w:r>
    </w:p>
    <w:p w14:paraId="576B227E" w14:textId="77777777" w:rsidR="00317E02" w:rsidRDefault="00000000">
      <w:pPr>
        <w:spacing w:after="200"/>
        <w:jc w:val="both"/>
      </w:pPr>
      <w:r>
        <w:t>Systematic bias detection requires evaluation across protected attributes relevant to defense applications. Primary attributes include race, ethnicity, gender, national origin, and religion, consistent with DoD equal opportunity policies. Secondary attributes may include military branch, rank, and occupational specialty, where differential treatment could undermine unit cohesion or career advancement equity.</w:t>
      </w:r>
    </w:p>
    <w:p w14:paraId="441718AF" w14:textId="77777777" w:rsidR="00317E02" w:rsidRDefault="00000000">
      <w:pPr>
        <w:spacing w:after="200"/>
        <w:jc w:val="both"/>
      </w:pPr>
      <w:r>
        <w:t>Template-based probing involves constructing matched pairs of inputs that differ only in protected attribute indicators, then measuring output divergence. For example, identical intelligence assessment prompts might reference analysts with names statistically associated with different demographic groups. Significant output differences indicate potential bias requiring mitigation. This approach extends the methods developed by Sheng et al. (2019) and Nadeem et al. (2020) to defense-specific contexts.</w:t>
      </w:r>
    </w:p>
    <w:p w14:paraId="451AD468" w14:textId="77777777" w:rsidR="00317E02" w:rsidRDefault="00000000">
      <w:pPr>
        <w:spacing w:after="200"/>
        <w:jc w:val="both"/>
      </w:pPr>
      <w:r>
        <w:t xml:space="preserve">Counterfactual evaluation employs more sophisticated perturbation strategies, systematically replacing attribute indicators while preserving semantic content. The WinoBias (Zhao et al., 2018) </w:t>
      </w:r>
      <w:r>
        <w:lastRenderedPageBreak/>
        <w:t>and StereoSet (Nadeem et al., 2020) datasets provide validated templates that can be adapted for defense applications. We recommend developing defense-specific counterfactual datasets addressing military occupational stereotypes, threat assessment biases, and cultural characterizations.</w:t>
      </w:r>
    </w:p>
    <w:p w14:paraId="315363A9" w14:textId="77777777" w:rsidR="00317E02" w:rsidRDefault="00000000">
      <w:pPr>
        <w:pStyle w:val="Heading2"/>
        <w:spacing w:before="360"/>
      </w:pPr>
      <w:r>
        <w:t>4.3 Fairness Metrics</w:t>
      </w:r>
    </w:p>
    <w:p w14:paraId="672327FA" w14:textId="77777777" w:rsidR="00317E02" w:rsidRDefault="00000000">
      <w:pPr>
        <w:spacing w:after="200"/>
        <w:jc w:val="both"/>
      </w:pPr>
      <w:r>
        <w:t>Quantitative fairness assessment employs metrics that operationalize different fairness definitions:</w:t>
      </w:r>
    </w:p>
    <w:p w14:paraId="4AC19D01" w14:textId="77777777" w:rsidR="00317E02" w:rsidRDefault="00000000">
      <w:pPr>
        <w:pStyle w:val="ListParagraph"/>
        <w:numPr>
          <w:ilvl w:val="0"/>
          <w:numId w:val="2"/>
        </w:numPr>
        <w:spacing w:after="120"/>
      </w:pPr>
      <w:r>
        <w:rPr>
          <w:b/>
          <w:bCs/>
        </w:rPr>
        <w:t xml:space="preserve">Demographic Parity: </w:t>
      </w:r>
      <w:r>
        <w:t>Requires that positive outcomes occur at equal rates across protected groups. Measured as the ratio of positive outcome rates between groups, with values approaching 1.0 indicating parity.</w:t>
      </w:r>
    </w:p>
    <w:p w14:paraId="00B0FA85" w14:textId="77777777" w:rsidR="00317E02" w:rsidRDefault="00000000">
      <w:pPr>
        <w:pStyle w:val="ListParagraph"/>
        <w:numPr>
          <w:ilvl w:val="0"/>
          <w:numId w:val="2"/>
        </w:numPr>
        <w:spacing w:after="120"/>
      </w:pPr>
      <w:r>
        <w:rPr>
          <w:b/>
          <w:bCs/>
        </w:rPr>
        <w:t xml:space="preserve">Equalized Odds: </w:t>
      </w:r>
      <w:r>
        <w:t xml:space="preserve">Requires equal true positive and false positive rates across groups. More stringent than demographic parity, as </w:t>
      </w:r>
      <w:proofErr w:type="gramStart"/>
      <w:r>
        <w:t>it</w:t>
      </w:r>
      <w:proofErr w:type="gramEnd"/>
      <w:r>
        <w:t xml:space="preserve"> conditions on actual outcomes.</w:t>
      </w:r>
    </w:p>
    <w:p w14:paraId="20877AEA" w14:textId="77777777" w:rsidR="00317E02" w:rsidRDefault="00000000">
      <w:pPr>
        <w:pStyle w:val="ListParagraph"/>
        <w:numPr>
          <w:ilvl w:val="0"/>
          <w:numId w:val="2"/>
        </w:numPr>
        <w:spacing w:after="120"/>
      </w:pPr>
      <w:r>
        <w:rPr>
          <w:b/>
          <w:bCs/>
        </w:rPr>
        <w:t xml:space="preserve">Individual Fairness: </w:t>
      </w:r>
      <w:r>
        <w:t>Requires that similar individuals receive similar treatment. Operationalized through Lipschitz constraints on the mapping from inputs to outputs (Dwork et al., 2012).</w:t>
      </w:r>
    </w:p>
    <w:p w14:paraId="08831823" w14:textId="77777777" w:rsidR="00317E02" w:rsidRDefault="00000000">
      <w:pPr>
        <w:pStyle w:val="ListParagraph"/>
        <w:numPr>
          <w:ilvl w:val="0"/>
          <w:numId w:val="2"/>
        </w:numPr>
        <w:spacing w:after="120"/>
      </w:pPr>
      <w:r>
        <w:rPr>
          <w:b/>
          <w:bCs/>
        </w:rPr>
        <w:t xml:space="preserve">Counterfactual Fairness: </w:t>
      </w:r>
      <w:r>
        <w:t>Requires that an individual's outcome would be unchanged if their protected attributes had been different. Grounded in causal inference frameworks (Kusner et al., 2017).</w:t>
      </w:r>
    </w:p>
    <w:p w14:paraId="2841AD60" w14:textId="77777777" w:rsidR="00317E02" w:rsidRDefault="00000000">
      <w:pPr>
        <w:spacing w:after="200"/>
        <w:jc w:val="both"/>
      </w:pPr>
      <w:r>
        <w:t xml:space="preserve">The choice of fairness metric depends on the specific application context and value tradeoffs. In some defense applications, demographic parity may be appropriate, while others may require </w:t>
      </w:r>
      <w:proofErr w:type="gramStart"/>
      <w:r>
        <w:t>the stronger</w:t>
      </w:r>
      <w:proofErr w:type="gramEnd"/>
      <w:r>
        <w:t xml:space="preserve"> guarantees of equalized odds or counterfactual fairness. We recommend documenting the fairness definition adopted and justifying its appropriateness for the intended use case.</w:t>
      </w:r>
    </w:p>
    <w:p w14:paraId="7AA515F9" w14:textId="77777777" w:rsidR="00317E02" w:rsidRDefault="00000000">
      <w:pPr>
        <w:pStyle w:val="Heading2"/>
        <w:spacing w:before="360"/>
      </w:pPr>
      <w:r>
        <w:t>4.4 Bias Mitigation Strategies</w:t>
      </w:r>
    </w:p>
    <w:p w14:paraId="2A48EEB4" w14:textId="77777777" w:rsidR="00317E02" w:rsidRDefault="00000000">
      <w:pPr>
        <w:spacing w:after="200"/>
        <w:jc w:val="both"/>
      </w:pPr>
      <w:r>
        <w:t>Bias mitigation can be applied at multiple stages of the model development and deployment lifecycle. Pre-processing approaches modify training data to reduce bias, including resampling to balance representation, data augmentation with counterfactual examples, and filtering of biased content. These approaches are most applicable when organizations have control over model training.</w:t>
      </w:r>
    </w:p>
    <w:p w14:paraId="4AFA2736" w14:textId="77777777" w:rsidR="00317E02" w:rsidRDefault="00000000">
      <w:pPr>
        <w:spacing w:after="200"/>
        <w:jc w:val="both"/>
      </w:pPr>
      <w:r>
        <w:t xml:space="preserve">In-processing techniques modify the training objective to incorporate fairness constraints, such as adversarial debiasing (Zhang et al., 2018) or regularization penalties for fairness violations. For </w:t>
      </w:r>
      <w:proofErr w:type="gramStart"/>
      <w:r>
        <w:t>open source</w:t>
      </w:r>
      <w:proofErr w:type="gramEnd"/>
      <w:r>
        <w:t xml:space="preserve"> models where retraining may be infeasible, post-processing approaches modify model outputs to satisfy fairness criteria. Techniques include calibrated equalized odds post-processing (Pleiss et al., 2017) and threshold adjustment across groups.</w:t>
      </w:r>
    </w:p>
    <w:p w14:paraId="79BF28D1" w14:textId="77777777" w:rsidR="00317E02" w:rsidRDefault="00000000">
      <w:pPr>
        <w:spacing w:after="200"/>
        <w:jc w:val="both"/>
      </w:pPr>
      <w:r>
        <w:t>Fine-tuning represents a middle ground, allowing organizations to adapt pre-trained models using smaller, curated datasets that reflect desired fairness properties. Instruction tuning and RLHF can incorporate fairness considerations into the alignment process, though care must be taken to avoid inadvertently introducing new biases or degrading model capabilities.</w:t>
      </w:r>
    </w:p>
    <w:p w14:paraId="358DD0D7" w14:textId="77777777" w:rsidR="00317E02" w:rsidRDefault="00000000">
      <w:r>
        <w:br w:type="page"/>
      </w:r>
    </w:p>
    <w:p w14:paraId="1C9185C6" w14:textId="77777777" w:rsidR="00317E02" w:rsidRDefault="00000000">
      <w:pPr>
        <w:pStyle w:val="Heading1"/>
        <w:spacing w:after="200"/>
      </w:pPr>
      <w:r>
        <w:lastRenderedPageBreak/>
        <w:t>5. Security Evaluation Framework</w:t>
      </w:r>
    </w:p>
    <w:p w14:paraId="15C5C337" w14:textId="77777777" w:rsidR="00317E02" w:rsidRDefault="00000000">
      <w:pPr>
        <w:pStyle w:val="Heading2"/>
        <w:spacing w:before="360"/>
      </w:pPr>
      <w:r>
        <w:t>5.1 Threat Modeling for LLM Systems</w:t>
      </w:r>
    </w:p>
    <w:p w14:paraId="5EDED6FE" w14:textId="77777777" w:rsidR="00317E02" w:rsidRDefault="00000000">
      <w:pPr>
        <w:spacing w:after="200"/>
        <w:jc w:val="both"/>
      </w:pPr>
      <w:r>
        <w:t>Security evaluation begins with comprehensive threat modeling to identify potential attack vectors, threat actors, and consequences of successful attacks. The STRIDE framework (Shostack, 2014) provides a structured approach, addressing Spoofing, Tampering, Repudiation, Information Disclosure, Denial of Service, and Elevation of Privilege threats. For LLM systems, we extend this framework to address AI-specific vulnerabilities.</w:t>
      </w:r>
    </w:p>
    <w:p w14:paraId="25EAA917" w14:textId="77777777" w:rsidR="00317E02" w:rsidRDefault="00000000">
      <w:pPr>
        <w:spacing w:after="200"/>
        <w:jc w:val="both"/>
      </w:pPr>
      <w:r>
        <w:t xml:space="preserve">Threat actors relevant to defense LLM deployments include nation-state adversaries with sophisticated capabilities and resources, cybercriminal organizations seeking data exfiltration or ransom, insider threats from authorized users, and supply chain attackers targeting model artifacts or dependencies. The consequences of successful attacks range from operational disruption and misinformation </w:t>
      </w:r>
      <w:proofErr w:type="gramStart"/>
      <w:r>
        <w:t>injection</w:t>
      </w:r>
      <w:proofErr w:type="gramEnd"/>
      <w:r>
        <w:t xml:space="preserve"> to exfiltration of classified information and manipulation of decision support systems.</w:t>
      </w:r>
    </w:p>
    <w:p w14:paraId="36659087" w14:textId="77777777" w:rsidR="00317E02" w:rsidRDefault="00000000">
      <w:pPr>
        <w:pStyle w:val="Heading2"/>
        <w:spacing w:before="360"/>
      </w:pPr>
      <w:r>
        <w:t>5.2 Adversarial Attack Taxonomy</w:t>
      </w:r>
    </w:p>
    <w:p w14:paraId="71665538" w14:textId="77777777" w:rsidR="00317E02" w:rsidRDefault="00000000">
      <w:pPr>
        <w:spacing w:after="200"/>
        <w:jc w:val="both"/>
      </w:pPr>
      <w:r>
        <w:t>Adversarial attacks against LLMs can be categorized by their attack surface, knowledge assumptions, and objectives:</w:t>
      </w:r>
    </w:p>
    <w:p w14:paraId="7DE03ECD" w14:textId="77777777" w:rsidR="00317E02" w:rsidRDefault="00000000">
      <w:pPr>
        <w:pStyle w:val="Heading3"/>
        <w:spacing w:before="360" w:after="200"/>
      </w:pPr>
      <w:r>
        <w:t>5.2.1 Inference-Time Attacks</w:t>
      </w:r>
    </w:p>
    <w:p w14:paraId="1ED6293F" w14:textId="77777777" w:rsidR="00317E02" w:rsidRDefault="00000000">
      <w:pPr>
        <w:spacing w:after="200"/>
        <w:jc w:val="both"/>
      </w:pPr>
      <w:r>
        <w:t xml:space="preserve">Prompt injection attacks manipulate model behavior through carefully crafted inputs that override system instructions or elicit unintended behaviors (Perez &amp; Ribeiro, 2022). Direct </w:t>
      </w:r>
      <w:proofErr w:type="gramStart"/>
      <w:r>
        <w:t>injection embeds</w:t>
      </w:r>
      <w:proofErr w:type="gramEnd"/>
      <w:r>
        <w:t xml:space="preserve"> malicious instructions in user inputs, while indirect injection leverages external content retrieved by the model. Defense applications are particularly vulnerable when models process adversary-generated content, such as intercepted communications or open-source intelligence.</w:t>
      </w:r>
    </w:p>
    <w:p w14:paraId="18F92996" w14:textId="77777777" w:rsidR="00317E02" w:rsidRDefault="00000000">
      <w:pPr>
        <w:spacing w:after="200"/>
        <w:jc w:val="both"/>
      </w:pPr>
      <w:r>
        <w:t xml:space="preserve">Jailbreaking attacks attempt to circumvent safety guardrails through roleplay scenarios, hypothetical framing, or iterative refinement (Wei et al., 2023). While </w:t>
      </w:r>
      <w:proofErr w:type="gramStart"/>
      <w:r>
        <w:t>open source</w:t>
      </w:r>
      <w:proofErr w:type="gramEnd"/>
      <w:r>
        <w:t xml:space="preserve"> models may lack robust safety training, organizations often add custom guardrails that remain vulnerable to sophisticated jailbreaking techniques. Adversarial examples exploit model sensitivity to input perturbations, using character substitutions, homoglyphs, or semantic paraphrases to evade content filters or alter model outputs (Xu et al., 2018).</w:t>
      </w:r>
    </w:p>
    <w:p w14:paraId="29BD0ED9" w14:textId="77777777" w:rsidR="00317E02" w:rsidRDefault="00000000">
      <w:pPr>
        <w:pStyle w:val="Heading3"/>
        <w:spacing w:before="360" w:after="200"/>
      </w:pPr>
      <w:r>
        <w:t>5.2.2 Training-Time Attacks</w:t>
      </w:r>
    </w:p>
    <w:p w14:paraId="54EF6CE1" w14:textId="77777777" w:rsidR="00317E02" w:rsidRDefault="00000000">
      <w:pPr>
        <w:spacing w:after="200"/>
        <w:jc w:val="both"/>
      </w:pPr>
      <w:r>
        <w:t xml:space="preserve">Data poisoning attacks inject malicious examples into training data to influence model behavior. Backdoor attacks embed triggers that cause targeted misbehavior when specific patterns appear in inputs (Gu et al., 2017). For </w:t>
      </w:r>
      <w:proofErr w:type="gramStart"/>
      <w:r>
        <w:t>open source</w:t>
      </w:r>
      <w:proofErr w:type="gramEnd"/>
      <w:r>
        <w:t xml:space="preserve"> models, training data provenance is often unclear, raising concerns about potential poisoning by adversaries who contributed to public datasets.</w:t>
      </w:r>
    </w:p>
    <w:p w14:paraId="0030C99C" w14:textId="77777777" w:rsidR="00317E02" w:rsidRDefault="00000000">
      <w:pPr>
        <w:spacing w:after="200"/>
        <w:jc w:val="both"/>
      </w:pPr>
      <w:r>
        <w:t xml:space="preserve">Model poisoning directly modifies model weights, either during training or through supply chain compromise of model artifacts. Fine-tuning provides a potential vector for introducing backdoors, </w:t>
      </w:r>
      <w:r>
        <w:lastRenderedPageBreak/>
        <w:t>particularly when using data from untrusted sources. Weight space attacks may be difficult to detect through behavioral testing alone, requiring integrity verification mechanisms.</w:t>
      </w:r>
    </w:p>
    <w:p w14:paraId="6AB31F4A" w14:textId="77777777" w:rsidR="00317E02" w:rsidRDefault="00000000">
      <w:pPr>
        <w:pStyle w:val="Heading3"/>
        <w:spacing w:before="360" w:after="200"/>
      </w:pPr>
      <w:r>
        <w:t>5.2.3 Supply Chain Attacks</w:t>
      </w:r>
    </w:p>
    <w:p w14:paraId="74C44DDF" w14:textId="77777777" w:rsidR="00317E02" w:rsidRDefault="00000000">
      <w:pPr>
        <w:spacing w:after="200"/>
        <w:jc w:val="both"/>
      </w:pPr>
      <w:r>
        <w:t>The open source LLM ecosystem presents significant supply chain risks. Model weights distributed through public repositories may be modified by malicious actors. Dependencies including tokenizers, inference frameworks, and deployment tools may contain vulnerabilities or backdoors. The provenance of training data is often undocumented, precluding verification that models are free from poisoning attacks.</w:t>
      </w:r>
    </w:p>
    <w:p w14:paraId="29EC5322" w14:textId="77777777" w:rsidR="00317E02" w:rsidRDefault="00000000">
      <w:pPr>
        <w:pStyle w:val="Heading2"/>
        <w:spacing w:before="360"/>
      </w:pPr>
      <w:r>
        <w:t>5.3 Adversarial Robustness Testing</w:t>
      </w:r>
    </w:p>
    <w:p w14:paraId="6A3E0136" w14:textId="77777777" w:rsidR="00317E02" w:rsidRDefault="00000000">
      <w:pPr>
        <w:spacing w:after="200"/>
        <w:jc w:val="both"/>
      </w:pPr>
      <w:r>
        <w:t>Adversarial robustness testing evaluates model resilience against known attack techniques. Automated red-teaming employs attack generation algorithms to identify vulnerabilities (Perez et al., 2022). TextFooler (Jin et al., 2020) and BERT-Attack (Li et al., 2020) provide baseline perturbation attacks, while more sophisticated approaches employ optimization-based methods to find minimal perturbations that alter outputs.</w:t>
      </w:r>
    </w:p>
    <w:p w14:paraId="67C167DB" w14:textId="77777777" w:rsidR="00317E02" w:rsidRDefault="00000000">
      <w:pPr>
        <w:spacing w:after="200"/>
        <w:jc w:val="both"/>
      </w:pPr>
      <w:r>
        <w:t>Prompt injection testing evaluates vulnerability to instruction override attacks. Test suites should include direct injection patterns, indirect injection through simulated retrieved content, and multi-turn manipulation sequences. The OWASP LLM Top 10 provides a taxonomy of prompt injection variants to guide test case development.</w:t>
      </w:r>
    </w:p>
    <w:p w14:paraId="01BA2457" w14:textId="77777777" w:rsidR="00317E02" w:rsidRDefault="00000000">
      <w:pPr>
        <w:spacing w:after="200"/>
        <w:jc w:val="both"/>
      </w:pPr>
      <w:r>
        <w:t>Jailbreak testing employs known jailbreak templates and variants to evaluate safety guardrail robustness. The JailbreakBench (Chao et al., 2024) dataset provides standardized test cases, though defense-specific scenarios may require custom development. Testing should evaluate both refusal rates and the quality of model responses when jailbreaks succeed.</w:t>
      </w:r>
    </w:p>
    <w:p w14:paraId="5D10C0AC" w14:textId="77777777" w:rsidR="00317E02" w:rsidRDefault="00000000">
      <w:pPr>
        <w:pStyle w:val="Heading2"/>
        <w:spacing w:before="360"/>
      </w:pPr>
      <w:r>
        <w:t>5.4 Information Leakage Assessment</w:t>
      </w:r>
    </w:p>
    <w:p w14:paraId="66BC60A0" w14:textId="77777777" w:rsidR="00317E02" w:rsidRDefault="00000000">
      <w:pPr>
        <w:spacing w:after="200"/>
        <w:jc w:val="both"/>
      </w:pPr>
      <w:r>
        <w:t xml:space="preserve">LLMs may inadvertently disclose sensitive information through memorization of training data or inference of private attributes. Membership inference attacks determine whether specific examples were included in training data (Carlini et al., 2021). Training data extraction attacks attempt to recover verbatim sequences from the training corpus (Carlini et al., 2023). These attacks pose </w:t>
      </w:r>
      <w:proofErr w:type="gramStart"/>
      <w:r>
        <w:t>particular risks</w:t>
      </w:r>
      <w:proofErr w:type="gramEnd"/>
      <w:r>
        <w:t xml:space="preserve"> for models fine-tuned on sensitive defense data.</w:t>
      </w:r>
    </w:p>
    <w:p w14:paraId="63D3B84F" w14:textId="77777777" w:rsidR="00317E02" w:rsidRDefault="00000000">
      <w:pPr>
        <w:spacing w:after="200"/>
        <w:jc w:val="both"/>
      </w:pPr>
      <w:r>
        <w:t>Attribute inference attacks exploit model outputs to deduce private attributes of individuals mentioned in queries. Even when models do not explicitly disclose sensitive information, statistical patterns in responses may enable inference. Defense applications must evaluate leakage risks for classified information, personally identifiable information (PII), and operationally sensitive details.</w:t>
      </w:r>
    </w:p>
    <w:p w14:paraId="4C5294E7" w14:textId="77777777" w:rsidR="00317E02" w:rsidRDefault="00000000">
      <w:r>
        <w:br w:type="page"/>
      </w:r>
    </w:p>
    <w:p w14:paraId="17273278" w14:textId="77777777" w:rsidR="00317E02" w:rsidRDefault="00000000">
      <w:pPr>
        <w:pStyle w:val="Heading1"/>
        <w:spacing w:after="200"/>
      </w:pPr>
      <w:r>
        <w:lastRenderedPageBreak/>
        <w:t>6. Secure Deployment Architectures</w:t>
      </w:r>
    </w:p>
    <w:p w14:paraId="55C7E32F" w14:textId="77777777" w:rsidR="00317E02" w:rsidRDefault="00000000">
      <w:pPr>
        <w:pStyle w:val="Heading2"/>
        <w:spacing w:before="360"/>
      </w:pPr>
      <w:r>
        <w:t>6.1 Network Enclave Integration</w:t>
      </w:r>
    </w:p>
    <w:p w14:paraId="706367C0" w14:textId="77777777" w:rsidR="00317E02" w:rsidRDefault="00000000">
      <w:pPr>
        <w:spacing w:after="200"/>
        <w:jc w:val="both"/>
      </w:pPr>
      <w:r>
        <w:t>Defense networks are organized into security enclaves with distinct classification levels and access controls. LLM deployment must align with the enclave architecture while providing appropriate isolation and monitoring. Air-gapped deployments on classified networks eliminate external connectivity risks but require complete self-containment of model artifacts, dependencies, and supporting infrastructure.</w:t>
      </w:r>
    </w:p>
    <w:p w14:paraId="30901D3F" w14:textId="77777777" w:rsidR="00317E02" w:rsidRDefault="00000000">
      <w:pPr>
        <w:spacing w:after="200"/>
        <w:jc w:val="both"/>
      </w:pPr>
      <w:r>
        <w:t xml:space="preserve">Reference </w:t>
      </w:r>
      <w:proofErr w:type="gramStart"/>
      <w:r>
        <w:t>architectures</w:t>
      </w:r>
      <w:proofErr w:type="gramEnd"/>
      <w:r>
        <w:t xml:space="preserve"> should address model serving infrastructure, input/output validation, logging and audit trails, and integration with existing security information and event management (SIEM) systems. Kubernetes-based deployments with appropriate network policies provide isolation between components, while service mesh technologies enable fine-grained traffic control and observability.</w:t>
      </w:r>
    </w:p>
    <w:p w14:paraId="23BED454" w14:textId="77777777" w:rsidR="00317E02" w:rsidRDefault="00000000">
      <w:pPr>
        <w:pStyle w:val="Heading2"/>
        <w:spacing w:before="360"/>
      </w:pPr>
      <w:r>
        <w:t>6.2 Access Control and Authentication</w:t>
      </w:r>
    </w:p>
    <w:p w14:paraId="6AE45735" w14:textId="77777777" w:rsidR="00317E02" w:rsidRDefault="00000000">
      <w:pPr>
        <w:spacing w:after="200"/>
        <w:jc w:val="both"/>
      </w:pPr>
      <w:r>
        <w:t>Role-based access control (RBAC) should govern model access, with permissions aligned to operational need-to-know requirements. Multi-factor authentication provides assurance of user identity, while audit logging enables retrospective analysis of model usage patterns. API rate limiting and quota management prevent resource exhaustion and provide defense against automated attacks.</w:t>
      </w:r>
    </w:p>
    <w:p w14:paraId="54F26B0A" w14:textId="77777777" w:rsidR="00317E02" w:rsidRDefault="00000000">
      <w:pPr>
        <w:spacing w:after="200"/>
        <w:jc w:val="both"/>
      </w:pPr>
      <w:r>
        <w:t>For multi-tenant deployments serving multiple organizations or classification levels, strict isolation must prevent cross-tenant information leakage. Container isolation, namespace separation, and encrypted inter-service communication provide defense in depth. Regular penetration testing should validate isolation guarantees against sophisticated attackers.</w:t>
      </w:r>
    </w:p>
    <w:p w14:paraId="73012FED" w14:textId="77777777" w:rsidR="00317E02" w:rsidRDefault="00000000">
      <w:pPr>
        <w:pStyle w:val="Heading2"/>
        <w:spacing w:before="360"/>
      </w:pPr>
      <w:r>
        <w:t>6.3 Model Integrity Verification</w:t>
      </w:r>
    </w:p>
    <w:p w14:paraId="0F989A60" w14:textId="77777777" w:rsidR="00317E02" w:rsidRDefault="00000000">
      <w:pPr>
        <w:spacing w:after="200"/>
        <w:jc w:val="both"/>
      </w:pPr>
      <w:r>
        <w:t>Supply chain security requires verification that deployed models match expected artifacts and have not been modified. Cryptographic hashing of model weights provides integrity verification, while digital signatures from trusted sources provide authenticity guarantees. Software bill of materials (SBOM) documentation enables tracking of dependencies and rapid response to discovered vulnerabilities.</w:t>
      </w:r>
    </w:p>
    <w:p w14:paraId="6C671157" w14:textId="77777777" w:rsidR="00317E02" w:rsidRDefault="00000000">
      <w:pPr>
        <w:spacing w:after="200"/>
        <w:jc w:val="both"/>
      </w:pPr>
      <w:r>
        <w:t>Continuous integrity monitoring should detect unauthorized modifications to deployed models or supporting infrastructure. File integrity monitoring, container image scanning, and runtime security tools provide overlapping detection capabilities. Incident response procedures should address potential model compromise, including rollback capabilities and forensic analysis protocols.</w:t>
      </w:r>
    </w:p>
    <w:p w14:paraId="491126D9" w14:textId="77777777" w:rsidR="00317E02" w:rsidRDefault="00000000">
      <w:pPr>
        <w:pStyle w:val="Heading2"/>
        <w:spacing w:before="360"/>
      </w:pPr>
      <w:r>
        <w:t>6.4 Input/Output Guardrails</w:t>
      </w:r>
    </w:p>
    <w:p w14:paraId="320C3092" w14:textId="77777777" w:rsidR="00317E02" w:rsidRDefault="00000000">
      <w:pPr>
        <w:spacing w:after="200"/>
        <w:jc w:val="both"/>
      </w:pPr>
      <w:r>
        <w:lastRenderedPageBreak/>
        <w:t>Defense-in-depth requires multiple layers of input validation and output filtering. Input sanitization removes or escapes potentially malicious content, while semantic filtering detects prompt injection attempts. Output classifiers screen responses for prohibited content categories, including classified information, harmful instructions, and biased content.</w:t>
      </w:r>
    </w:p>
    <w:p w14:paraId="35001E3C" w14:textId="3DA309C4" w:rsidR="00317E02" w:rsidRDefault="00000000" w:rsidP="001D24E4">
      <w:pPr>
        <w:spacing w:after="200"/>
        <w:jc w:val="both"/>
      </w:pPr>
      <w:r>
        <w:t>Guardrail implementations should be configurable to application-specific requirements, with tunable sensitivity thresholds balancing security against usability. Logging of guardrail activations enables continuous refinement and detection of novel attack patterns. Fallback behaviors when guardrails trigger should provide graceful degradation rather than complete service denial.</w:t>
      </w:r>
    </w:p>
    <w:p w14:paraId="6094C580" w14:textId="77777777" w:rsidR="00317E02" w:rsidRDefault="00000000">
      <w:pPr>
        <w:pStyle w:val="Heading1"/>
        <w:spacing w:after="200"/>
      </w:pPr>
      <w:r>
        <w:t>7. Implementation Recommendations</w:t>
      </w:r>
    </w:p>
    <w:p w14:paraId="4669BA4F" w14:textId="77777777" w:rsidR="00317E02" w:rsidRDefault="00000000">
      <w:pPr>
        <w:pStyle w:val="Heading2"/>
        <w:spacing w:before="360"/>
      </w:pPr>
      <w:r>
        <w:t>7.1 Evaluation Process Integration</w:t>
      </w:r>
    </w:p>
    <w:p w14:paraId="611D375F" w14:textId="77777777" w:rsidR="00317E02" w:rsidRDefault="00000000">
      <w:pPr>
        <w:spacing w:after="200"/>
        <w:jc w:val="both"/>
      </w:pPr>
      <w:r>
        <w:t>LLM evaluation should be integrated into the defense acquisition lifecycle, with assessment activities aligned to major milestone reviews. Preliminary evaluation during market research informs capability assessments and requirements definition. Formal evaluation during source selection provides discriminating criteria for model selection. Developmental testing validates model performance against specified requirements, while operational testing evaluates suitability in representative operational environments.</w:t>
      </w:r>
    </w:p>
    <w:p w14:paraId="38E22D13" w14:textId="77777777" w:rsidR="00317E02" w:rsidRDefault="00000000">
      <w:pPr>
        <w:spacing w:after="200"/>
        <w:jc w:val="both"/>
      </w:pPr>
      <w:r>
        <w:t>Continuous evaluation is essential given the rapid evolution of both LLM capabilities and adversarial techniques. Automated evaluation pipelines enable regular reassessment against benchmark suites, while red team exercises provide periodic deep-dive security assessments. Model monitoring in production detects performance degradation, fairness drift, and emerging vulnerability patterns.</w:t>
      </w:r>
    </w:p>
    <w:p w14:paraId="57E80B84" w14:textId="77777777" w:rsidR="00317E02" w:rsidRDefault="00000000">
      <w:pPr>
        <w:pStyle w:val="Heading2"/>
        <w:spacing w:before="360"/>
      </w:pPr>
      <w:r>
        <w:t>7.2 Governance Framework</w:t>
      </w:r>
    </w:p>
    <w:p w14:paraId="7C0EAA14" w14:textId="77777777" w:rsidR="00317E02" w:rsidRDefault="00000000">
      <w:pPr>
        <w:spacing w:after="200"/>
        <w:jc w:val="both"/>
      </w:pPr>
      <w:r>
        <w:t>Effective LLM governance requires clear organizational roles and responsibilities. A designated AI Ethics Board should provide oversight of fairness and responsible AI considerations. Security review boards should assess risk acceptability and authorize deployment. Technical review committees should evaluate model quality and integration approaches.</w:t>
      </w:r>
    </w:p>
    <w:p w14:paraId="599FCD61" w14:textId="77777777" w:rsidR="00317E02" w:rsidRDefault="00000000">
      <w:pPr>
        <w:spacing w:after="200"/>
        <w:jc w:val="both"/>
      </w:pPr>
      <w:r>
        <w:t>Documentation requirements should address model provenance, training data characteristics, known limitations, and evaluation results. Model cards (Mitchell et al., 2019) provide a standardized format for communicating model capabilities and limitations to downstream users. Risk assessments should be updated as models are applied to new use cases or as new vulnerabilities are discovered.</w:t>
      </w:r>
    </w:p>
    <w:p w14:paraId="6296F5DA" w14:textId="77777777" w:rsidR="00317E02" w:rsidRDefault="00000000">
      <w:pPr>
        <w:pStyle w:val="Heading2"/>
        <w:spacing w:before="360"/>
      </w:pPr>
      <w:r>
        <w:t>7.3 Phased Adoption Roadmap</w:t>
      </w:r>
    </w:p>
    <w:p w14:paraId="54629073" w14:textId="77777777" w:rsidR="00317E02" w:rsidRDefault="00000000">
      <w:pPr>
        <w:spacing w:after="200"/>
        <w:jc w:val="both"/>
      </w:pPr>
      <w:r>
        <w:t>We recommend a phased approach to LLM adoption that progressively increases operational reliance as evaluation confidence grows:</w:t>
      </w:r>
    </w:p>
    <w:p w14:paraId="644C66F7" w14:textId="77777777" w:rsidR="00317E02" w:rsidRDefault="00000000">
      <w:pPr>
        <w:pStyle w:val="ListParagraph"/>
        <w:numPr>
          <w:ilvl w:val="0"/>
          <w:numId w:val="2"/>
        </w:numPr>
        <w:spacing w:after="120"/>
      </w:pPr>
      <w:r>
        <w:rPr>
          <w:b/>
          <w:bCs/>
        </w:rPr>
        <w:lastRenderedPageBreak/>
        <w:t xml:space="preserve">Phase 1 - Experimentation: </w:t>
      </w:r>
      <w:r>
        <w:t>Deploy models in non-production environments for capability exploration and initial evaluation. Focus on understanding model strengths and limitations without operational consequences.</w:t>
      </w:r>
    </w:p>
    <w:p w14:paraId="6216EDBE" w14:textId="77777777" w:rsidR="00317E02" w:rsidRDefault="00000000">
      <w:pPr>
        <w:pStyle w:val="ListParagraph"/>
        <w:numPr>
          <w:ilvl w:val="0"/>
          <w:numId w:val="2"/>
        </w:numPr>
        <w:spacing w:after="120"/>
      </w:pPr>
      <w:r>
        <w:rPr>
          <w:b/>
          <w:bCs/>
        </w:rPr>
        <w:t xml:space="preserve">Phase 2 - Pilot Deployment: </w:t>
      </w:r>
      <w:r>
        <w:t>Deploy models in limited operational contexts with enhanced monitoring and human oversight. Gather operational feedback and refine evaluation criteria based on real-world experience.</w:t>
      </w:r>
    </w:p>
    <w:p w14:paraId="24AB6DF6" w14:textId="77777777" w:rsidR="00317E02" w:rsidRDefault="00000000">
      <w:pPr>
        <w:pStyle w:val="ListParagraph"/>
        <w:numPr>
          <w:ilvl w:val="0"/>
          <w:numId w:val="2"/>
        </w:numPr>
        <w:spacing w:after="120"/>
      </w:pPr>
      <w:r>
        <w:rPr>
          <w:b/>
          <w:bCs/>
        </w:rPr>
        <w:t xml:space="preserve">Phase 3 - Scaled Deployment: </w:t>
      </w:r>
      <w:r>
        <w:t>Expand deployment across additional use cases and user populations as evaluation results support. Implement continuous monitoring and establish feedback loops for ongoing improvement.</w:t>
      </w:r>
    </w:p>
    <w:p w14:paraId="09A4FB56" w14:textId="55CB6754" w:rsidR="00317E02" w:rsidRDefault="00000000" w:rsidP="001D24E4">
      <w:pPr>
        <w:pStyle w:val="ListParagraph"/>
        <w:numPr>
          <w:ilvl w:val="0"/>
          <w:numId w:val="2"/>
        </w:numPr>
        <w:spacing w:after="120"/>
      </w:pPr>
      <w:r>
        <w:rPr>
          <w:b/>
          <w:bCs/>
        </w:rPr>
        <w:t xml:space="preserve">Phase 4 - Mission Integration: </w:t>
      </w:r>
      <w:r>
        <w:t>Integrate models into mission-critical workflows with appropriate risk acceptance. Maintain heightened monitoring and rapid response capabilities for emerging issues.</w:t>
      </w:r>
    </w:p>
    <w:p w14:paraId="194AC499" w14:textId="77777777" w:rsidR="00317E02" w:rsidRDefault="00000000">
      <w:pPr>
        <w:pStyle w:val="Heading1"/>
        <w:spacing w:after="200"/>
      </w:pPr>
      <w:r>
        <w:t>8. Conclusion and Future Directions</w:t>
      </w:r>
    </w:p>
    <w:p w14:paraId="6464D774" w14:textId="77777777" w:rsidR="00317E02" w:rsidRDefault="00000000">
      <w:pPr>
        <w:spacing w:after="200"/>
        <w:jc w:val="both"/>
      </w:pPr>
      <w:r>
        <w:t xml:space="preserve">This white paper has established a comprehensive framework for evaluating </w:t>
      </w:r>
      <w:proofErr w:type="gramStart"/>
      <w:r>
        <w:t>open source</w:t>
      </w:r>
      <w:proofErr w:type="gramEnd"/>
      <w:r>
        <w:t xml:space="preserve"> large language models in national defense applications. The framework addresses three fundamental dimensions, quality assessment, fairness evaluation, and security hardening, while providing actionable methodologies applicable across the defense acquisition lifecycle.</w:t>
      </w:r>
    </w:p>
    <w:p w14:paraId="0BAA6DFC" w14:textId="77777777" w:rsidR="00317E02" w:rsidRDefault="00000000">
      <w:pPr>
        <w:spacing w:after="200"/>
        <w:jc w:val="both"/>
      </w:pPr>
      <w:r>
        <w:t>The rapid evolution of LLM capabilities demands corresponding evolution in evaluation methodologies. Key areas for future research include automated red-teaming at scale, fairness metrics calibrated to defense-specific harm models, and security evaluation techniques for emerging architectures such as multimodal models and retrieval-augmented systems. International collaboration on evaluation standards, particularly among allied nations, can accelerate progress while promoting interoperability.</w:t>
      </w:r>
    </w:p>
    <w:p w14:paraId="244A2528" w14:textId="77777777" w:rsidR="00317E02" w:rsidRDefault="00000000">
      <w:pPr>
        <w:spacing w:after="200"/>
        <w:jc w:val="both"/>
      </w:pPr>
      <w:r>
        <w:t>The stakes of getting LLM deployment right in defense contexts are considerable. Thoughtful evaluation, grounded in the principles and methodologies outlined herein, enables defense organizations to harness the transformative potential of these technologies while managing their inherent risks. The framework presented provides a foundation for responsible adoption, supporting the Department of Defense's vision of maintaining technological advantage through the ethical and effective integration of artificial intelligence.</w:t>
      </w:r>
    </w:p>
    <w:p w14:paraId="4B802362" w14:textId="77777777" w:rsidR="00317E02" w:rsidRDefault="00000000">
      <w:r>
        <w:br w:type="page"/>
      </w:r>
    </w:p>
    <w:p w14:paraId="0DDA34C1" w14:textId="77777777" w:rsidR="00317E02" w:rsidRDefault="00000000">
      <w:pPr>
        <w:pStyle w:val="Heading1"/>
        <w:spacing w:after="200"/>
      </w:pPr>
      <w:r>
        <w:lastRenderedPageBreak/>
        <w:t>References</w:t>
      </w:r>
    </w:p>
    <w:p w14:paraId="072694E7" w14:textId="77777777" w:rsidR="00317E02" w:rsidRDefault="00000000">
      <w:pPr>
        <w:spacing w:after="200"/>
      </w:pPr>
      <w:r>
        <w:rPr>
          <w:sz w:val="22"/>
          <w:szCs w:val="22"/>
        </w:rPr>
        <w:t xml:space="preserve">Bai, Y., Kadavath, S., Kundu, S., Askell, A., Kernion, J., Jones, A., ... &amp; Kaplan, J. (2022). Constitutional AI: Harmlessness from AI feedback. </w:t>
      </w:r>
      <w:r>
        <w:rPr>
          <w:i/>
          <w:iCs/>
          <w:sz w:val="22"/>
          <w:szCs w:val="22"/>
        </w:rPr>
        <w:t>arXiv preprint arXiv:2212.08073.</w:t>
      </w:r>
    </w:p>
    <w:p w14:paraId="6E2B0BA7" w14:textId="77777777" w:rsidR="00317E02" w:rsidRDefault="00000000">
      <w:pPr>
        <w:spacing w:after="200"/>
      </w:pPr>
      <w:r>
        <w:rPr>
          <w:sz w:val="22"/>
          <w:szCs w:val="22"/>
        </w:rPr>
        <w:t xml:space="preserve">Bender, E. M., Gebru, T., McMillan-Major, A., &amp; Shmitchell, S. (2021). On the dangers of stochastic parrots: Can language models be too big? In </w:t>
      </w:r>
      <w:r>
        <w:rPr>
          <w:i/>
          <w:iCs/>
          <w:sz w:val="22"/>
          <w:szCs w:val="22"/>
        </w:rPr>
        <w:t>Proceedings of the 2021 ACM Conference on Fairness, Accountability, and Transparency</w:t>
      </w:r>
      <w:r>
        <w:rPr>
          <w:sz w:val="22"/>
          <w:szCs w:val="22"/>
        </w:rPr>
        <w:t xml:space="preserve"> (pp. 610-623). ACM.</w:t>
      </w:r>
    </w:p>
    <w:p w14:paraId="046AE62E" w14:textId="77777777" w:rsidR="00317E02" w:rsidRDefault="00000000">
      <w:pPr>
        <w:spacing w:after="200"/>
      </w:pPr>
      <w:r>
        <w:rPr>
          <w:sz w:val="22"/>
          <w:szCs w:val="22"/>
        </w:rPr>
        <w:t xml:space="preserve">Brown, T., Mann, B., Ryder, N., Subbiah, M., Kaplan, J. D., Dhariwal, P., ... &amp; Amodei, D. (2020). Language models are few-shot learners. </w:t>
      </w:r>
      <w:r>
        <w:rPr>
          <w:i/>
          <w:iCs/>
          <w:sz w:val="22"/>
          <w:szCs w:val="22"/>
        </w:rPr>
        <w:t>Advances in Neural Information Processing Systems, 33</w:t>
      </w:r>
      <w:r>
        <w:rPr>
          <w:sz w:val="22"/>
          <w:szCs w:val="22"/>
        </w:rPr>
        <w:t>, 1877-1901.</w:t>
      </w:r>
    </w:p>
    <w:p w14:paraId="140D2464" w14:textId="77777777" w:rsidR="00317E02" w:rsidRDefault="00000000">
      <w:pPr>
        <w:spacing w:after="200"/>
      </w:pPr>
      <w:r>
        <w:rPr>
          <w:sz w:val="22"/>
          <w:szCs w:val="22"/>
        </w:rPr>
        <w:t xml:space="preserve">Carlini, N., Ippolito, D., Jagielski, M., Lee, K., Tramer, F., &amp; Zhang, C. (2023). Quantifying memorization across neural language models. </w:t>
      </w:r>
      <w:r>
        <w:rPr>
          <w:i/>
          <w:iCs/>
          <w:sz w:val="22"/>
          <w:szCs w:val="22"/>
        </w:rPr>
        <w:t>International Conference on Learning Representations.</w:t>
      </w:r>
    </w:p>
    <w:p w14:paraId="5739D436" w14:textId="77777777" w:rsidR="00317E02" w:rsidRDefault="00000000">
      <w:pPr>
        <w:spacing w:after="200"/>
      </w:pPr>
      <w:r>
        <w:rPr>
          <w:sz w:val="22"/>
          <w:szCs w:val="22"/>
        </w:rPr>
        <w:t xml:space="preserve">Carlini, N., Tramer, F., Wallace, E., Jagielski, M., Herbert-Voss, A., Lee, K., ... &amp; Raffel, C. (2021). Extracting training data from large language models. In </w:t>
      </w:r>
      <w:r>
        <w:rPr>
          <w:i/>
          <w:iCs/>
          <w:sz w:val="22"/>
          <w:szCs w:val="22"/>
        </w:rPr>
        <w:t>30th USENIX Security Symposium</w:t>
      </w:r>
      <w:r>
        <w:rPr>
          <w:sz w:val="22"/>
          <w:szCs w:val="22"/>
        </w:rPr>
        <w:t xml:space="preserve"> (pp. 2633-2650).</w:t>
      </w:r>
    </w:p>
    <w:p w14:paraId="608F0B2F" w14:textId="77777777" w:rsidR="00317E02" w:rsidRDefault="00000000">
      <w:pPr>
        <w:spacing w:after="200"/>
      </w:pPr>
      <w:r>
        <w:rPr>
          <w:sz w:val="22"/>
          <w:szCs w:val="22"/>
        </w:rPr>
        <w:t xml:space="preserve">Chao, P., Robey, A., Dobriban, E., Hassani, H., Pappas, G. J., &amp; Wong, E. (2024). JailbreakBench: An open robustness benchmark for jailbreaking large language models. </w:t>
      </w:r>
      <w:r>
        <w:rPr>
          <w:i/>
          <w:iCs/>
          <w:sz w:val="22"/>
          <w:szCs w:val="22"/>
        </w:rPr>
        <w:t>arXiv preprint arXiv:2404.01318.</w:t>
      </w:r>
    </w:p>
    <w:p w14:paraId="6AACF5AB" w14:textId="77777777" w:rsidR="00317E02" w:rsidRDefault="00000000">
      <w:pPr>
        <w:spacing w:after="200"/>
      </w:pPr>
      <w:r>
        <w:rPr>
          <w:sz w:val="22"/>
          <w:szCs w:val="22"/>
        </w:rPr>
        <w:t xml:space="preserve">Department of Defense. (2020). DoD Adopts Ethical Principles for Artificial Intelligence. </w:t>
      </w:r>
      <w:r>
        <w:rPr>
          <w:i/>
          <w:iCs/>
          <w:sz w:val="22"/>
          <w:szCs w:val="22"/>
        </w:rPr>
        <w:t>U.S. Department of Defense.</w:t>
      </w:r>
    </w:p>
    <w:p w14:paraId="08599B08" w14:textId="77777777" w:rsidR="00317E02" w:rsidRDefault="00000000">
      <w:pPr>
        <w:spacing w:after="200"/>
      </w:pPr>
      <w:r>
        <w:rPr>
          <w:sz w:val="22"/>
          <w:szCs w:val="22"/>
        </w:rPr>
        <w:t xml:space="preserve">Dwork, C., Hardt, M., Pitassi, T., Reingold, O., &amp; Zemel, R. (2012). Fairness through awareness. In </w:t>
      </w:r>
      <w:r>
        <w:rPr>
          <w:i/>
          <w:iCs/>
          <w:sz w:val="22"/>
          <w:szCs w:val="22"/>
        </w:rPr>
        <w:t>Proceedings of the 3rd Innovations in Theoretical Computer Science Conference</w:t>
      </w:r>
      <w:r>
        <w:rPr>
          <w:sz w:val="22"/>
          <w:szCs w:val="22"/>
        </w:rPr>
        <w:t xml:space="preserve"> (pp. 214-226).</w:t>
      </w:r>
    </w:p>
    <w:p w14:paraId="709D49AF" w14:textId="77777777" w:rsidR="00317E02" w:rsidRDefault="00000000">
      <w:pPr>
        <w:spacing w:after="200"/>
      </w:pPr>
      <w:r>
        <w:rPr>
          <w:sz w:val="22"/>
          <w:szCs w:val="22"/>
        </w:rPr>
        <w:t xml:space="preserve">Fedus, W., Zoph, B., &amp; Shazeer, N. (2022). Switch transformers: Scaling to trillion parameter models with simple and efficient sparsity. </w:t>
      </w:r>
      <w:r>
        <w:rPr>
          <w:i/>
          <w:iCs/>
          <w:sz w:val="22"/>
          <w:szCs w:val="22"/>
        </w:rPr>
        <w:t>Journal of Machine Learning Research, 23</w:t>
      </w:r>
      <w:r>
        <w:rPr>
          <w:sz w:val="22"/>
          <w:szCs w:val="22"/>
        </w:rPr>
        <w:t>(120), 1-39.</w:t>
      </w:r>
    </w:p>
    <w:p w14:paraId="5D20BF3A" w14:textId="77777777" w:rsidR="00317E02" w:rsidRDefault="00000000">
      <w:pPr>
        <w:spacing w:after="200"/>
      </w:pPr>
      <w:r>
        <w:rPr>
          <w:sz w:val="22"/>
          <w:szCs w:val="22"/>
        </w:rPr>
        <w:t xml:space="preserve">Gu, T., Dolan-Gavitt, B., &amp; Garg, S. (2017). BadNets: Identifying vulnerabilities in the machine learning model supply chain. </w:t>
      </w:r>
      <w:r>
        <w:rPr>
          <w:i/>
          <w:iCs/>
          <w:sz w:val="22"/>
          <w:szCs w:val="22"/>
        </w:rPr>
        <w:t>arXiv preprint arXiv:1708.06733.</w:t>
      </w:r>
    </w:p>
    <w:p w14:paraId="4C54E943" w14:textId="77777777" w:rsidR="00317E02" w:rsidRDefault="00000000">
      <w:pPr>
        <w:spacing w:after="200"/>
      </w:pPr>
      <w:r>
        <w:rPr>
          <w:sz w:val="22"/>
          <w:szCs w:val="22"/>
        </w:rPr>
        <w:t xml:space="preserve">Guo, C., Pleiss, G., Sun, Y., &amp; Weinberger, K. Q. (2017). On calibration of modern neural networks. In </w:t>
      </w:r>
      <w:r>
        <w:rPr>
          <w:i/>
          <w:iCs/>
          <w:sz w:val="22"/>
          <w:szCs w:val="22"/>
        </w:rPr>
        <w:t>International Conference on Machine Learning</w:t>
      </w:r>
      <w:r>
        <w:rPr>
          <w:sz w:val="22"/>
          <w:szCs w:val="22"/>
        </w:rPr>
        <w:t xml:space="preserve"> (pp. 1321-1330). PMLR.</w:t>
      </w:r>
    </w:p>
    <w:p w14:paraId="70859D55" w14:textId="77777777" w:rsidR="00317E02" w:rsidRDefault="00000000">
      <w:pPr>
        <w:spacing w:after="200"/>
      </w:pPr>
      <w:r>
        <w:rPr>
          <w:sz w:val="22"/>
          <w:szCs w:val="22"/>
        </w:rPr>
        <w:t xml:space="preserve">Hoffmann, J., Borgeaud, S., Mensch, A., Buchatskaya, E., Cai, T., Rutherford, E., ... &amp; Sifre, L. (2022). Training compute-optimal large language models. </w:t>
      </w:r>
      <w:r>
        <w:rPr>
          <w:i/>
          <w:iCs/>
          <w:sz w:val="22"/>
          <w:szCs w:val="22"/>
        </w:rPr>
        <w:t>Advances in Neural Information Processing Systems, 35</w:t>
      </w:r>
      <w:r>
        <w:rPr>
          <w:sz w:val="22"/>
          <w:szCs w:val="22"/>
        </w:rPr>
        <w:t>, 30016-30030.</w:t>
      </w:r>
    </w:p>
    <w:p w14:paraId="50F1B898" w14:textId="77777777" w:rsidR="00317E02" w:rsidRDefault="00000000">
      <w:pPr>
        <w:spacing w:after="200"/>
      </w:pPr>
      <w:r>
        <w:rPr>
          <w:sz w:val="22"/>
          <w:szCs w:val="22"/>
        </w:rPr>
        <w:t xml:space="preserve">Honovich, O., Aharoni, R., Herzig, J., Taitelbaum, H., Kuber, D., Goldberg, Y., &amp; Globerson, A. (2022). TRUE: Re-evaluating factual consistency evaluation. </w:t>
      </w:r>
      <w:r>
        <w:rPr>
          <w:i/>
          <w:iCs/>
          <w:sz w:val="22"/>
          <w:szCs w:val="22"/>
        </w:rPr>
        <w:t>arXiv preprint arXiv:2204.04991.</w:t>
      </w:r>
    </w:p>
    <w:p w14:paraId="64437CA7" w14:textId="77777777" w:rsidR="00317E02" w:rsidRDefault="00000000">
      <w:pPr>
        <w:spacing w:after="200"/>
      </w:pPr>
      <w:r>
        <w:rPr>
          <w:sz w:val="22"/>
          <w:szCs w:val="22"/>
        </w:rPr>
        <w:t xml:space="preserve">Jiang, A. Q., Sablayrolles, A., Mensch, A., Bamford, C., Chaplot, D. S., Casas, D. D. L., ... &amp; Sayed, W. E. (2023). Mistral 7B. </w:t>
      </w:r>
      <w:r>
        <w:rPr>
          <w:i/>
          <w:iCs/>
          <w:sz w:val="22"/>
          <w:szCs w:val="22"/>
        </w:rPr>
        <w:t>arXiv preprint arXiv:2310.06825.</w:t>
      </w:r>
    </w:p>
    <w:p w14:paraId="0C11FFEB" w14:textId="77777777" w:rsidR="00317E02" w:rsidRDefault="00000000">
      <w:pPr>
        <w:spacing w:after="200"/>
      </w:pPr>
      <w:r>
        <w:rPr>
          <w:sz w:val="22"/>
          <w:szCs w:val="22"/>
        </w:rPr>
        <w:t xml:space="preserve">Jin, D., Jin, Z., Zhou, J. T., &amp; Szolovits, P. (2020). Is BERT </w:t>
      </w:r>
      <w:proofErr w:type="gramStart"/>
      <w:r>
        <w:rPr>
          <w:sz w:val="22"/>
          <w:szCs w:val="22"/>
        </w:rPr>
        <w:t>really robust</w:t>
      </w:r>
      <w:proofErr w:type="gramEnd"/>
      <w:r>
        <w:rPr>
          <w:sz w:val="22"/>
          <w:szCs w:val="22"/>
        </w:rPr>
        <w:t xml:space="preserve">? A strong baseline for natural language attack on text classification and entailment. In </w:t>
      </w:r>
      <w:r>
        <w:rPr>
          <w:i/>
          <w:iCs/>
          <w:sz w:val="22"/>
          <w:szCs w:val="22"/>
        </w:rPr>
        <w:t>Proceedings of the AAAI Conference on Artificial Intelligence, 34</w:t>
      </w:r>
      <w:r>
        <w:rPr>
          <w:sz w:val="22"/>
          <w:szCs w:val="22"/>
        </w:rPr>
        <w:t>(05), 8018-8025.</w:t>
      </w:r>
    </w:p>
    <w:p w14:paraId="29938768" w14:textId="77777777" w:rsidR="00317E02" w:rsidRDefault="00000000">
      <w:pPr>
        <w:spacing w:after="200"/>
      </w:pPr>
      <w:r>
        <w:rPr>
          <w:sz w:val="22"/>
          <w:szCs w:val="22"/>
        </w:rPr>
        <w:t xml:space="preserve">Kaplan, J., McCandlish, S., Henighan, T., Brown, T. B., Chess, B., Child, R., ... &amp; Amodei, D. (2020). Scaling laws for neural language models. </w:t>
      </w:r>
      <w:r>
        <w:rPr>
          <w:i/>
          <w:iCs/>
          <w:sz w:val="22"/>
          <w:szCs w:val="22"/>
        </w:rPr>
        <w:t>arXiv preprint arXiv:2001.08361.</w:t>
      </w:r>
    </w:p>
    <w:p w14:paraId="1BBE5AA1" w14:textId="77777777" w:rsidR="00317E02" w:rsidRDefault="00000000">
      <w:pPr>
        <w:spacing w:after="200"/>
      </w:pPr>
      <w:r>
        <w:rPr>
          <w:sz w:val="22"/>
          <w:szCs w:val="22"/>
        </w:rPr>
        <w:lastRenderedPageBreak/>
        <w:t xml:space="preserve">Kusner, M. J., Loftus, J., Russell, C., &amp; Silva, R. (2017). Counterfactual fairness. </w:t>
      </w:r>
      <w:r>
        <w:rPr>
          <w:i/>
          <w:iCs/>
          <w:sz w:val="22"/>
          <w:szCs w:val="22"/>
        </w:rPr>
        <w:t>Advances in Neural Information Processing Systems, 30.</w:t>
      </w:r>
    </w:p>
    <w:p w14:paraId="70A78EA7" w14:textId="77777777" w:rsidR="00317E02" w:rsidRDefault="00000000">
      <w:pPr>
        <w:spacing w:after="200"/>
      </w:pPr>
      <w:r>
        <w:rPr>
          <w:sz w:val="22"/>
          <w:szCs w:val="22"/>
        </w:rPr>
        <w:t xml:space="preserve">Li, L., Ma, R., Guo, Q., Xue, X., &amp; Qiu, X. (2020). BERT-ATTACK: Adversarial attack against BERT using BERT. </w:t>
      </w:r>
      <w:r>
        <w:rPr>
          <w:i/>
          <w:iCs/>
          <w:sz w:val="22"/>
          <w:szCs w:val="22"/>
        </w:rPr>
        <w:t>arXiv preprint arXiv:2004.09984.</w:t>
      </w:r>
    </w:p>
    <w:p w14:paraId="67189766" w14:textId="77777777" w:rsidR="00317E02" w:rsidRDefault="00000000">
      <w:pPr>
        <w:spacing w:after="200"/>
      </w:pPr>
      <w:r>
        <w:rPr>
          <w:sz w:val="22"/>
          <w:szCs w:val="22"/>
        </w:rPr>
        <w:t xml:space="preserve">Lin, C. Y. (2004). ROUGE: A package for automatic evaluation of summaries. In </w:t>
      </w:r>
      <w:r>
        <w:rPr>
          <w:i/>
          <w:iCs/>
          <w:sz w:val="22"/>
          <w:szCs w:val="22"/>
        </w:rPr>
        <w:t>Text Summarization Branches Out</w:t>
      </w:r>
      <w:r>
        <w:rPr>
          <w:sz w:val="22"/>
          <w:szCs w:val="22"/>
        </w:rPr>
        <w:t xml:space="preserve"> (pp. 74-81).</w:t>
      </w:r>
    </w:p>
    <w:p w14:paraId="35751246" w14:textId="77777777" w:rsidR="00317E02" w:rsidRDefault="00000000">
      <w:pPr>
        <w:spacing w:after="200"/>
      </w:pPr>
      <w:r>
        <w:rPr>
          <w:sz w:val="22"/>
          <w:szCs w:val="22"/>
        </w:rPr>
        <w:t xml:space="preserve">Mitchell, M., Wu, S., Zaldivar, A., Barnes, P., Vasserman, L., Hutchinson, B., ... &amp; Gebru, T. (2019). Model cards for model reporting. In </w:t>
      </w:r>
      <w:r>
        <w:rPr>
          <w:i/>
          <w:iCs/>
          <w:sz w:val="22"/>
          <w:szCs w:val="22"/>
        </w:rPr>
        <w:t>Proceedings of the Conference on Fairness, Accountability, and Transparency</w:t>
      </w:r>
      <w:r>
        <w:rPr>
          <w:sz w:val="22"/>
          <w:szCs w:val="22"/>
        </w:rPr>
        <w:t xml:space="preserve"> (</w:t>
      </w:r>
      <w:proofErr w:type="gramStart"/>
      <w:r>
        <w:rPr>
          <w:sz w:val="22"/>
          <w:szCs w:val="22"/>
        </w:rPr>
        <w:t>pp</w:t>
      </w:r>
      <w:proofErr w:type="gramEnd"/>
      <w:r>
        <w:rPr>
          <w:sz w:val="22"/>
          <w:szCs w:val="22"/>
        </w:rPr>
        <w:t>. 220-229).</w:t>
      </w:r>
    </w:p>
    <w:p w14:paraId="674AE8AF" w14:textId="77777777" w:rsidR="00317E02" w:rsidRDefault="00000000">
      <w:pPr>
        <w:spacing w:after="200"/>
      </w:pPr>
      <w:r>
        <w:rPr>
          <w:sz w:val="22"/>
          <w:szCs w:val="22"/>
        </w:rPr>
        <w:t xml:space="preserve">Nadeem, M., Bethke, A., &amp; Reddy, S. (2020). StereoSet: Measuring stereotypical bias in pretrained language models. </w:t>
      </w:r>
      <w:r>
        <w:rPr>
          <w:i/>
          <w:iCs/>
          <w:sz w:val="22"/>
          <w:szCs w:val="22"/>
        </w:rPr>
        <w:t>arXiv preprint arXiv:2004.09456.</w:t>
      </w:r>
    </w:p>
    <w:p w14:paraId="3FCD78EF" w14:textId="77777777" w:rsidR="00317E02" w:rsidRDefault="00000000">
      <w:pPr>
        <w:spacing w:after="200"/>
      </w:pPr>
      <w:r>
        <w:rPr>
          <w:sz w:val="22"/>
          <w:szCs w:val="22"/>
        </w:rPr>
        <w:t xml:space="preserve">National Institute of Standards and Technology. (2023). </w:t>
      </w:r>
      <w:r>
        <w:rPr>
          <w:i/>
          <w:iCs/>
          <w:sz w:val="22"/>
          <w:szCs w:val="22"/>
        </w:rPr>
        <w:t>Artificial Intelligence Risk Management Framework (AI RMF 1.0).</w:t>
      </w:r>
      <w:r>
        <w:rPr>
          <w:sz w:val="22"/>
          <w:szCs w:val="22"/>
        </w:rPr>
        <w:t xml:space="preserve"> NIST AI 100-1.</w:t>
      </w:r>
    </w:p>
    <w:p w14:paraId="48A5503A" w14:textId="77777777" w:rsidR="00317E02" w:rsidRDefault="00000000">
      <w:pPr>
        <w:spacing w:after="200"/>
      </w:pPr>
      <w:r>
        <w:rPr>
          <w:sz w:val="22"/>
          <w:szCs w:val="22"/>
        </w:rPr>
        <w:t xml:space="preserve">Ouyang, L., Wu, J., Jiang, X., Almeida, D., Wainwright, C., Mishkin, P., ... &amp; Lowe, R. (2022). Training language models to follow instructions with human feedback. </w:t>
      </w:r>
      <w:r>
        <w:rPr>
          <w:i/>
          <w:iCs/>
          <w:sz w:val="22"/>
          <w:szCs w:val="22"/>
        </w:rPr>
        <w:t>Advances in Neural Information Processing Systems, 35</w:t>
      </w:r>
      <w:r>
        <w:rPr>
          <w:sz w:val="22"/>
          <w:szCs w:val="22"/>
        </w:rPr>
        <w:t>, 27730-27744.</w:t>
      </w:r>
    </w:p>
    <w:p w14:paraId="09038E06" w14:textId="77777777" w:rsidR="00317E02" w:rsidRDefault="00000000">
      <w:pPr>
        <w:spacing w:after="200"/>
      </w:pPr>
      <w:r>
        <w:rPr>
          <w:sz w:val="22"/>
          <w:szCs w:val="22"/>
        </w:rPr>
        <w:t xml:space="preserve">Penedo, G., Malartic, Q., Hesslow, D., Cojocaru, R., Cappelli, A., Alobeidli, H., ... &amp; Launay, J. (2023). The RefinedWeb dataset for Falcon LLM. </w:t>
      </w:r>
      <w:r>
        <w:rPr>
          <w:i/>
          <w:iCs/>
          <w:sz w:val="22"/>
          <w:szCs w:val="22"/>
        </w:rPr>
        <w:t>arXiv preprint arXiv:2306.01116.</w:t>
      </w:r>
    </w:p>
    <w:p w14:paraId="686C448F" w14:textId="77777777" w:rsidR="00317E02" w:rsidRDefault="00000000">
      <w:pPr>
        <w:spacing w:after="200"/>
      </w:pPr>
      <w:r>
        <w:rPr>
          <w:sz w:val="22"/>
          <w:szCs w:val="22"/>
        </w:rPr>
        <w:t xml:space="preserve">Perez, E., Huang, S., Song, F., Cai, T., Ring, R., Aslanides, J., ... &amp; Irving, G. (2022). Red teaming language models with language models. </w:t>
      </w:r>
      <w:r>
        <w:rPr>
          <w:i/>
          <w:iCs/>
          <w:sz w:val="22"/>
          <w:szCs w:val="22"/>
        </w:rPr>
        <w:t>arXiv preprint arXiv:2202.03286.</w:t>
      </w:r>
    </w:p>
    <w:p w14:paraId="1C8F0DA0" w14:textId="77777777" w:rsidR="00317E02" w:rsidRDefault="00000000">
      <w:pPr>
        <w:spacing w:after="200"/>
      </w:pPr>
      <w:r>
        <w:rPr>
          <w:sz w:val="22"/>
          <w:szCs w:val="22"/>
        </w:rPr>
        <w:t xml:space="preserve">Perez, F., &amp; Ribeiro, I. (2022). Ignore this title and HackAPrompt: Exposing systemic vulnerabilities of LLMs through a global scale prompt hacking competition. </w:t>
      </w:r>
      <w:r>
        <w:rPr>
          <w:i/>
          <w:iCs/>
          <w:sz w:val="22"/>
          <w:szCs w:val="22"/>
        </w:rPr>
        <w:t>arXiv preprint arXiv:2311.16119.</w:t>
      </w:r>
    </w:p>
    <w:p w14:paraId="370A6747" w14:textId="77777777" w:rsidR="00317E02" w:rsidRDefault="00000000">
      <w:pPr>
        <w:spacing w:after="200"/>
      </w:pPr>
      <w:r>
        <w:rPr>
          <w:sz w:val="22"/>
          <w:szCs w:val="22"/>
        </w:rPr>
        <w:t xml:space="preserve">Pleiss, G., Raghavan, M., Wu, F., Kleinberg, J., &amp; Weinberger, K. Q. (2017). On fairness and calibration. </w:t>
      </w:r>
      <w:r>
        <w:rPr>
          <w:i/>
          <w:iCs/>
          <w:sz w:val="22"/>
          <w:szCs w:val="22"/>
        </w:rPr>
        <w:t>Advances in Neural Information Processing Systems, 30.</w:t>
      </w:r>
    </w:p>
    <w:p w14:paraId="2528D275" w14:textId="77777777" w:rsidR="00317E02" w:rsidRDefault="00000000">
      <w:pPr>
        <w:spacing w:after="200"/>
      </w:pPr>
      <w:r>
        <w:rPr>
          <w:sz w:val="22"/>
          <w:szCs w:val="22"/>
        </w:rPr>
        <w:t xml:space="preserve">Rafailov, R., Sharma, A., Mitchell, E., Ermon, S., Manning, C. D., &amp; Finn, C. (2023). Direct preference optimization: Your language model is secretly a reward model. </w:t>
      </w:r>
      <w:r>
        <w:rPr>
          <w:i/>
          <w:iCs/>
          <w:sz w:val="22"/>
          <w:szCs w:val="22"/>
        </w:rPr>
        <w:t>arXiv preprint arXiv:2305.18290.</w:t>
      </w:r>
    </w:p>
    <w:p w14:paraId="2A1E86CE" w14:textId="77777777" w:rsidR="00317E02" w:rsidRDefault="00000000">
      <w:pPr>
        <w:spacing w:after="200"/>
      </w:pPr>
      <w:r>
        <w:rPr>
          <w:sz w:val="22"/>
          <w:szCs w:val="22"/>
        </w:rPr>
        <w:t xml:space="preserve">Ribeiro, M. T., Wu, T., Guestrin, C., &amp; Singh, S. (2020). Beyond accuracy: Behavioral testing of NLP models with CheckList. In </w:t>
      </w:r>
      <w:r>
        <w:rPr>
          <w:i/>
          <w:iCs/>
          <w:sz w:val="22"/>
          <w:szCs w:val="22"/>
        </w:rPr>
        <w:t>Proceedings of the 58th Annual Meeting of the Association for Computational Linguistics</w:t>
      </w:r>
      <w:r>
        <w:rPr>
          <w:sz w:val="22"/>
          <w:szCs w:val="22"/>
        </w:rPr>
        <w:t xml:space="preserve"> (pp. 4902-4912).</w:t>
      </w:r>
    </w:p>
    <w:p w14:paraId="70265E6E" w14:textId="77777777" w:rsidR="00317E02" w:rsidRDefault="00000000">
      <w:pPr>
        <w:spacing w:after="200"/>
      </w:pPr>
      <w:r>
        <w:rPr>
          <w:sz w:val="22"/>
          <w:szCs w:val="22"/>
        </w:rPr>
        <w:t xml:space="preserve">Sheng, E., Chang, K. W., Natarajan, P., &amp; Peng, N. (2019). The woman worked as a babysitter: On biases in language generation. In </w:t>
      </w:r>
      <w:r>
        <w:rPr>
          <w:i/>
          <w:iCs/>
          <w:sz w:val="22"/>
          <w:szCs w:val="22"/>
        </w:rPr>
        <w:t>Proceedings of the 2019 Conference on Empirical Methods in Natural Language Processing</w:t>
      </w:r>
      <w:r>
        <w:rPr>
          <w:sz w:val="22"/>
          <w:szCs w:val="22"/>
        </w:rPr>
        <w:t xml:space="preserve"> (</w:t>
      </w:r>
      <w:proofErr w:type="gramStart"/>
      <w:r>
        <w:rPr>
          <w:sz w:val="22"/>
          <w:szCs w:val="22"/>
        </w:rPr>
        <w:t>pp</w:t>
      </w:r>
      <w:proofErr w:type="gramEnd"/>
      <w:r>
        <w:rPr>
          <w:sz w:val="22"/>
          <w:szCs w:val="22"/>
        </w:rPr>
        <w:t>. 3407-3412).</w:t>
      </w:r>
    </w:p>
    <w:p w14:paraId="0B019AC0" w14:textId="77777777" w:rsidR="00317E02" w:rsidRDefault="00000000">
      <w:pPr>
        <w:spacing w:after="200"/>
      </w:pPr>
      <w:r>
        <w:rPr>
          <w:sz w:val="22"/>
          <w:szCs w:val="22"/>
        </w:rPr>
        <w:t xml:space="preserve">Shostack, A. (2014). </w:t>
      </w:r>
      <w:r>
        <w:rPr>
          <w:i/>
          <w:iCs/>
          <w:sz w:val="22"/>
          <w:szCs w:val="22"/>
        </w:rPr>
        <w:t>Threat Modeling: Designing for Security.</w:t>
      </w:r>
      <w:r>
        <w:rPr>
          <w:sz w:val="22"/>
          <w:szCs w:val="22"/>
        </w:rPr>
        <w:t xml:space="preserve"> John Wiley &amp; Sons.</w:t>
      </w:r>
    </w:p>
    <w:p w14:paraId="579A63BB" w14:textId="77777777" w:rsidR="00317E02" w:rsidRDefault="00000000">
      <w:pPr>
        <w:spacing w:after="200"/>
      </w:pPr>
      <w:r>
        <w:rPr>
          <w:sz w:val="22"/>
          <w:szCs w:val="22"/>
        </w:rPr>
        <w:t xml:space="preserve">Touvron, H., Martin, L., Stone, K., Albert, P., Almahairi, A., Babaei, Y., ... &amp; Scialom, T. (2023). Llama 2: Open foundation and fine-tuned chat models. </w:t>
      </w:r>
      <w:r>
        <w:rPr>
          <w:i/>
          <w:iCs/>
          <w:sz w:val="22"/>
          <w:szCs w:val="22"/>
        </w:rPr>
        <w:t>arXiv preprint arXiv:2307.09288.</w:t>
      </w:r>
    </w:p>
    <w:p w14:paraId="58F0EEAC" w14:textId="77777777" w:rsidR="00317E02" w:rsidRDefault="00000000">
      <w:pPr>
        <w:spacing w:after="200"/>
      </w:pPr>
      <w:r>
        <w:rPr>
          <w:sz w:val="22"/>
          <w:szCs w:val="22"/>
        </w:rPr>
        <w:t xml:space="preserve">Vaswani, A., Shazeer, N., Parmar, N., Uszkoreit, J., Jones, L., Gomez, A. N., ... &amp; Polosukhin, I. (2017). Attention is all you need. </w:t>
      </w:r>
      <w:r>
        <w:rPr>
          <w:i/>
          <w:iCs/>
          <w:sz w:val="22"/>
          <w:szCs w:val="22"/>
        </w:rPr>
        <w:t>Advances in Neural Information Processing Systems, 30.</w:t>
      </w:r>
    </w:p>
    <w:p w14:paraId="2E013259" w14:textId="77777777" w:rsidR="00317E02" w:rsidRDefault="00000000">
      <w:pPr>
        <w:spacing w:after="200"/>
      </w:pPr>
      <w:r>
        <w:rPr>
          <w:sz w:val="22"/>
          <w:szCs w:val="22"/>
        </w:rPr>
        <w:lastRenderedPageBreak/>
        <w:t xml:space="preserve">Wei, A., Haghtalab, N., &amp; Steinhardt, J. (2023). Jailbroken: How does LLM safety training fail? </w:t>
      </w:r>
      <w:r>
        <w:rPr>
          <w:i/>
          <w:iCs/>
          <w:sz w:val="22"/>
          <w:szCs w:val="22"/>
        </w:rPr>
        <w:t>arXiv preprint arXiv:2307.02483.</w:t>
      </w:r>
    </w:p>
    <w:p w14:paraId="7EF54F74" w14:textId="77777777" w:rsidR="00317E02" w:rsidRDefault="00000000">
      <w:pPr>
        <w:spacing w:after="200"/>
      </w:pPr>
      <w:r>
        <w:rPr>
          <w:sz w:val="22"/>
          <w:szCs w:val="22"/>
        </w:rPr>
        <w:t xml:space="preserve">Xu, W., Evans, D., &amp; Qi, Y. (2018). Feature squeezing: Detecting adversarial examples in deep neural networks. In </w:t>
      </w:r>
      <w:r>
        <w:rPr>
          <w:i/>
          <w:iCs/>
          <w:sz w:val="22"/>
          <w:szCs w:val="22"/>
        </w:rPr>
        <w:t>Proceedings of the 2018 Network and Distributed System Security Symposium (NDSS).</w:t>
      </w:r>
    </w:p>
    <w:p w14:paraId="23F60E27" w14:textId="77777777" w:rsidR="00317E02" w:rsidRDefault="00000000">
      <w:pPr>
        <w:spacing w:after="200"/>
      </w:pPr>
      <w:r>
        <w:rPr>
          <w:sz w:val="22"/>
          <w:szCs w:val="22"/>
        </w:rPr>
        <w:t xml:space="preserve">Zhang, B. H., Lemoine, B., &amp; Mitchell, M. (2018). Mitigating unwanted biases with adversarial learning. In </w:t>
      </w:r>
      <w:r>
        <w:rPr>
          <w:i/>
          <w:iCs/>
          <w:sz w:val="22"/>
          <w:szCs w:val="22"/>
        </w:rPr>
        <w:t>Proceedings of the 2018 AAAI/ACM Conference on AI, Ethics, and Society</w:t>
      </w:r>
      <w:r>
        <w:rPr>
          <w:sz w:val="22"/>
          <w:szCs w:val="22"/>
        </w:rPr>
        <w:t xml:space="preserve"> (pp. 335-340).</w:t>
      </w:r>
    </w:p>
    <w:p w14:paraId="3189AF22" w14:textId="77777777" w:rsidR="00317E02" w:rsidRDefault="00000000">
      <w:pPr>
        <w:spacing w:after="200"/>
      </w:pPr>
      <w:r>
        <w:rPr>
          <w:sz w:val="22"/>
          <w:szCs w:val="22"/>
        </w:rPr>
        <w:t xml:space="preserve">Zhang, T., Kishore, V., Wu, F., Weinberger, K. Q., &amp; Artzi, Y. (2020). BERTScore: Evaluating text generation with BERT. In </w:t>
      </w:r>
      <w:r>
        <w:rPr>
          <w:i/>
          <w:iCs/>
          <w:sz w:val="22"/>
          <w:szCs w:val="22"/>
        </w:rPr>
        <w:t>International Conference on Learning Representations.</w:t>
      </w:r>
    </w:p>
    <w:p w14:paraId="0A107157" w14:textId="77777777" w:rsidR="00317E02" w:rsidRDefault="00000000">
      <w:pPr>
        <w:spacing w:after="200"/>
      </w:pPr>
      <w:r>
        <w:rPr>
          <w:sz w:val="22"/>
          <w:szCs w:val="22"/>
        </w:rPr>
        <w:t xml:space="preserve">Zhao, J., Wang, T., Yatskar, M., Ordonez, V., &amp; Chang, K. W. (2018). Gender bias in coreference resolution: Evaluation and debiasing methods. </w:t>
      </w:r>
      <w:r>
        <w:rPr>
          <w:i/>
          <w:iCs/>
          <w:sz w:val="22"/>
          <w:szCs w:val="22"/>
        </w:rPr>
        <w:t>arXiv preprint arXiv:1804.06876.</w:t>
      </w:r>
    </w:p>
    <w:sectPr w:rsidR="00317E02">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879A2" w14:textId="77777777" w:rsidR="00651F11" w:rsidRDefault="00651F11">
      <w:r>
        <w:separator/>
      </w:r>
    </w:p>
  </w:endnote>
  <w:endnote w:type="continuationSeparator" w:id="0">
    <w:p w14:paraId="76A97C89" w14:textId="77777777" w:rsidR="00651F11" w:rsidRDefault="00651F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DFD11" w14:textId="77777777" w:rsidR="00317E02" w:rsidRDefault="00000000">
    <w:pPr>
      <w:jc w:val="center"/>
    </w:pPr>
    <w:r>
      <w:t xml:space="preserve">Page </w:t>
    </w:r>
    <w:r>
      <w:fldChar w:fldCharType="begin"/>
    </w:r>
    <w:r>
      <w:instrText>PAGE</w:instrText>
    </w:r>
    <w:r>
      <w:fldChar w:fldCharType="separate"/>
    </w:r>
    <w:r w:rsidR="001D24E4">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F9322" w14:textId="77777777" w:rsidR="00651F11" w:rsidRDefault="00651F11">
      <w:r>
        <w:separator/>
      </w:r>
    </w:p>
  </w:footnote>
  <w:footnote w:type="continuationSeparator" w:id="0">
    <w:p w14:paraId="7B0D7F56" w14:textId="77777777" w:rsidR="00651F11" w:rsidRDefault="00651F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923AD" w14:textId="77777777" w:rsidR="00317E02" w:rsidRDefault="00000000">
    <w:pPr>
      <w:jc w:val="right"/>
    </w:pPr>
    <w:r>
      <w:rPr>
        <w:i/>
        <w:iCs/>
        <w:sz w:val="20"/>
        <w:szCs w:val="20"/>
      </w:rPr>
      <w:t>Technical White Paper: Evaluating Open Source LLMs for National Defense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E214A"/>
    <w:multiLevelType w:val="hybridMultilevel"/>
    <w:tmpl w:val="9D0AFBC4"/>
    <w:lvl w:ilvl="0" w:tplc="3E6AD954">
      <w:start w:val="1"/>
      <w:numFmt w:val="bullet"/>
      <w:lvlText w:val="•"/>
      <w:lvlJc w:val="left"/>
      <w:pPr>
        <w:ind w:left="720" w:hanging="360"/>
      </w:pPr>
    </w:lvl>
    <w:lvl w:ilvl="1" w:tplc="13922216">
      <w:start w:val="1"/>
      <w:numFmt w:val="bullet"/>
      <w:lvlText w:val="○"/>
      <w:lvlJc w:val="left"/>
      <w:pPr>
        <w:ind w:left="1440" w:hanging="360"/>
      </w:pPr>
    </w:lvl>
    <w:lvl w:ilvl="2" w:tplc="2D92BAF8">
      <w:numFmt w:val="decimal"/>
      <w:lvlText w:val=""/>
      <w:lvlJc w:val="left"/>
    </w:lvl>
    <w:lvl w:ilvl="3" w:tplc="70B8E6E8">
      <w:numFmt w:val="decimal"/>
      <w:lvlText w:val=""/>
      <w:lvlJc w:val="left"/>
    </w:lvl>
    <w:lvl w:ilvl="4" w:tplc="FCFC00D4">
      <w:numFmt w:val="decimal"/>
      <w:lvlText w:val=""/>
      <w:lvlJc w:val="left"/>
    </w:lvl>
    <w:lvl w:ilvl="5" w:tplc="46DCCD34">
      <w:numFmt w:val="decimal"/>
      <w:lvlText w:val=""/>
      <w:lvlJc w:val="left"/>
    </w:lvl>
    <w:lvl w:ilvl="6" w:tplc="C550333C">
      <w:numFmt w:val="decimal"/>
      <w:lvlText w:val=""/>
      <w:lvlJc w:val="left"/>
    </w:lvl>
    <w:lvl w:ilvl="7" w:tplc="FC90CC30">
      <w:numFmt w:val="decimal"/>
      <w:lvlText w:val=""/>
      <w:lvlJc w:val="left"/>
    </w:lvl>
    <w:lvl w:ilvl="8" w:tplc="CE2AB1E6">
      <w:numFmt w:val="decimal"/>
      <w:lvlText w:val=""/>
      <w:lvlJc w:val="left"/>
    </w:lvl>
  </w:abstractNum>
  <w:abstractNum w:abstractNumId="1" w15:restartNumberingAfterBreak="0">
    <w:nsid w:val="464916E7"/>
    <w:multiLevelType w:val="hybridMultilevel"/>
    <w:tmpl w:val="C0786EEC"/>
    <w:lvl w:ilvl="0" w:tplc="CD70D6C4">
      <w:start w:val="1"/>
      <w:numFmt w:val="bullet"/>
      <w:lvlText w:val="●"/>
      <w:lvlJc w:val="left"/>
      <w:pPr>
        <w:ind w:left="720" w:hanging="360"/>
      </w:pPr>
    </w:lvl>
    <w:lvl w:ilvl="1" w:tplc="D4DA63C2">
      <w:start w:val="1"/>
      <w:numFmt w:val="bullet"/>
      <w:lvlText w:val="○"/>
      <w:lvlJc w:val="left"/>
      <w:pPr>
        <w:ind w:left="1440" w:hanging="360"/>
      </w:pPr>
    </w:lvl>
    <w:lvl w:ilvl="2" w:tplc="A46085E6">
      <w:start w:val="1"/>
      <w:numFmt w:val="bullet"/>
      <w:lvlText w:val="■"/>
      <w:lvlJc w:val="left"/>
      <w:pPr>
        <w:ind w:left="2160" w:hanging="360"/>
      </w:pPr>
    </w:lvl>
    <w:lvl w:ilvl="3" w:tplc="4738AE76">
      <w:start w:val="1"/>
      <w:numFmt w:val="bullet"/>
      <w:lvlText w:val="●"/>
      <w:lvlJc w:val="left"/>
      <w:pPr>
        <w:ind w:left="2880" w:hanging="360"/>
      </w:pPr>
    </w:lvl>
    <w:lvl w:ilvl="4" w:tplc="5866C9E8">
      <w:start w:val="1"/>
      <w:numFmt w:val="bullet"/>
      <w:lvlText w:val="○"/>
      <w:lvlJc w:val="left"/>
      <w:pPr>
        <w:ind w:left="3600" w:hanging="360"/>
      </w:pPr>
    </w:lvl>
    <w:lvl w:ilvl="5" w:tplc="42844D3A">
      <w:start w:val="1"/>
      <w:numFmt w:val="bullet"/>
      <w:lvlText w:val="■"/>
      <w:lvlJc w:val="left"/>
      <w:pPr>
        <w:ind w:left="4320" w:hanging="360"/>
      </w:pPr>
    </w:lvl>
    <w:lvl w:ilvl="6" w:tplc="0DC0CAD4">
      <w:start w:val="1"/>
      <w:numFmt w:val="bullet"/>
      <w:lvlText w:val="●"/>
      <w:lvlJc w:val="left"/>
      <w:pPr>
        <w:ind w:left="5040" w:hanging="360"/>
      </w:pPr>
    </w:lvl>
    <w:lvl w:ilvl="7" w:tplc="E62E2014">
      <w:start w:val="1"/>
      <w:numFmt w:val="bullet"/>
      <w:lvlText w:val="●"/>
      <w:lvlJc w:val="left"/>
      <w:pPr>
        <w:ind w:left="5760" w:hanging="360"/>
      </w:pPr>
    </w:lvl>
    <w:lvl w:ilvl="8" w:tplc="1DB64D6C">
      <w:start w:val="1"/>
      <w:numFmt w:val="bullet"/>
      <w:lvlText w:val="●"/>
      <w:lvlJc w:val="left"/>
      <w:pPr>
        <w:ind w:left="6480" w:hanging="360"/>
      </w:pPr>
    </w:lvl>
  </w:abstractNum>
  <w:abstractNum w:abstractNumId="2" w15:restartNumberingAfterBreak="0">
    <w:nsid w:val="721C657F"/>
    <w:multiLevelType w:val="hybridMultilevel"/>
    <w:tmpl w:val="2870DA8A"/>
    <w:lvl w:ilvl="0" w:tplc="735604AE">
      <w:start w:val="1"/>
      <w:numFmt w:val="decimal"/>
      <w:lvlText w:val="%1."/>
      <w:lvlJc w:val="left"/>
      <w:pPr>
        <w:ind w:left="720" w:hanging="360"/>
      </w:pPr>
    </w:lvl>
    <w:lvl w:ilvl="1" w:tplc="FF3EABD4">
      <w:numFmt w:val="decimal"/>
      <w:lvlText w:val=""/>
      <w:lvlJc w:val="left"/>
    </w:lvl>
    <w:lvl w:ilvl="2" w:tplc="539CDCFE">
      <w:numFmt w:val="decimal"/>
      <w:lvlText w:val=""/>
      <w:lvlJc w:val="left"/>
    </w:lvl>
    <w:lvl w:ilvl="3" w:tplc="AA20FAB4">
      <w:numFmt w:val="decimal"/>
      <w:lvlText w:val=""/>
      <w:lvlJc w:val="left"/>
    </w:lvl>
    <w:lvl w:ilvl="4" w:tplc="66C4F070">
      <w:numFmt w:val="decimal"/>
      <w:lvlText w:val=""/>
      <w:lvlJc w:val="left"/>
    </w:lvl>
    <w:lvl w:ilvl="5" w:tplc="C2888774">
      <w:numFmt w:val="decimal"/>
      <w:lvlText w:val=""/>
      <w:lvlJc w:val="left"/>
    </w:lvl>
    <w:lvl w:ilvl="6" w:tplc="0608C05E">
      <w:numFmt w:val="decimal"/>
      <w:lvlText w:val=""/>
      <w:lvlJc w:val="left"/>
    </w:lvl>
    <w:lvl w:ilvl="7" w:tplc="86BC4532">
      <w:numFmt w:val="decimal"/>
      <w:lvlText w:val=""/>
      <w:lvlJc w:val="left"/>
    </w:lvl>
    <w:lvl w:ilvl="8" w:tplc="240A095E">
      <w:numFmt w:val="decimal"/>
      <w:lvlText w:val=""/>
      <w:lvlJc w:val="left"/>
    </w:lvl>
  </w:abstractNum>
  <w:num w:numId="1" w16cid:durableId="2114396207">
    <w:abstractNumId w:val="1"/>
    <w:lvlOverride w:ilvl="0">
      <w:startOverride w:val="1"/>
    </w:lvlOverride>
  </w:num>
  <w:num w:numId="2" w16cid:durableId="194225543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E02"/>
    <w:rsid w:val="001D24E4"/>
    <w:rsid w:val="00317E02"/>
    <w:rsid w:val="00651F11"/>
    <w:rsid w:val="008335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4E9ED"/>
  <w15:docId w15:val="{0D0FF415-F9AA-4620-AC0B-1AD26A9A9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40"/>
      <w:outlineLvl w:val="0"/>
    </w:pPr>
    <w:rPr>
      <w:rFonts w:ascii="Arial" w:eastAsia="Arial" w:hAnsi="Arial" w:cs="Arial"/>
      <w:b/>
      <w:bCs/>
      <w:sz w:val="32"/>
      <w:szCs w:val="32"/>
    </w:rPr>
  </w:style>
  <w:style w:type="paragraph" w:styleId="Heading2">
    <w:name w:val="heading 2"/>
    <w:uiPriority w:val="9"/>
    <w:unhideWhenUsed/>
    <w:qFormat/>
    <w:pPr>
      <w:spacing w:before="300" w:after="200"/>
      <w:outlineLvl w:val="1"/>
    </w:pPr>
    <w:rPr>
      <w:rFonts w:ascii="Arial" w:eastAsia="Arial" w:hAnsi="Arial" w:cs="Arial"/>
      <w:b/>
      <w:bCs/>
      <w:sz w:val="28"/>
      <w:szCs w:val="28"/>
    </w:rPr>
  </w:style>
  <w:style w:type="paragraph" w:styleId="Heading3">
    <w:name w:val="heading 3"/>
    <w:uiPriority w:val="9"/>
    <w:unhideWhenUsed/>
    <w:qFormat/>
    <w:pPr>
      <w:spacing w:before="240" w:after="160"/>
      <w:outlineLvl w:val="2"/>
    </w:pPr>
    <w:rPr>
      <w:rFonts w:ascii="Arial" w:eastAsia="Arial" w:hAnsi="Arial" w:cs="Arial"/>
      <w:b/>
      <w:bCs/>
      <w:sz w:val="26"/>
      <w:szCs w:val="26"/>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400"/>
      <w:jc w:val="center"/>
    </w:pPr>
    <w:rPr>
      <w:rFonts w:ascii="Arial" w:eastAsia="Arial" w:hAnsi="Arial" w:cs="Arial"/>
      <w:b/>
      <w:bCs/>
      <w:sz w:val="48"/>
      <w:szCs w:val="48"/>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4838</Words>
  <Characters>33238</Characters>
  <Application>Microsoft Office Word</Application>
  <DocSecurity>0</DocSecurity>
  <Lines>527</Lines>
  <Paragraphs>200</Paragraphs>
  <ScaleCrop>false</ScaleCrop>
  <Company/>
  <LinksUpToDate>false</LinksUpToDate>
  <CharactersWithSpaces>37876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Kurt A. Richardson</cp:lastModifiedBy>
  <cp:revision>2</cp:revision>
  <dcterms:created xsi:type="dcterms:W3CDTF">2026-01-16T18:45:00Z</dcterms:created>
  <dcterms:modified xsi:type="dcterms:W3CDTF">2026-01-16T19:08:00Z</dcterms:modified>
</cp:coreProperties>
</file>