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56382" w14:textId="50EF56D4" w:rsidR="000F108B" w:rsidRDefault="008F611E" w:rsidP="00235853">
      <w:r>
        <w:rPr>
          <w:noProof/>
        </w:rPr>
        <w:drawing>
          <wp:anchor distT="0" distB="0" distL="114300" distR="114300" simplePos="0" relativeHeight="251645947" behindDoc="0" locked="0" layoutInCell="1" allowOverlap="1" wp14:anchorId="08E2EA24" wp14:editId="1C789540">
            <wp:simplePos x="0" y="0"/>
            <wp:positionH relativeFrom="column">
              <wp:posOffset>-933450</wp:posOffset>
            </wp:positionH>
            <wp:positionV relativeFrom="paragraph">
              <wp:posOffset>-2190750</wp:posOffset>
            </wp:positionV>
            <wp:extent cx="8134985" cy="12820650"/>
            <wp:effectExtent l="0" t="0" r="5715" b="6350"/>
            <wp:wrapNone/>
            <wp:docPr id="11169119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911982" name="Picture 1116911982"/>
                    <pic:cNvPicPr/>
                  </pic:nvPicPr>
                  <pic:blipFill>
                    <a:blip r:embed="rId7">
                      <a:extLst>
                        <a:ext uri="{28A0092B-C50C-407E-A947-70E740481C1C}">
                          <a14:useLocalDpi xmlns:a14="http://schemas.microsoft.com/office/drawing/2010/main" val="0"/>
                        </a:ext>
                      </a:extLst>
                    </a:blip>
                    <a:stretch>
                      <a:fillRect/>
                    </a:stretch>
                  </pic:blipFill>
                  <pic:spPr>
                    <a:xfrm>
                      <a:off x="0" y="0"/>
                      <a:ext cx="8134985" cy="12820650"/>
                    </a:xfrm>
                    <a:prstGeom prst="rect">
                      <a:avLst/>
                    </a:prstGeom>
                  </pic:spPr>
                </pic:pic>
              </a:graphicData>
            </a:graphic>
            <wp14:sizeRelH relativeFrom="margin">
              <wp14:pctWidth>0</wp14:pctWidth>
            </wp14:sizeRelH>
            <wp14:sizeRelV relativeFrom="margin">
              <wp14:pctHeight>0</wp14:pctHeight>
            </wp14:sizeRelV>
          </wp:anchor>
        </w:drawing>
      </w:r>
      <w:r w:rsidR="00E23ACE">
        <w:rPr>
          <w:noProof/>
        </w:rPr>
        <mc:AlternateContent>
          <mc:Choice Requires="wpg">
            <w:drawing>
              <wp:anchor distT="0" distB="0" distL="114300" distR="114300" simplePos="0" relativeHeight="251677696" behindDoc="0" locked="0" layoutInCell="1" allowOverlap="1" wp14:anchorId="62F50521" wp14:editId="1DB9BCC8">
                <wp:simplePos x="0" y="0"/>
                <wp:positionH relativeFrom="column">
                  <wp:posOffset>-752302</wp:posOffset>
                </wp:positionH>
                <wp:positionV relativeFrom="paragraph">
                  <wp:posOffset>-914400</wp:posOffset>
                </wp:positionV>
                <wp:extent cx="7692391" cy="10741025"/>
                <wp:effectExtent l="0" t="0" r="0" b="15875"/>
                <wp:wrapNone/>
                <wp:docPr id="78740683" name="Group 31"/>
                <wp:cNvGraphicFramePr/>
                <a:graphic xmlns:a="http://schemas.openxmlformats.org/drawingml/2006/main">
                  <a:graphicData uri="http://schemas.microsoft.com/office/word/2010/wordprocessingGroup">
                    <wpg:wgp>
                      <wpg:cNvGrpSpPr/>
                      <wpg:grpSpPr>
                        <a:xfrm>
                          <a:off x="0" y="0"/>
                          <a:ext cx="7692391" cy="10741025"/>
                          <a:chOff x="-73137" y="-181864"/>
                          <a:chExt cx="7692630" cy="10741152"/>
                        </a:xfrm>
                      </wpg:grpSpPr>
                      <wps:wsp>
                        <wps:cNvPr id="698615390" name="Rectangle 26"/>
                        <wps:cNvSpPr/>
                        <wps:spPr>
                          <a:xfrm>
                            <a:off x="-73137" y="-181864"/>
                            <a:ext cx="7619492" cy="10741152"/>
                          </a:xfrm>
                          <a:prstGeom prst="rect">
                            <a:avLst/>
                          </a:prstGeom>
                          <a:solidFill>
                            <a:schemeClr val="tx1">
                              <a:alpha val="19000"/>
                            </a:schemeClr>
                          </a:solidFill>
                          <a:ln>
                            <a:solidFill>
                              <a:schemeClr val="accent1">
                                <a:shade val="1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9A91EC1" w14:textId="77777777" w:rsidR="00F73151" w:rsidRDefault="00F73151" w:rsidP="00F7315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2621601" name="Text Box 27"/>
                        <wps:cNvSpPr txBox="1"/>
                        <wps:spPr>
                          <a:xfrm>
                            <a:off x="-73136" y="1901952"/>
                            <a:ext cx="7692629" cy="512064"/>
                          </a:xfrm>
                          <a:prstGeom prst="rect">
                            <a:avLst/>
                          </a:prstGeom>
                          <a:noFill/>
                          <a:ln w="6350">
                            <a:noFill/>
                          </a:ln>
                        </wps:spPr>
                        <wps:txbx>
                          <w:txbxContent>
                            <w:p w14:paraId="0923727F" w14:textId="7694A91E" w:rsidR="001F059D" w:rsidRPr="001C6A9D" w:rsidRDefault="00040BBC" w:rsidP="001C6A9D">
                              <w:pPr>
                                <w:pStyle w:val="Title"/>
                              </w:pPr>
                              <w:r>
                                <w:t>More Than Me</w:t>
                              </w:r>
                              <w:r w:rsidR="000B673C">
                                <w:t>dicine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2844352" name="Straight Connector 27"/>
                        <wps:cNvCnPr/>
                        <wps:spPr>
                          <a:xfrm>
                            <a:off x="317019" y="1597660"/>
                            <a:ext cx="6913077"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776197336" name="Straight Connector 27"/>
                        <wps:cNvCnPr/>
                        <wps:spPr>
                          <a:xfrm>
                            <a:off x="317019" y="2682748"/>
                            <a:ext cx="691307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674965720" name="Text Box 27"/>
                        <wps:cNvSpPr txBox="1"/>
                        <wps:spPr>
                          <a:xfrm>
                            <a:off x="0" y="2950463"/>
                            <a:ext cx="7546340" cy="957582"/>
                          </a:xfrm>
                          <a:prstGeom prst="rect">
                            <a:avLst/>
                          </a:prstGeom>
                          <a:noFill/>
                          <a:ln w="6350">
                            <a:noFill/>
                          </a:ln>
                        </wps:spPr>
                        <wps:txbx>
                          <w:txbxContent>
                            <w:p w14:paraId="51D2A754" w14:textId="77777777" w:rsidR="004A5C06" w:rsidRDefault="000B673C" w:rsidP="00235853">
                              <w:pPr>
                                <w:pStyle w:val="Subtitle"/>
                              </w:pPr>
                              <w:r>
                                <w:t xml:space="preserve">Reassessing Reasonableness in Future Care Damages </w:t>
                              </w:r>
                            </w:p>
                            <w:p w14:paraId="7B295F16" w14:textId="23E636D7" w:rsidR="00262BED" w:rsidRPr="00262BED" w:rsidRDefault="000B673C" w:rsidP="00235853">
                              <w:pPr>
                                <w:pStyle w:val="Subtitle"/>
                              </w:pPr>
                              <w:r>
                                <w:t>After Stewart v Metro North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62F50521" id="Group 31" o:spid="_x0000_s1026" style="position:absolute;margin-left:-59.25pt;margin-top:-1in;width:605.7pt;height:845.75pt;z-index:251677696;mso-width-relative:margin" coordorigin="-731,-1818" coordsize="76926,10741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">
                <v:rect id="Rectangle 26" o:spid="_x0000_s1027" style="position:absolute;left:-731;top:-1818;width:76194;height:10741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" fillcolor="black [3213]" strokecolor="#030e13 [484]" strokeweight="1pt">
                  <v:fill opacity="12336f"/>
                  <v:textbox>
                    <w:txbxContent>
                      <w:p w14:paraId="39A91EC1" w14:textId="77777777" w:rsidR="00F73151" w:rsidRDefault="00F73151" w:rsidP="00F73151">
                        <w:pPr>
                          <w:jc w:val="center"/>
                        </w:pPr>
                      </w:p>
                    </w:txbxContent>
                  </v:textbox>
                </v:rect>
                <v:shapetype id="_x0000_t202" coordsize="21600,21600" o:spt="202" path="m,l,21600r21600,l21600,xe">
                  <v:stroke joinstyle="miter"/>
                  <v:path gradientshapeok="t" o:connecttype="rect"/>
                </v:shapetype>
                <v:shape id="_x0000_s1028" type="#_x0000_t202" style="position:absolute;left:-731;top:19019;width:76925;height:51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" filled="f" stroked="f" strokeweight=".5pt">
                  <v:textbox>
                    <w:txbxContent>
                      <w:p w14:paraId="0923727F" w14:textId="7694A91E" w:rsidR="001F059D" w:rsidRPr="001C6A9D" w:rsidRDefault="00040BBC" w:rsidP="001C6A9D">
                        <w:pPr>
                          <w:pStyle w:val="Title"/>
                        </w:pPr>
                        <w:r>
                          <w:t>More Than Me</w:t>
                        </w:r>
                        <w:r w:rsidR="000B673C">
                          <w:t>dicine</w:t>
                        </w:r>
                      </w:p>
                    </w:txbxContent>
                  </v:textbox>
                </v:shape>
                <v:line id="Straight Connector 27" o:spid="_x0000_s1029" style="position:absolute;visibility:visible;mso-wrap-style:square" from="3170,15976" to="72300,1597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" strokecolor="white [3212]" strokeweight="2pt">
                  <v:stroke joinstyle="miter"/>
                </v:line>
                <v:line id="Straight Connector 27" o:spid="_x0000_s1030" style="position:absolute;visibility:visible;mso-wrap-style:square" from="3170,26827" to="72300,2682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" strokecolor="white [3212]" strokeweight="2pt">
                  <v:stroke joinstyle="miter"/>
                </v:line>
                <v:shape id="_x0000_s1031" type="#_x0000_t202" style="position:absolute;top:29504;width:75463;height:95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" filled="f" stroked="f" strokeweight=".5pt">
                  <v:textbox>
                    <w:txbxContent>
                      <w:p w14:paraId="51D2A754" w14:textId="77777777" w:rsidR="004A5C06" w:rsidRDefault="000B673C" w:rsidP="00235853">
                        <w:pPr>
                          <w:pStyle w:val="Subtitle"/>
                        </w:pPr>
                        <w:r>
                          <w:t xml:space="preserve">Reassessing Reasonableness in Future Care Damages </w:t>
                        </w:r>
                      </w:p>
                      <w:p w14:paraId="7B295F16" w14:textId="23E636D7" w:rsidR="00262BED" w:rsidRPr="00262BED" w:rsidRDefault="000B673C" w:rsidP="00235853">
                        <w:pPr>
                          <w:pStyle w:val="Subtitle"/>
                        </w:pPr>
                        <w:r>
                          <w:t>After Stewart v Metro North</w:t>
                        </w:r>
                      </w:p>
                    </w:txbxContent>
                  </v:textbox>
                </v:shape>
              </v:group>
            </w:pict>
          </mc:Fallback>
        </mc:AlternateContent>
      </w:r>
      <w:r w:rsidR="00E23ACE">
        <w:rPr>
          <w:noProof/>
        </w:rPr>
        <mc:AlternateContent>
          <mc:Choice Requires="wps">
            <w:drawing>
              <wp:anchor distT="0" distB="0" distL="114300" distR="114300" simplePos="0" relativeHeight="251685888" behindDoc="0" locked="0" layoutInCell="1" allowOverlap="1" wp14:anchorId="2612F2EA" wp14:editId="7C8F7065">
                <wp:simplePos x="0" y="0"/>
                <wp:positionH relativeFrom="column">
                  <wp:posOffset>4639075</wp:posOffset>
                </wp:positionH>
                <wp:positionV relativeFrom="paragraph">
                  <wp:posOffset>8597265</wp:posOffset>
                </wp:positionV>
                <wp:extent cx="2048256" cy="382397"/>
                <wp:effectExtent l="0" t="0" r="0" b="0"/>
                <wp:wrapNone/>
                <wp:docPr id="2036535871" name="Text Box 21"/>
                <wp:cNvGraphicFramePr/>
                <a:graphic xmlns:a="http://schemas.openxmlformats.org/drawingml/2006/main">
                  <a:graphicData uri="http://schemas.microsoft.com/office/word/2010/wordprocessingShape">
                    <wps:wsp>
                      <wps:cNvSpPr txBox="1"/>
                      <wps:spPr>
                        <a:xfrm>
                          <a:off x="0" y="0"/>
                          <a:ext cx="2048256" cy="382397"/>
                        </a:xfrm>
                        <a:prstGeom prst="rect">
                          <a:avLst/>
                        </a:prstGeom>
                        <a:noFill/>
                        <a:ln w="6350">
                          <a:noFill/>
                        </a:ln>
                      </wps:spPr>
                      <wps:txbx>
                        <w:txbxContent>
                          <w:p w14:paraId="27451D67" w14:textId="6A1B16E2" w:rsidR="00262BED" w:rsidRPr="00262BED" w:rsidRDefault="00262BED" w:rsidP="00235853">
                            <w:pPr>
                              <w:pStyle w:val="Subtitle"/>
                            </w:pPr>
                            <w:r w:rsidRPr="00262BED">
                              <w:t xml:space="preserve">Law Student Review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12F2EA" id="Text Box 21" o:spid="_x0000_s1032" type="#_x0000_t202" style="position:absolute;margin-left:365.3pt;margin-top:676.95pt;width:161.3pt;height:30.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" filled="f" stroked="f" strokeweight=".5pt">
                <v:textbox>
                  <w:txbxContent>
                    <w:p w14:paraId="27451D67" w14:textId="6A1B16E2" w:rsidR="00262BED" w:rsidRPr="00262BED" w:rsidRDefault="00262BED" w:rsidP="00235853">
                      <w:pPr>
                        <w:pStyle w:val="Subtitle"/>
                      </w:pPr>
                      <w:r w:rsidRPr="00262BED">
                        <w:t xml:space="preserve">Law Student Review </w:t>
                      </w:r>
                    </w:p>
                  </w:txbxContent>
                </v:textbox>
              </v:shape>
            </w:pict>
          </mc:Fallback>
        </mc:AlternateContent>
      </w:r>
      <w:r w:rsidR="00E23ACE">
        <w:rPr>
          <w:noProof/>
        </w:rPr>
        <mc:AlternateContent>
          <mc:Choice Requires="wps">
            <w:drawing>
              <wp:anchor distT="0" distB="0" distL="114300" distR="114300" simplePos="0" relativeHeight="251684864" behindDoc="0" locked="0" layoutInCell="1" allowOverlap="1" wp14:anchorId="7A1C0EEE" wp14:editId="196A1776">
                <wp:simplePos x="0" y="0"/>
                <wp:positionH relativeFrom="column">
                  <wp:posOffset>-598552</wp:posOffset>
                </wp:positionH>
                <wp:positionV relativeFrom="paragraph">
                  <wp:posOffset>8594852</wp:posOffset>
                </wp:positionV>
                <wp:extent cx="2047875" cy="389890"/>
                <wp:effectExtent l="0" t="0" r="0" b="0"/>
                <wp:wrapNone/>
                <wp:docPr id="1600177898" name="Text Box 21"/>
                <wp:cNvGraphicFramePr/>
                <a:graphic xmlns:a="http://schemas.openxmlformats.org/drawingml/2006/main">
                  <a:graphicData uri="http://schemas.microsoft.com/office/word/2010/wordprocessingShape">
                    <wps:wsp>
                      <wps:cNvSpPr txBox="1"/>
                      <wps:spPr>
                        <a:xfrm>
                          <a:off x="0" y="0"/>
                          <a:ext cx="2047875" cy="389890"/>
                        </a:xfrm>
                        <a:prstGeom prst="rect">
                          <a:avLst/>
                        </a:prstGeom>
                        <a:noFill/>
                        <a:ln w="6350">
                          <a:noFill/>
                        </a:ln>
                      </wps:spPr>
                      <wps:txbx>
                        <w:txbxContent>
                          <w:p w14:paraId="34E472DF" w14:textId="02056363" w:rsidR="000F108B" w:rsidRPr="00262BED" w:rsidRDefault="000F108B" w:rsidP="00235853">
                            <w:pPr>
                              <w:pStyle w:val="Subtitle"/>
                            </w:pPr>
                            <w:r w:rsidRPr="00262BED">
                              <w:t xml:space="preserve">By </w:t>
                            </w:r>
                            <w:proofErr w:type="spellStart"/>
                            <w:r w:rsidR="00C60E41">
                              <w:t>Parleen</w:t>
                            </w:r>
                            <w:proofErr w:type="spellEnd"/>
                            <w:r w:rsidR="00C60E41">
                              <w:t xml:space="preserve"> Kaur</w:t>
                            </w:r>
                          </w:p>
                          <w:p w14:paraId="3B17B765" w14:textId="77777777" w:rsidR="000F108B" w:rsidRDefault="000F108B" w:rsidP="00235853">
                            <w:pPr>
                              <w:pStyle w:val="Subtitle"/>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1C0EEE" id="_x0000_s1033" type="#_x0000_t202" style="position:absolute;margin-left:-47.15pt;margin-top:676.75pt;width:161.25pt;height:30.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" filled="f" stroked="f" strokeweight=".5pt">
                <v:textbox>
                  <w:txbxContent>
                    <w:p w14:paraId="34E472DF" w14:textId="02056363" w:rsidR="000F108B" w:rsidRPr="00262BED" w:rsidRDefault="000F108B" w:rsidP="00235853">
                      <w:pPr>
                        <w:pStyle w:val="Subtitle"/>
                      </w:pPr>
                      <w:r w:rsidRPr="00262BED">
                        <w:t xml:space="preserve">By </w:t>
                      </w:r>
                      <w:proofErr w:type="spellStart"/>
                      <w:r w:rsidR="00C60E41">
                        <w:t>Parleen</w:t>
                      </w:r>
                      <w:proofErr w:type="spellEnd"/>
                      <w:r w:rsidR="00C60E41">
                        <w:t xml:space="preserve"> Kaur</w:t>
                      </w:r>
                    </w:p>
                    <w:p w14:paraId="3B17B765" w14:textId="77777777" w:rsidR="000F108B" w:rsidRDefault="000F108B" w:rsidP="00235853">
                      <w:pPr>
                        <w:pStyle w:val="Subtitle"/>
                      </w:pPr>
                    </w:p>
                  </w:txbxContent>
                </v:textbox>
              </v:shape>
            </w:pict>
          </mc:Fallback>
        </mc:AlternateContent>
      </w:r>
      <w:r w:rsidR="007A4BF8">
        <w:rPr>
          <w:noProof/>
        </w:rPr>
        <mc:AlternateContent>
          <mc:Choice Requires="wps">
            <w:drawing>
              <wp:anchor distT="0" distB="0" distL="114300" distR="114300" simplePos="0" relativeHeight="251667456" behindDoc="0" locked="0" layoutInCell="1" allowOverlap="1" wp14:anchorId="7760C708" wp14:editId="15B218CC">
                <wp:simplePos x="0" y="0"/>
                <wp:positionH relativeFrom="column">
                  <wp:posOffset>-746760</wp:posOffset>
                </wp:positionH>
                <wp:positionV relativeFrom="paragraph">
                  <wp:posOffset>-914400</wp:posOffset>
                </wp:positionV>
                <wp:extent cx="7107428" cy="0"/>
                <wp:effectExtent l="0" t="12700" r="17780" b="12700"/>
                <wp:wrapNone/>
                <wp:docPr id="38297992" name="Straight Connector 27"/>
                <wp:cNvGraphicFramePr/>
                <a:graphic xmlns:a="http://schemas.openxmlformats.org/drawingml/2006/main">
                  <a:graphicData uri="http://schemas.microsoft.com/office/word/2010/wordprocessingShape">
                    <wps:wsp>
                      <wps:cNvCnPr/>
                      <wps:spPr>
                        <a:xfrm>
                          <a:off x="0" y="0"/>
                          <a:ext cx="710742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C26F7FF" id="Straight Connector 27"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8.8pt,-1in" to="500.85pt,-1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" strokecolor="white [3212]" strokeweight="2pt">
                <v:stroke joinstyle="miter"/>
              </v:line>
            </w:pict>
          </mc:Fallback>
        </mc:AlternateContent>
      </w:r>
      <w:r w:rsidR="000F108B">
        <w:br w:type="page"/>
      </w:r>
    </w:p>
    <w:p w14:paraId="2C239888" w14:textId="60AF633D" w:rsidR="0092465C" w:rsidRPr="00630E92" w:rsidRDefault="0092465C" w:rsidP="00630E92">
      <w:pPr>
        <w:jc w:val="center"/>
        <w:rPr>
          <w:rFonts w:eastAsia="Arial"/>
          <w:b/>
          <w:bCs/>
          <w:sz w:val="28"/>
          <w:szCs w:val="28"/>
          <w:lang w:val="en" w:eastAsia="en-GB"/>
        </w:rPr>
      </w:pPr>
      <w:r w:rsidRPr="00630E92">
        <w:rPr>
          <w:rFonts w:eastAsia="Arial"/>
          <w:b/>
          <w:bCs/>
          <w:sz w:val="28"/>
          <w:szCs w:val="28"/>
          <w:lang w:val="en" w:eastAsia="en-GB"/>
        </w:rPr>
        <w:lastRenderedPageBreak/>
        <w:t>I INTRODUCTION</w:t>
      </w:r>
    </w:p>
    <w:p w14:paraId="6C9F5AD1" w14:textId="77777777" w:rsidR="0092465C" w:rsidRPr="00630E92" w:rsidRDefault="0092465C" w:rsidP="0092465C">
      <w:pPr>
        <w:spacing w:after="0" w:line="276" w:lineRule="auto"/>
        <w:jc w:val="both"/>
        <w:rPr>
          <w:rFonts w:eastAsia="Arial"/>
          <w:lang w:val="en" w:eastAsia="en-GB"/>
        </w:rPr>
      </w:pPr>
      <w:r w:rsidRPr="00630E92">
        <w:rPr>
          <w:rFonts w:eastAsia="Arial"/>
          <w:lang w:val="en" w:eastAsia="en-GB"/>
        </w:rPr>
        <w:t>When does cost become a reason to deny a plaintiff their ordinary life? That question sat at the heart of Stewart v Metro North Hospital and Health Service [2025] HCA 34 (Stewart), a unanimous High Court decision handed down on 3 September 2025.</w:t>
      </w:r>
      <w:r w:rsidRPr="00630E92">
        <w:rPr>
          <w:rFonts w:eastAsia="Arial"/>
          <w:vertAlign w:val="superscript"/>
          <w:lang w:val="en" w:eastAsia="en-GB"/>
        </w:rPr>
        <w:footnoteReference w:id="1"/>
      </w:r>
      <w:r w:rsidRPr="00630E92">
        <w:rPr>
          <w:rFonts w:eastAsia="Arial"/>
          <w:lang w:val="en" w:eastAsia="en-GB"/>
        </w:rPr>
        <w:t xml:space="preserve"> The case required the Court to determine whether a catastrophically injured plaintiff was entitled to damages for the cost of home-based care, significantly more expensive than institutional care, so that he could live alongside his son, his brother, and a dog. Two courts below said no. The High Court said yes, and in doing so clarified a principle that will reshape the assessment of future care damages across Australia. </w:t>
      </w:r>
    </w:p>
    <w:p w14:paraId="386BF3B8" w14:textId="77777777" w:rsidR="0092465C" w:rsidRPr="00630E92" w:rsidRDefault="0092465C" w:rsidP="0092465C">
      <w:pPr>
        <w:spacing w:after="0" w:line="276" w:lineRule="auto"/>
        <w:rPr>
          <w:rFonts w:eastAsia="Arial"/>
          <w:lang w:val="en" w:eastAsia="en-GB"/>
        </w:rPr>
      </w:pPr>
    </w:p>
    <w:p w14:paraId="2071B3FC" w14:textId="77777777" w:rsidR="0092465C" w:rsidRPr="00630E92" w:rsidRDefault="0092465C" w:rsidP="0092465C">
      <w:pPr>
        <w:spacing w:after="0" w:line="276" w:lineRule="auto"/>
        <w:jc w:val="center"/>
        <w:rPr>
          <w:rFonts w:eastAsia="Arial"/>
          <w:b/>
          <w:bCs/>
          <w:sz w:val="28"/>
          <w:szCs w:val="28"/>
          <w:lang w:val="en" w:eastAsia="en-GB"/>
        </w:rPr>
      </w:pPr>
      <w:r w:rsidRPr="00630E92">
        <w:rPr>
          <w:rFonts w:eastAsia="Arial"/>
          <w:b/>
          <w:bCs/>
          <w:sz w:val="28"/>
          <w:szCs w:val="28"/>
          <w:lang w:val="en" w:eastAsia="en-GB"/>
        </w:rPr>
        <w:t>II BACKGROUND: NEGLIGENCE, NURSING HOMES, AND A LIFE PUT ON HOLD</w:t>
      </w:r>
    </w:p>
    <w:p w14:paraId="451291BB" w14:textId="77777777" w:rsidR="0092465C" w:rsidRPr="00630E92" w:rsidRDefault="0092465C" w:rsidP="0092465C">
      <w:pPr>
        <w:spacing w:after="0" w:line="276" w:lineRule="auto"/>
        <w:jc w:val="both"/>
        <w:rPr>
          <w:rFonts w:eastAsia="Arial"/>
          <w:lang w:val="en" w:eastAsia="en-GB"/>
        </w:rPr>
      </w:pPr>
    </w:p>
    <w:p w14:paraId="746D7BD6" w14:textId="77777777" w:rsidR="0092465C" w:rsidRPr="00630E92" w:rsidRDefault="0092465C" w:rsidP="0092465C">
      <w:pPr>
        <w:spacing w:after="0" w:line="276" w:lineRule="auto"/>
        <w:jc w:val="both"/>
        <w:rPr>
          <w:rFonts w:eastAsia="Arial"/>
          <w:lang w:val="en" w:eastAsia="en-GB"/>
        </w:rPr>
      </w:pPr>
      <w:r w:rsidRPr="00630E92">
        <w:rPr>
          <w:rFonts w:eastAsia="Arial"/>
          <w:lang w:val="en" w:eastAsia="en-GB"/>
        </w:rPr>
        <w:t>In 2016, Michael Stewart, then aged 63, presented to Redcliffe Hospital in Queensland with nausea and abdominal pain.</w:t>
      </w:r>
      <w:r w:rsidRPr="00630E92">
        <w:rPr>
          <w:rFonts w:eastAsia="Arial"/>
          <w:vertAlign w:val="superscript"/>
          <w:lang w:val="en" w:eastAsia="en-GB"/>
        </w:rPr>
        <w:footnoteReference w:id="2"/>
      </w:r>
      <w:r w:rsidRPr="00630E92">
        <w:rPr>
          <w:rFonts w:eastAsia="Arial"/>
          <w:lang w:val="en" w:eastAsia="en-GB"/>
        </w:rPr>
        <w:t xml:space="preserve"> He was provided negligent care from the treating hospital, Metro North Hospital and Health Service (MNHHS). Mr Stewart suffered bowel perforations, sepsis, cardiac arrest and a stroke, which left him with significant brain damage, right-sided paralysis, aphasia and a colostomy bag.</w:t>
      </w:r>
      <w:r w:rsidRPr="00630E92">
        <w:rPr>
          <w:rFonts w:eastAsia="Arial"/>
          <w:vertAlign w:val="superscript"/>
          <w:lang w:val="en" w:eastAsia="en-GB"/>
        </w:rPr>
        <w:footnoteReference w:id="3"/>
      </w:r>
      <w:r w:rsidRPr="00630E92">
        <w:rPr>
          <w:rFonts w:eastAsia="Arial"/>
          <w:lang w:val="en" w:eastAsia="en-GB"/>
        </w:rPr>
        <w:t xml:space="preserve"> By reason of these injuries, his life expectancy during the period of the court trial was five years.</w:t>
      </w:r>
      <w:r w:rsidRPr="00630E92">
        <w:rPr>
          <w:rFonts w:eastAsia="Arial"/>
          <w:vertAlign w:val="superscript"/>
          <w:lang w:val="en" w:eastAsia="en-GB"/>
        </w:rPr>
        <w:footnoteReference w:id="4"/>
      </w:r>
      <w:r w:rsidRPr="00630E92">
        <w:rPr>
          <w:rFonts w:eastAsia="Arial"/>
          <w:lang w:val="en" w:eastAsia="en-GB"/>
        </w:rPr>
        <w:t xml:space="preserve"> </w:t>
      </w:r>
    </w:p>
    <w:p w14:paraId="2734B6D5" w14:textId="77777777" w:rsidR="0092465C" w:rsidRPr="00630E92" w:rsidRDefault="0092465C" w:rsidP="0092465C">
      <w:pPr>
        <w:spacing w:after="0" w:line="276" w:lineRule="auto"/>
        <w:jc w:val="both"/>
        <w:rPr>
          <w:rFonts w:eastAsia="Arial"/>
          <w:lang w:val="en" w:eastAsia="en-GB"/>
        </w:rPr>
      </w:pPr>
    </w:p>
    <w:p w14:paraId="2C56C70C" w14:textId="77777777" w:rsidR="0092465C" w:rsidRPr="00630E92" w:rsidRDefault="0092465C" w:rsidP="0092465C">
      <w:pPr>
        <w:spacing w:after="0" w:line="276" w:lineRule="auto"/>
        <w:jc w:val="both"/>
        <w:rPr>
          <w:rFonts w:eastAsia="Arial"/>
          <w:lang w:val="en" w:eastAsia="en-GB"/>
        </w:rPr>
      </w:pPr>
      <w:r w:rsidRPr="00630E92">
        <w:rPr>
          <w:rFonts w:eastAsia="Arial"/>
          <w:lang w:val="en" w:eastAsia="en-GB"/>
        </w:rPr>
        <w:t xml:space="preserve">Prior to the subject injuries, Mr Stewart had lived at home with his brother, where his teenage son, Jesse, and family dog would regularly visit. Following his discharge from the hospital, Mr Stewart was placed in </w:t>
      </w:r>
      <w:proofErr w:type="spellStart"/>
      <w:r w:rsidRPr="00630E92">
        <w:rPr>
          <w:rFonts w:eastAsia="Arial"/>
          <w:lang w:val="en" w:eastAsia="en-GB"/>
        </w:rPr>
        <w:t>Ozanam</w:t>
      </w:r>
      <w:proofErr w:type="spellEnd"/>
      <w:r w:rsidRPr="00630E92">
        <w:rPr>
          <w:rFonts w:eastAsia="Arial"/>
          <w:lang w:val="en" w:eastAsia="en-GB"/>
        </w:rPr>
        <w:t xml:space="preserve"> Villa Aged Care Facility to be looked after. The Aged Care Facility required advanced notice for visits, prohibited dogs, and made overnight stays for Jesse difficult.</w:t>
      </w:r>
      <w:r w:rsidRPr="00630E92">
        <w:rPr>
          <w:rFonts w:eastAsia="Arial"/>
          <w:vertAlign w:val="superscript"/>
          <w:lang w:val="en" w:eastAsia="en-GB"/>
        </w:rPr>
        <w:footnoteReference w:id="5"/>
      </w:r>
      <w:r w:rsidRPr="00630E92">
        <w:rPr>
          <w:rFonts w:eastAsia="Arial"/>
          <w:lang w:val="en" w:eastAsia="en-GB"/>
        </w:rPr>
        <w:t xml:space="preserve"> In consequence of this environment and his disengagement from therapy, Mr Stewart’s physical health began to deteriorate. Oftentimes, he would communicate his longing to go home through sounds and hand gestures.</w:t>
      </w:r>
      <w:r w:rsidRPr="00630E92">
        <w:rPr>
          <w:rFonts w:eastAsia="Arial"/>
          <w:vertAlign w:val="superscript"/>
          <w:lang w:val="en" w:eastAsia="en-GB"/>
        </w:rPr>
        <w:footnoteReference w:id="6"/>
      </w:r>
    </w:p>
    <w:p w14:paraId="181EDDA5" w14:textId="77777777" w:rsidR="0092465C" w:rsidRPr="00630E92" w:rsidRDefault="0092465C" w:rsidP="0092465C">
      <w:pPr>
        <w:spacing w:after="0" w:line="276" w:lineRule="auto"/>
        <w:jc w:val="both"/>
        <w:rPr>
          <w:rFonts w:eastAsia="Arial"/>
          <w:lang w:val="en" w:eastAsia="en-GB"/>
        </w:rPr>
      </w:pPr>
    </w:p>
    <w:p w14:paraId="24759F75" w14:textId="63019D7B" w:rsidR="0092465C" w:rsidRPr="00630E92" w:rsidRDefault="0092465C" w:rsidP="00177403">
      <w:pPr>
        <w:spacing w:after="0" w:line="276" w:lineRule="auto"/>
        <w:jc w:val="both"/>
        <w:rPr>
          <w:rFonts w:eastAsia="Arial"/>
          <w:lang w:val="en" w:eastAsia="en-GB"/>
        </w:rPr>
      </w:pPr>
      <w:r w:rsidRPr="00630E92">
        <w:rPr>
          <w:rFonts w:eastAsia="Arial"/>
          <w:lang w:val="en" w:eastAsia="en-GB"/>
        </w:rPr>
        <w:t>Liability, having been admitted by MNHHS, was the sole issue for determination at trial, quantum. The trial judge considered three care options before the court: continued constitutional care for the expected life expectancy of five years at $304,650.46; enhanced institutional care with additional therapy at $1,081,895.56; and home-based care with professional nursing at $4,910,342.52.</w:t>
      </w:r>
      <w:r w:rsidRPr="00630E92">
        <w:rPr>
          <w:rFonts w:eastAsia="Arial"/>
          <w:vertAlign w:val="superscript"/>
          <w:lang w:val="en" w:eastAsia="en-GB"/>
        </w:rPr>
        <w:footnoteReference w:id="7"/>
      </w:r>
      <w:r w:rsidRPr="00630E92">
        <w:rPr>
          <w:rFonts w:eastAsia="Arial"/>
          <w:lang w:val="en" w:eastAsia="en-GB"/>
        </w:rPr>
        <w:t xml:space="preserve"> The trial judge awarded the second option, citing, "Consistent provision of additional care from external care assistants ... would be likely to engage him to a much greater degree."⁸ The Queensland Court of Appeal upheld that decision, applying a cost-benefit analysis that weighed the health advantages of </w:t>
      </w:r>
      <w:r w:rsidRPr="00630E92">
        <w:rPr>
          <w:rFonts w:eastAsia="Arial"/>
          <w:lang w:val="en" w:eastAsia="en-GB"/>
        </w:rPr>
        <w:lastRenderedPageBreak/>
        <w:t>home care against the significantly higher cost and found it disproportionately fatal to Mr Stewart’s claim.</w:t>
      </w:r>
      <w:r w:rsidRPr="00630E92">
        <w:rPr>
          <w:rFonts w:eastAsia="Arial"/>
          <w:vertAlign w:val="superscript"/>
          <w:lang w:val="en" w:eastAsia="en-GB"/>
        </w:rPr>
        <w:footnoteReference w:id="8"/>
      </w:r>
    </w:p>
    <w:p w14:paraId="4F7304AC" w14:textId="77777777" w:rsidR="0092465C" w:rsidRPr="00630E92" w:rsidRDefault="0092465C" w:rsidP="0092465C">
      <w:pPr>
        <w:spacing w:after="0" w:line="276" w:lineRule="auto"/>
        <w:rPr>
          <w:rFonts w:eastAsia="Arial"/>
          <w:lang w:val="en" w:eastAsia="en-GB"/>
        </w:rPr>
      </w:pPr>
    </w:p>
    <w:p w14:paraId="7E8A7EA3" w14:textId="589BF43A" w:rsidR="0092465C" w:rsidRPr="00177403" w:rsidRDefault="0092465C" w:rsidP="00177403">
      <w:pPr>
        <w:spacing w:after="0" w:line="276" w:lineRule="auto"/>
        <w:jc w:val="center"/>
        <w:rPr>
          <w:rFonts w:eastAsia="Arial"/>
          <w:b/>
          <w:bCs/>
          <w:sz w:val="28"/>
          <w:szCs w:val="28"/>
          <w:lang w:val="en" w:eastAsia="en-GB"/>
        </w:rPr>
      </w:pPr>
      <w:r w:rsidRPr="00261B2E">
        <w:rPr>
          <w:rFonts w:eastAsia="Arial"/>
          <w:b/>
          <w:bCs/>
          <w:sz w:val="28"/>
          <w:szCs w:val="28"/>
          <w:lang w:val="en" w:eastAsia="en-GB"/>
        </w:rPr>
        <w:t>III THE HIGH COURT'S DECISION: RESTORATION, NOT PROPORTIONALITY</w:t>
      </w:r>
    </w:p>
    <w:p w14:paraId="22291DEA" w14:textId="77777777" w:rsidR="0092465C" w:rsidRPr="00630E92" w:rsidRDefault="0092465C" w:rsidP="0092465C">
      <w:pPr>
        <w:spacing w:after="0" w:line="276" w:lineRule="auto"/>
        <w:rPr>
          <w:rFonts w:eastAsia="Arial"/>
          <w:lang w:val="en" w:eastAsia="en-GB"/>
        </w:rPr>
      </w:pPr>
    </w:p>
    <w:p w14:paraId="1E6D66A9" w14:textId="77777777" w:rsidR="0092465C" w:rsidRPr="00630E92" w:rsidRDefault="0092465C" w:rsidP="0092465C">
      <w:pPr>
        <w:spacing w:after="0" w:line="276" w:lineRule="auto"/>
        <w:jc w:val="both"/>
        <w:rPr>
          <w:rFonts w:eastAsia="Arial"/>
          <w:lang w:val="en" w:eastAsia="en-GB"/>
        </w:rPr>
      </w:pPr>
      <w:r w:rsidRPr="00630E92">
        <w:rPr>
          <w:rFonts w:eastAsia="Arial"/>
          <w:lang w:val="en" w:eastAsia="en-GB"/>
        </w:rPr>
        <w:t xml:space="preserve">The High Court unanimously allowed the appeal. In a joint judgement delivered by </w:t>
      </w:r>
      <w:proofErr w:type="spellStart"/>
      <w:r w:rsidRPr="00630E92">
        <w:rPr>
          <w:rFonts w:eastAsia="Arial"/>
          <w:lang w:val="en" w:eastAsia="en-GB"/>
        </w:rPr>
        <w:t>Gageler</w:t>
      </w:r>
      <w:proofErr w:type="spellEnd"/>
      <w:r w:rsidRPr="00630E92">
        <w:rPr>
          <w:rFonts w:eastAsia="Arial"/>
          <w:lang w:val="en" w:eastAsia="en-GB"/>
        </w:rPr>
        <w:t xml:space="preserve"> CJ, Gordon, Edelman, </w:t>
      </w:r>
      <w:proofErr w:type="spellStart"/>
      <w:r w:rsidRPr="00630E92">
        <w:rPr>
          <w:rFonts w:eastAsia="Arial"/>
          <w:lang w:val="en" w:eastAsia="en-GB"/>
        </w:rPr>
        <w:t>Jagot</w:t>
      </w:r>
      <w:proofErr w:type="spellEnd"/>
      <w:r w:rsidRPr="00630E92">
        <w:rPr>
          <w:rFonts w:eastAsia="Arial"/>
          <w:lang w:val="en" w:eastAsia="en-GB"/>
        </w:rPr>
        <w:t xml:space="preserve"> and Beech-Jones JJ, the court held that both the trial judge and the Court of Appeal had erred in law. The error lay in treating reasonableness as a proportionality exercise, weighing health benefits against financial cost, rather than as an enquiry into whether the plaintiff’s chosen response was a reasonable way to address the consequences of the tort.</w:t>
      </w:r>
      <w:r w:rsidRPr="00630E92">
        <w:rPr>
          <w:rFonts w:eastAsia="Arial"/>
          <w:vertAlign w:val="superscript"/>
          <w:lang w:val="en" w:eastAsia="en-GB"/>
        </w:rPr>
        <w:footnoteReference w:id="9"/>
      </w:r>
    </w:p>
    <w:p w14:paraId="66083443" w14:textId="77777777" w:rsidR="0092465C" w:rsidRPr="00630E92" w:rsidRDefault="0092465C" w:rsidP="0092465C">
      <w:pPr>
        <w:spacing w:after="0" w:line="276" w:lineRule="auto"/>
        <w:jc w:val="both"/>
        <w:rPr>
          <w:rFonts w:eastAsia="Arial"/>
          <w:lang w:val="en" w:eastAsia="en-GB"/>
        </w:rPr>
      </w:pPr>
    </w:p>
    <w:p w14:paraId="63C9EA7F" w14:textId="77777777" w:rsidR="0092465C" w:rsidRPr="00630E92" w:rsidRDefault="0092465C" w:rsidP="0092465C">
      <w:pPr>
        <w:spacing w:after="0" w:line="276" w:lineRule="auto"/>
        <w:jc w:val="both"/>
        <w:rPr>
          <w:rFonts w:eastAsia="Arial"/>
          <w:lang w:val="en" w:eastAsia="en-GB"/>
        </w:rPr>
      </w:pPr>
      <w:r w:rsidRPr="00630E92">
        <w:rPr>
          <w:rFonts w:eastAsia="Arial"/>
          <w:lang w:val="en" w:eastAsia="en-GB"/>
        </w:rPr>
        <w:t>The foundation of the Court's reasoning was the compensatory principle: that an injured party is</w:t>
      </w:r>
    </w:p>
    <w:p w14:paraId="5435E327" w14:textId="77777777" w:rsidR="0092465C" w:rsidRPr="00630E92" w:rsidRDefault="0092465C" w:rsidP="0092465C">
      <w:pPr>
        <w:spacing w:after="0" w:line="276" w:lineRule="auto"/>
        <w:jc w:val="both"/>
        <w:rPr>
          <w:rFonts w:eastAsia="Arial"/>
          <w:lang w:val="en" w:eastAsia="en-GB"/>
        </w:rPr>
      </w:pPr>
      <w:r w:rsidRPr="00630E92">
        <w:rPr>
          <w:rFonts w:eastAsia="Arial"/>
          <w:lang w:val="en" w:eastAsia="en-GB"/>
        </w:rPr>
        <w:t>entitled to be placed, so far as money can do it, in the same position as they would have been</w:t>
      </w:r>
    </w:p>
    <w:p w14:paraId="325820EA" w14:textId="77777777" w:rsidR="0092465C" w:rsidRPr="00630E92" w:rsidRDefault="0092465C" w:rsidP="0092465C">
      <w:pPr>
        <w:spacing w:after="0" w:line="276" w:lineRule="auto"/>
        <w:jc w:val="both"/>
        <w:rPr>
          <w:rFonts w:eastAsia="Arial"/>
          <w:i/>
          <w:iCs/>
          <w:lang w:val="en" w:eastAsia="en-GB"/>
        </w:rPr>
      </w:pPr>
      <w:r w:rsidRPr="00630E92">
        <w:rPr>
          <w:rFonts w:eastAsia="Arial"/>
          <w:lang w:val="en" w:eastAsia="en-GB"/>
        </w:rPr>
        <w:t>had the tort not been committed. The Court addressed its earlier decision in</w:t>
      </w:r>
      <w:r w:rsidRPr="00630E92">
        <w:rPr>
          <w:rFonts w:eastAsia="Arial"/>
          <w:i/>
          <w:iCs/>
          <w:lang w:val="en" w:eastAsia="en-GB"/>
        </w:rPr>
        <w:t xml:space="preserve"> Sharman v Evans</w:t>
      </w:r>
    </w:p>
    <w:p w14:paraId="79F3915D" w14:textId="77777777" w:rsidR="0092465C" w:rsidRPr="00630E92" w:rsidRDefault="0092465C" w:rsidP="0092465C">
      <w:pPr>
        <w:spacing w:after="0" w:line="276" w:lineRule="auto"/>
        <w:jc w:val="both"/>
        <w:rPr>
          <w:rFonts w:eastAsia="Arial"/>
          <w:lang w:val="en" w:eastAsia="en-GB"/>
        </w:rPr>
      </w:pPr>
      <w:r w:rsidRPr="00630E92">
        <w:rPr>
          <w:rFonts w:eastAsia="Arial"/>
          <w:lang w:val="en" w:eastAsia="en-GB"/>
        </w:rPr>
        <w:t>(1977) 138 CLR 563, which the lower courts had relied upon to justify proportionality</w:t>
      </w:r>
    </w:p>
    <w:p w14:paraId="101C8D41" w14:textId="77777777" w:rsidR="0092465C" w:rsidRPr="00630E92" w:rsidRDefault="0092465C" w:rsidP="0092465C">
      <w:pPr>
        <w:spacing w:after="0" w:line="276" w:lineRule="auto"/>
        <w:jc w:val="both"/>
        <w:rPr>
          <w:rFonts w:eastAsia="Arial"/>
          <w:lang w:val="en" w:eastAsia="en-GB"/>
        </w:rPr>
      </w:pPr>
      <w:r w:rsidRPr="00630E92">
        <w:rPr>
          <w:rFonts w:eastAsia="Arial"/>
          <w:lang w:val="en" w:eastAsia="en-GB"/>
        </w:rPr>
        <w:t>analysis.</w:t>
      </w:r>
      <w:r w:rsidRPr="00630E92">
        <w:rPr>
          <w:rFonts w:eastAsia="Arial"/>
          <w:vertAlign w:val="superscript"/>
          <w:lang w:val="en" w:eastAsia="en-GB"/>
        </w:rPr>
        <w:footnoteReference w:id="10"/>
      </w:r>
      <w:r w:rsidRPr="00630E92">
        <w:rPr>
          <w:rFonts w:eastAsia="Arial"/>
          <w:lang w:val="en" w:eastAsia="en-GB"/>
        </w:rPr>
        <w:t xml:space="preserve"> The Court declined to overrule Sharman, but confined it carefully to its facts, a</w:t>
      </w:r>
    </w:p>
    <w:p w14:paraId="3263C2D1" w14:textId="77777777" w:rsidR="0092465C" w:rsidRPr="00630E92" w:rsidRDefault="0092465C" w:rsidP="0092465C">
      <w:pPr>
        <w:spacing w:after="0" w:line="276" w:lineRule="auto"/>
        <w:jc w:val="both"/>
        <w:rPr>
          <w:rFonts w:eastAsia="Arial"/>
          <w:lang w:val="en" w:eastAsia="en-GB"/>
        </w:rPr>
      </w:pPr>
      <w:r w:rsidRPr="00630E92">
        <w:rPr>
          <w:rFonts w:eastAsia="Arial"/>
          <w:lang w:val="en" w:eastAsia="en-GB"/>
        </w:rPr>
        <w:t>case where home care was rejected because it posed genuine health risks to the plaintiff, not</w:t>
      </w:r>
    </w:p>
    <w:p w14:paraId="38359B5A" w14:textId="77777777" w:rsidR="0092465C" w:rsidRPr="00630E92" w:rsidRDefault="0092465C" w:rsidP="0092465C">
      <w:pPr>
        <w:spacing w:after="0" w:line="276" w:lineRule="auto"/>
        <w:jc w:val="both"/>
        <w:rPr>
          <w:rFonts w:eastAsia="Arial"/>
          <w:lang w:val="en" w:eastAsia="en-GB"/>
        </w:rPr>
      </w:pPr>
      <w:r w:rsidRPr="00630E92">
        <w:rPr>
          <w:rFonts w:eastAsia="Arial"/>
          <w:lang w:val="en" w:eastAsia="en-GB"/>
        </w:rPr>
        <w:t>merely because it cost more. The proportionality approach suggested by some justices in that</w:t>
      </w:r>
    </w:p>
    <w:p w14:paraId="7B9593D9" w14:textId="77777777" w:rsidR="0092465C" w:rsidRPr="00630E92" w:rsidRDefault="0092465C" w:rsidP="0092465C">
      <w:pPr>
        <w:spacing w:after="0" w:line="276" w:lineRule="auto"/>
        <w:jc w:val="both"/>
        <w:rPr>
          <w:rFonts w:eastAsia="Arial"/>
          <w:lang w:val="en" w:eastAsia="en-GB"/>
        </w:rPr>
      </w:pPr>
      <w:r w:rsidRPr="00630E92">
        <w:rPr>
          <w:rFonts w:eastAsia="Arial"/>
          <w:lang w:val="en" w:eastAsia="en-GB"/>
        </w:rPr>
        <w:t>decision was expressly disapproved as inconsistent with the compensatory principle and out of</w:t>
      </w:r>
    </w:p>
    <w:p w14:paraId="3455E8F7" w14:textId="77777777" w:rsidR="0092465C" w:rsidRPr="00630E92" w:rsidRDefault="0092465C" w:rsidP="0092465C">
      <w:pPr>
        <w:spacing w:after="0" w:line="276" w:lineRule="auto"/>
        <w:jc w:val="both"/>
        <w:rPr>
          <w:rFonts w:eastAsia="Arial"/>
          <w:lang w:val="en" w:eastAsia="en-GB"/>
        </w:rPr>
      </w:pPr>
      <w:r w:rsidRPr="00630E92">
        <w:rPr>
          <w:rFonts w:eastAsia="Arial"/>
          <w:lang w:val="en" w:eastAsia="en-GB"/>
        </w:rPr>
        <w:t>step with contemporary care standards.</w:t>
      </w:r>
      <w:r w:rsidRPr="00630E92">
        <w:rPr>
          <w:rFonts w:eastAsia="Arial"/>
          <w:vertAlign w:val="superscript"/>
          <w:lang w:val="en" w:eastAsia="en-GB"/>
        </w:rPr>
        <w:footnoteReference w:id="11"/>
      </w:r>
    </w:p>
    <w:p w14:paraId="5ED70C3E" w14:textId="77777777" w:rsidR="0092465C" w:rsidRPr="00630E92" w:rsidRDefault="0092465C" w:rsidP="0092465C">
      <w:pPr>
        <w:spacing w:after="0" w:line="276" w:lineRule="auto"/>
        <w:jc w:val="both"/>
        <w:rPr>
          <w:rFonts w:eastAsia="Arial"/>
          <w:lang w:val="en" w:eastAsia="en-GB"/>
        </w:rPr>
      </w:pPr>
    </w:p>
    <w:p w14:paraId="7AFD8F6B" w14:textId="77777777" w:rsidR="0092465C" w:rsidRPr="00630E92" w:rsidRDefault="0092465C" w:rsidP="0092465C">
      <w:pPr>
        <w:spacing w:after="0" w:line="276" w:lineRule="auto"/>
        <w:jc w:val="both"/>
        <w:rPr>
          <w:rFonts w:eastAsia="Arial"/>
          <w:lang w:val="en" w:eastAsia="en-GB"/>
        </w:rPr>
      </w:pPr>
      <w:r w:rsidRPr="00630E92">
        <w:rPr>
          <w:rFonts w:eastAsia="Arial"/>
          <w:lang w:val="en" w:eastAsia="en-GB"/>
        </w:rPr>
        <w:t>The court held that the enquiry into reasonableness must be holistic. Relevant factors for this notion include the plaintiff’s pre-injury circumstances, the psychological benefits of the proposed arrangement, their genuine preferences, and whether the chosen option constitutes a genuine attempt to better the plaintiff’s life.</w:t>
      </w:r>
      <w:r w:rsidRPr="00630E92">
        <w:rPr>
          <w:rFonts w:eastAsia="Arial"/>
          <w:vertAlign w:val="superscript"/>
          <w:lang w:val="en" w:eastAsia="en-GB"/>
        </w:rPr>
        <w:footnoteReference w:id="12"/>
      </w:r>
      <w:r w:rsidRPr="00630E92">
        <w:rPr>
          <w:rFonts w:eastAsia="Arial"/>
          <w:lang w:val="en" w:eastAsia="en-GB"/>
        </w:rPr>
        <w:t xml:space="preserve"> Essentially, the burden of proving that a cheaper option was unreasonably refused lies with the defendant as opposed to the plaintiff.</w:t>
      </w:r>
      <w:r w:rsidRPr="00630E92">
        <w:rPr>
          <w:rFonts w:eastAsia="Arial"/>
          <w:vertAlign w:val="superscript"/>
          <w:lang w:val="en" w:eastAsia="en-GB"/>
        </w:rPr>
        <w:footnoteReference w:id="13"/>
      </w:r>
      <w:r w:rsidRPr="00630E92">
        <w:rPr>
          <w:rFonts w:eastAsia="Arial"/>
          <w:lang w:val="en" w:eastAsia="en-GB"/>
        </w:rPr>
        <w:t xml:space="preserve"> In the subject matter, the evidence established that Mr Stewart’s deterioration at </w:t>
      </w:r>
      <w:proofErr w:type="spellStart"/>
      <w:r w:rsidRPr="00630E92">
        <w:rPr>
          <w:rFonts w:eastAsia="Arial"/>
          <w:lang w:val="en" w:eastAsia="en-GB"/>
        </w:rPr>
        <w:t>Ozanam</w:t>
      </w:r>
      <w:proofErr w:type="spellEnd"/>
      <w:r w:rsidRPr="00630E92">
        <w:rPr>
          <w:rFonts w:eastAsia="Arial"/>
          <w:lang w:val="en" w:eastAsia="en-GB"/>
        </w:rPr>
        <w:t xml:space="preserve"> was attributable to his isolation from family and that no enhanced institutional arrangement could replicate the motivating effect of life at home.</w:t>
      </w:r>
      <w:r w:rsidRPr="00630E92">
        <w:rPr>
          <w:rFonts w:eastAsia="Arial"/>
          <w:vertAlign w:val="superscript"/>
          <w:lang w:val="en" w:eastAsia="en-GB"/>
        </w:rPr>
        <w:footnoteReference w:id="14"/>
      </w:r>
      <w:r w:rsidRPr="00630E92">
        <w:rPr>
          <w:rFonts w:eastAsia="Arial"/>
          <w:lang w:val="en" w:eastAsia="en-GB"/>
        </w:rPr>
        <w:t xml:space="preserve"> </w:t>
      </w:r>
    </w:p>
    <w:p w14:paraId="6C740776" w14:textId="77777777" w:rsidR="0092465C" w:rsidRPr="00630E92" w:rsidRDefault="0092465C" w:rsidP="0092465C">
      <w:pPr>
        <w:spacing w:after="0" w:line="276" w:lineRule="auto"/>
        <w:jc w:val="both"/>
        <w:rPr>
          <w:rFonts w:eastAsia="Arial"/>
          <w:lang w:val="en" w:eastAsia="en-GB"/>
        </w:rPr>
      </w:pPr>
    </w:p>
    <w:p w14:paraId="3A4F22FE" w14:textId="77777777" w:rsidR="0092465C" w:rsidRPr="00630E92" w:rsidRDefault="0092465C" w:rsidP="0092465C">
      <w:pPr>
        <w:spacing w:after="0" w:line="276" w:lineRule="auto"/>
        <w:jc w:val="both"/>
        <w:rPr>
          <w:rFonts w:eastAsia="Arial"/>
          <w:lang w:val="en" w:eastAsia="en-GB"/>
        </w:rPr>
      </w:pPr>
      <w:r w:rsidRPr="00630E92">
        <w:rPr>
          <w:rFonts w:eastAsia="Arial"/>
          <w:lang w:val="en" w:eastAsia="en-GB"/>
        </w:rPr>
        <w:t xml:space="preserve">The court also observed changing conditions in the care sector. They </w:t>
      </w:r>
      <w:proofErr w:type="spellStart"/>
      <w:r w:rsidRPr="00630E92">
        <w:rPr>
          <w:rFonts w:eastAsia="Arial"/>
          <w:lang w:val="en" w:eastAsia="en-GB"/>
        </w:rPr>
        <w:t>recognised</w:t>
      </w:r>
      <w:proofErr w:type="spellEnd"/>
      <w:r w:rsidRPr="00630E92">
        <w:rPr>
          <w:rFonts w:eastAsia="Arial"/>
          <w:lang w:val="en" w:eastAsia="en-GB"/>
        </w:rPr>
        <w:t xml:space="preserve"> that a preference for home care in the modern context is not unusual, regardless of the position in 1977. This is attributed to the significant improvement in the quality and availability of professional home-based care, resulting in such arrangements becoming more common.</w:t>
      </w:r>
      <w:r w:rsidRPr="00630E92">
        <w:rPr>
          <w:rFonts w:eastAsia="Arial"/>
          <w:vertAlign w:val="superscript"/>
          <w:lang w:val="en" w:eastAsia="en-GB"/>
        </w:rPr>
        <w:footnoteReference w:id="15"/>
      </w:r>
      <w:r w:rsidRPr="00630E92">
        <w:rPr>
          <w:rFonts w:eastAsia="Arial"/>
          <w:lang w:val="en" w:eastAsia="en-GB"/>
        </w:rPr>
        <w:t xml:space="preserve"> Courts must therefore assess </w:t>
      </w:r>
      <w:r w:rsidRPr="00630E92">
        <w:rPr>
          <w:rFonts w:eastAsia="Arial"/>
          <w:lang w:val="en" w:eastAsia="en-GB"/>
        </w:rPr>
        <w:lastRenderedPageBreak/>
        <w:t xml:space="preserve">reasonableness against contemporary standards of care, not historical assumptions about what institutional settings can or cannot provide. </w:t>
      </w:r>
    </w:p>
    <w:p w14:paraId="08FE3E1F" w14:textId="77777777" w:rsidR="0092465C" w:rsidRPr="00630E92" w:rsidRDefault="0092465C" w:rsidP="0092465C">
      <w:pPr>
        <w:spacing w:after="0" w:line="276" w:lineRule="auto"/>
        <w:rPr>
          <w:rFonts w:eastAsia="Arial"/>
          <w:lang w:val="en" w:eastAsia="en-GB"/>
        </w:rPr>
      </w:pPr>
    </w:p>
    <w:p w14:paraId="1CA1E88E" w14:textId="5E19F99F" w:rsidR="0092465C" w:rsidRPr="00261B2E" w:rsidRDefault="0092465C" w:rsidP="0092465C">
      <w:pPr>
        <w:spacing w:after="0" w:line="276" w:lineRule="auto"/>
        <w:jc w:val="center"/>
        <w:rPr>
          <w:rFonts w:eastAsia="Arial"/>
          <w:b/>
          <w:bCs/>
          <w:sz w:val="28"/>
          <w:szCs w:val="28"/>
          <w:lang w:val="en" w:eastAsia="en-GB"/>
        </w:rPr>
      </w:pPr>
      <w:r w:rsidRPr="00261B2E">
        <w:rPr>
          <w:rFonts w:eastAsia="Arial"/>
          <w:b/>
          <w:bCs/>
          <w:sz w:val="28"/>
          <w:szCs w:val="28"/>
          <w:lang w:val="en" w:eastAsia="en-GB"/>
        </w:rPr>
        <w:t>IV IMPLICATIONS: WHAT STEWART MEANS FOR PERSONAL INJURY PRACTICE</w:t>
      </w:r>
    </w:p>
    <w:p w14:paraId="0A635965" w14:textId="77777777" w:rsidR="0092465C" w:rsidRPr="00630E92" w:rsidRDefault="0092465C" w:rsidP="0092465C">
      <w:pPr>
        <w:spacing w:after="0" w:line="276" w:lineRule="auto"/>
        <w:rPr>
          <w:rFonts w:eastAsia="Arial"/>
          <w:lang w:val="en" w:eastAsia="en-GB"/>
        </w:rPr>
      </w:pPr>
    </w:p>
    <w:p w14:paraId="206927F3" w14:textId="77777777" w:rsidR="0092465C" w:rsidRPr="00630E92" w:rsidRDefault="0092465C" w:rsidP="0092465C">
      <w:pPr>
        <w:spacing w:after="0" w:line="276" w:lineRule="auto"/>
        <w:jc w:val="both"/>
        <w:rPr>
          <w:rFonts w:eastAsia="Arial"/>
          <w:lang w:val="en" w:eastAsia="en-GB"/>
        </w:rPr>
      </w:pPr>
      <w:r w:rsidRPr="00630E92">
        <w:rPr>
          <w:rFonts w:eastAsia="Arial"/>
          <w:lang w:val="en" w:eastAsia="en-GB"/>
        </w:rPr>
        <w:t xml:space="preserve">The decision has immediate practical significance for plaintiffs in catastrophic injury claims. A preference for home care is not simply a lifestyle choice to be weighed against cost. It reflects a legally </w:t>
      </w:r>
      <w:proofErr w:type="spellStart"/>
      <w:r w:rsidRPr="00630E92">
        <w:rPr>
          <w:rFonts w:eastAsia="Arial"/>
          <w:lang w:val="en" w:eastAsia="en-GB"/>
        </w:rPr>
        <w:t>recognised</w:t>
      </w:r>
      <w:proofErr w:type="spellEnd"/>
      <w:r w:rsidRPr="00630E92">
        <w:rPr>
          <w:rFonts w:eastAsia="Arial"/>
          <w:lang w:val="en" w:eastAsia="en-GB"/>
        </w:rPr>
        <w:t xml:space="preserve"> aspect of the plaintiff’s right to restoration. Where that preference is reasonable and consistent with the plaintiff’s pre-injury circumstances, courts should not impose a cheaper institutional alternative based on cost alone.</w:t>
      </w:r>
      <w:r w:rsidRPr="00630E92">
        <w:rPr>
          <w:rFonts w:eastAsia="Arial"/>
          <w:vertAlign w:val="superscript"/>
          <w:lang w:val="en" w:eastAsia="en-GB"/>
        </w:rPr>
        <w:footnoteReference w:id="16"/>
      </w:r>
    </w:p>
    <w:p w14:paraId="7D2E47DA" w14:textId="77777777" w:rsidR="0092465C" w:rsidRPr="00630E92" w:rsidRDefault="0092465C" w:rsidP="0092465C">
      <w:pPr>
        <w:spacing w:after="0" w:line="276" w:lineRule="auto"/>
        <w:jc w:val="both"/>
        <w:rPr>
          <w:rFonts w:eastAsia="Arial"/>
          <w:lang w:val="en" w:eastAsia="en-GB"/>
        </w:rPr>
      </w:pPr>
    </w:p>
    <w:p w14:paraId="73876756" w14:textId="77777777" w:rsidR="0092465C" w:rsidRPr="00630E92" w:rsidRDefault="0092465C" w:rsidP="0092465C">
      <w:pPr>
        <w:spacing w:after="0" w:line="276" w:lineRule="auto"/>
        <w:jc w:val="both"/>
        <w:rPr>
          <w:rFonts w:eastAsia="Arial"/>
          <w:lang w:val="en" w:eastAsia="en-GB"/>
        </w:rPr>
      </w:pPr>
      <w:r w:rsidRPr="00630E92">
        <w:rPr>
          <w:rFonts w:eastAsia="Arial"/>
          <w:lang w:val="en" w:eastAsia="en-GB"/>
        </w:rPr>
        <w:t>For defendants and insurers, the decision requires a recalibration of litigation strategy. A mere cost comparison is no longer sufficient to defeat a home care claim. Instead, defendants must adduce positive evidence that the plaintiff’s preferred arrangement is objectively unreasonable or that a rejected alternative would have achieved substantially equivalent restorative outcomes, not merely comparable clinical results.</w:t>
      </w:r>
      <w:r w:rsidRPr="00630E92">
        <w:rPr>
          <w:rFonts w:eastAsia="Arial"/>
          <w:vertAlign w:val="superscript"/>
          <w:lang w:val="en" w:eastAsia="en-GB"/>
        </w:rPr>
        <w:footnoteReference w:id="17"/>
      </w:r>
    </w:p>
    <w:p w14:paraId="2C9432B9" w14:textId="77777777" w:rsidR="0092465C" w:rsidRPr="00630E92" w:rsidRDefault="0092465C" w:rsidP="0092465C">
      <w:pPr>
        <w:spacing w:after="0" w:line="276" w:lineRule="auto"/>
        <w:jc w:val="both"/>
        <w:rPr>
          <w:rFonts w:eastAsia="Arial"/>
          <w:lang w:val="en" w:eastAsia="en-GB"/>
        </w:rPr>
      </w:pPr>
    </w:p>
    <w:p w14:paraId="4C6AAD03" w14:textId="77777777" w:rsidR="0092465C" w:rsidRPr="00630E92" w:rsidRDefault="0092465C" w:rsidP="0092465C">
      <w:pPr>
        <w:spacing w:after="0" w:line="276" w:lineRule="auto"/>
        <w:jc w:val="both"/>
        <w:rPr>
          <w:rFonts w:eastAsia="Arial"/>
          <w:lang w:val="en" w:eastAsia="en-GB"/>
        </w:rPr>
      </w:pPr>
      <w:r w:rsidRPr="00630E92">
        <w:rPr>
          <w:rFonts w:eastAsia="Arial"/>
          <w:lang w:val="en" w:eastAsia="en-GB"/>
        </w:rPr>
        <w:t xml:space="preserve">The implications of the subject case extend beyond Queensland and its legal system. While </w:t>
      </w:r>
      <w:r w:rsidRPr="00630E92">
        <w:rPr>
          <w:rFonts w:eastAsia="Arial"/>
          <w:i/>
          <w:iCs/>
          <w:lang w:val="en" w:eastAsia="en-GB"/>
        </w:rPr>
        <w:t>Stewart</w:t>
      </w:r>
      <w:r w:rsidRPr="00630E92">
        <w:rPr>
          <w:rFonts w:eastAsia="Arial"/>
          <w:lang w:val="en" w:eastAsia="en-GB"/>
        </w:rPr>
        <w:t xml:space="preserve"> was decided under the</w:t>
      </w:r>
      <w:r w:rsidRPr="00630E92">
        <w:rPr>
          <w:rFonts w:eastAsia="Arial"/>
          <w:i/>
          <w:iCs/>
          <w:lang w:val="en" w:eastAsia="en-GB"/>
        </w:rPr>
        <w:t xml:space="preserve"> Civil Liability Act 2003</w:t>
      </w:r>
      <w:r w:rsidRPr="00630E92">
        <w:rPr>
          <w:rFonts w:eastAsia="Arial"/>
          <w:lang w:val="en" w:eastAsia="en-GB"/>
        </w:rPr>
        <w:t xml:space="preserve"> (</w:t>
      </w:r>
      <w:proofErr w:type="spellStart"/>
      <w:r w:rsidRPr="00630E92">
        <w:rPr>
          <w:rFonts w:eastAsia="Arial"/>
          <w:lang w:val="en" w:eastAsia="en-GB"/>
        </w:rPr>
        <w:t>Qld</w:t>
      </w:r>
      <w:proofErr w:type="spellEnd"/>
      <w:r w:rsidRPr="00630E92">
        <w:rPr>
          <w:rFonts w:eastAsia="Arial"/>
          <w:lang w:val="en" w:eastAsia="en-GB"/>
        </w:rPr>
        <w:t xml:space="preserve">), the court's reasoning is grounded in the common law compensatory principle applicable across all Australian jurisdictions. Legal practitioners in New South Wales, Victoria, and elsewhere can reasonably expect analogous arguments to be advanced in future care disputes under their own civil liability frameworks. </w:t>
      </w:r>
    </w:p>
    <w:p w14:paraId="337C22B5" w14:textId="77777777" w:rsidR="0092465C" w:rsidRPr="00630E92" w:rsidRDefault="0092465C" w:rsidP="0092465C">
      <w:pPr>
        <w:spacing w:after="0" w:line="276" w:lineRule="auto"/>
        <w:jc w:val="both"/>
        <w:rPr>
          <w:rFonts w:eastAsia="Arial"/>
          <w:lang w:val="en" w:eastAsia="en-GB"/>
        </w:rPr>
      </w:pPr>
    </w:p>
    <w:p w14:paraId="570D4171" w14:textId="410B90C6" w:rsidR="0092465C" w:rsidRPr="00630E92" w:rsidRDefault="0092465C" w:rsidP="0092465C">
      <w:pPr>
        <w:spacing w:after="0" w:line="276" w:lineRule="auto"/>
        <w:jc w:val="both"/>
        <w:rPr>
          <w:rFonts w:eastAsia="Arial"/>
          <w:lang w:val="en" w:eastAsia="en-GB"/>
        </w:rPr>
      </w:pPr>
      <w:r w:rsidRPr="00630E92">
        <w:rPr>
          <w:rFonts w:eastAsia="Arial"/>
          <w:lang w:val="en" w:eastAsia="en-GB"/>
        </w:rPr>
        <w:t xml:space="preserve">However, there are limits to the decision. The court was careful to note that reasonableness remains a factual enquiry, and not every preference for home care will succeed. Where home care carries genuine health risks, or where the proposed arrangement departs substantially from the plaintiff’s pre-injury circumstances, the outcome may differ. The decision in </w:t>
      </w:r>
      <w:r w:rsidRPr="00630E92">
        <w:rPr>
          <w:rFonts w:eastAsia="Arial"/>
          <w:i/>
          <w:iCs/>
          <w:lang w:val="en" w:eastAsia="en-GB"/>
        </w:rPr>
        <w:t>Sharman</w:t>
      </w:r>
      <w:r w:rsidRPr="00630E92">
        <w:rPr>
          <w:rFonts w:eastAsia="Arial"/>
          <w:lang w:val="en" w:eastAsia="en-GB"/>
        </w:rPr>
        <w:t xml:space="preserve"> was not overruled, and defendants retain the ability to contest the reasonableness of a plaintiff’s preferred arrangement on appropriate grounds.</w:t>
      </w:r>
      <w:r w:rsidRPr="00630E92">
        <w:rPr>
          <w:rFonts w:eastAsia="Arial"/>
          <w:vertAlign w:val="superscript"/>
          <w:lang w:val="en" w:eastAsia="en-GB"/>
        </w:rPr>
        <w:footnoteReference w:id="18"/>
      </w:r>
    </w:p>
    <w:p w14:paraId="32947088" w14:textId="77777777" w:rsidR="0092465C" w:rsidRPr="00630E92" w:rsidRDefault="0092465C" w:rsidP="0092465C">
      <w:pPr>
        <w:spacing w:after="0" w:line="276" w:lineRule="auto"/>
        <w:rPr>
          <w:rFonts w:eastAsia="Arial"/>
          <w:lang w:val="en" w:eastAsia="en-GB"/>
        </w:rPr>
      </w:pPr>
    </w:p>
    <w:p w14:paraId="03ADDB24" w14:textId="77777777" w:rsidR="0092465C" w:rsidRPr="00261B2E" w:rsidRDefault="0092465C" w:rsidP="0092465C">
      <w:pPr>
        <w:spacing w:after="0" w:line="276" w:lineRule="auto"/>
        <w:jc w:val="center"/>
        <w:rPr>
          <w:rFonts w:eastAsia="Arial"/>
          <w:b/>
          <w:bCs/>
          <w:sz w:val="28"/>
          <w:szCs w:val="28"/>
          <w:lang w:val="en" w:eastAsia="en-GB"/>
        </w:rPr>
      </w:pPr>
      <w:r w:rsidRPr="00261B2E">
        <w:rPr>
          <w:rFonts w:eastAsia="Arial"/>
          <w:b/>
          <w:bCs/>
          <w:sz w:val="28"/>
          <w:szCs w:val="28"/>
          <w:lang w:val="en" w:eastAsia="en-GB"/>
        </w:rPr>
        <w:t>V CONCLUSION: THE COMPENSATORY PRINCIPLE REASSERTED</w:t>
      </w:r>
    </w:p>
    <w:p w14:paraId="3FBC9D5D" w14:textId="77777777" w:rsidR="0092465C" w:rsidRPr="00630E92" w:rsidRDefault="0092465C" w:rsidP="0092465C">
      <w:pPr>
        <w:spacing w:after="0" w:line="276" w:lineRule="auto"/>
        <w:rPr>
          <w:rFonts w:eastAsia="Arial"/>
          <w:lang w:val="en" w:eastAsia="en-GB"/>
        </w:rPr>
      </w:pPr>
    </w:p>
    <w:p w14:paraId="41EDD5D9" w14:textId="77777777" w:rsidR="0092465C" w:rsidRPr="00630E92" w:rsidRDefault="0092465C" w:rsidP="0092465C">
      <w:pPr>
        <w:spacing w:after="0" w:line="276" w:lineRule="auto"/>
        <w:jc w:val="both"/>
        <w:rPr>
          <w:rFonts w:eastAsia="Arial"/>
          <w:lang w:val="en" w:eastAsia="en-GB"/>
        </w:rPr>
      </w:pPr>
      <w:r w:rsidRPr="00630E92">
        <w:rPr>
          <w:rFonts w:eastAsia="Arial"/>
          <w:lang w:val="en" w:eastAsia="en-GB"/>
        </w:rPr>
        <w:t xml:space="preserve">Stewart is a fundamental case in personal injury law; it affirms existing doctrines surrounding the protection of plaintiffs. The compensatory principle outlines the legal system, ensuring it provides plaintiffs with the resources to be placed in the position they were before they suffered negligence by the defendant. In the subject matter, the position included a son, a dog, and a home, factors that a court cannot refuse to fund. </w:t>
      </w:r>
    </w:p>
    <w:p w14:paraId="5C31B03C" w14:textId="77777777" w:rsidR="0092465C" w:rsidRPr="00630E92" w:rsidRDefault="0092465C" w:rsidP="0092465C">
      <w:pPr>
        <w:spacing w:after="0" w:line="276" w:lineRule="auto"/>
        <w:rPr>
          <w:rFonts w:eastAsia="Arial"/>
          <w:lang w:val="en" w:eastAsia="en-GB"/>
        </w:rPr>
      </w:pPr>
    </w:p>
    <w:p w14:paraId="54B204E1" w14:textId="00B33A07" w:rsidR="000F108B" w:rsidRPr="0092465C" w:rsidRDefault="0092465C" w:rsidP="0092465C">
      <w:pPr>
        <w:spacing w:after="0" w:line="276" w:lineRule="auto"/>
        <w:rPr>
          <w:rFonts w:ascii="Arial" w:eastAsia="Arial" w:hAnsi="Arial" w:cs="Arial"/>
          <w:sz w:val="22"/>
          <w:szCs w:val="22"/>
          <w:lang w:val="en" w:eastAsia="en-GB"/>
        </w:rPr>
      </w:pPr>
      <w:r w:rsidRPr="00630E92">
        <w:rPr>
          <w:rFonts w:eastAsia="Arial"/>
          <w:lang w:val="en" w:eastAsia="en-GB"/>
        </w:rPr>
        <w:lastRenderedPageBreak/>
        <w:t xml:space="preserve">The court’s decision serves as a reminder that damages for negligence travel beyond restoring the plaintiff’s physical health. They are established on restoring the life the plaintiff lived before the life-altering incident. This compensatory principle is constantly reinforced in Stewart, where the unanimous reaffirmation is bound to be felt in courtrooms and care plans in years to come. </w:t>
      </w:r>
      <w:r w:rsidR="000F108B">
        <w:br w:type="page"/>
      </w:r>
    </w:p>
    <w:p w14:paraId="698F75F1" w14:textId="1ED3DC73" w:rsidR="000F108B" w:rsidRDefault="001C6A9D" w:rsidP="00235853">
      <w:r>
        <w:rPr>
          <w:noProof/>
        </w:rPr>
        <w:lastRenderedPageBreak/>
        <mc:AlternateContent>
          <mc:Choice Requires="wpg">
            <w:drawing>
              <wp:anchor distT="0" distB="0" distL="114300" distR="114300" simplePos="0" relativeHeight="251681792" behindDoc="0" locked="0" layoutInCell="1" allowOverlap="1" wp14:anchorId="121B674F" wp14:editId="1C551674">
                <wp:simplePos x="0" y="0"/>
                <wp:positionH relativeFrom="column">
                  <wp:posOffset>-685800</wp:posOffset>
                </wp:positionH>
                <wp:positionV relativeFrom="paragraph">
                  <wp:posOffset>1902460</wp:posOffset>
                </wp:positionV>
                <wp:extent cx="7546340" cy="1084580"/>
                <wp:effectExtent l="0" t="12700" r="0" b="7620"/>
                <wp:wrapNone/>
                <wp:docPr id="168221322" name="Group 31"/>
                <wp:cNvGraphicFramePr/>
                <a:graphic xmlns:a="http://schemas.openxmlformats.org/drawingml/2006/main">
                  <a:graphicData uri="http://schemas.microsoft.com/office/word/2010/wordprocessingGroup">
                    <wpg:wgp>
                      <wpg:cNvGrpSpPr/>
                      <wpg:grpSpPr>
                        <a:xfrm>
                          <a:off x="0" y="0"/>
                          <a:ext cx="7546340" cy="1084580"/>
                          <a:chOff x="35306" y="1597660"/>
                          <a:chExt cx="7546340" cy="1085088"/>
                        </a:xfrm>
                      </wpg:grpSpPr>
                      <wps:wsp>
                        <wps:cNvPr id="1493187613" name="Text Box 27"/>
                        <wps:cNvSpPr txBox="1"/>
                        <wps:spPr>
                          <a:xfrm>
                            <a:off x="35306" y="1914008"/>
                            <a:ext cx="7546340" cy="488193"/>
                          </a:xfrm>
                          <a:prstGeom prst="rect">
                            <a:avLst/>
                          </a:prstGeom>
                          <a:noFill/>
                          <a:ln w="6350">
                            <a:noFill/>
                          </a:ln>
                        </wps:spPr>
                        <wps:txbx>
                          <w:txbxContent>
                            <w:p w14:paraId="2AEBA7A0" w14:textId="4F439EFE" w:rsidR="009470FA" w:rsidRPr="001C6A9D" w:rsidRDefault="009470FA" w:rsidP="001C6A9D">
                              <w:pPr>
                                <w:pStyle w:val="Title"/>
                                <w:rPr>
                                  <w:rStyle w:val="Strong"/>
                                </w:rPr>
                              </w:pPr>
                              <w:r w:rsidRPr="001C6A9D">
                                <w:rPr>
                                  <w:rStyle w:val="Strong"/>
                                </w:rPr>
                                <w:t>LAW STUDENT REVIEW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86141420" name="Straight Connector 27"/>
                        <wps:cNvCnPr/>
                        <wps:spPr>
                          <a:xfrm>
                            <a:off x="256032" y="1597660"/>
                            <a:ext cx="710742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2089456829" name="Straight Connector 27"/>
                        <wps:cNvCnPr/>
                        <wps:spPr>
                          <a:xfrm>
                            <a:off x="256032" y="2682748"/>
                            <a:ext cx="710742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21B674F" id="_x0000_s1034" style="position:absolute;margin-left:-54pt;margin-top:149.8pt;width:594.2pt;height:85.4pt;z-index:251681792;mso-width-relative:margin;mso-height-relative:margin" coordorigin="353,15976" coordsize="75463,108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">
                <v:shape id="_x0000_s1035" type="#_x0000_t202" style="position:absolute;left:353;top:19140;width:75463;height:48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" filled="f" stroked="f" strokeweight=".5pt">
                  <v:textbox>
                    <w:txbxContent>
                      <w:p w14:paraId="2AEBA7A0" w14:textId="4F439EFE" w:rsidR="009470FA" w:rsidRPr="001C6A9D" w:rsidRDefault="009470FA" w:rsidP="001C6A9D">
                        <w:pPr>
                          <w:pStyle w:val="Title"/>
                          <w:rPr>
                            <w:rStyle w:val="Strong"/>
                          </w:rPr>
                        </w:pPr>
                        <w:r w:rsidRPr="001C6A9D">
                          <w:rPr>
                            <w:rStyle w:val="Strong"/>
                          </w:rPr>
                          <w:t>LAW STUDENT REVIEW</w:t>
                        </w:r>
                      </w:p>
                    </w:txbxContent>
                  </v:textbox>
                </v:shape>
                <v:line id="Straight Connector 27" o:spid="_x0000_s1036" style="position:absolute;visibility:visible;mso-wrap-style:square" from="2560,15976" to="73634,1597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" strokecolor="white [3212]" strokeweight="2pt">
                  <v:stroke joinstyle="miter"/>
                </v:line>
                <v:line id="Straight Connector 27" o:spid="_x0000_s1037" style="position:absolute;visibility:visible;mso-wrap-style:square" from="2560,26827" to="73634,2682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" strokecolor="white [3212]" strokeweight="2pt">
                  <v:stroke joinstyle="miter"/>
                </v:line>
              </v:group>
            </w:pict>
          </mc:Fallback>
        </mc:AlternateContent>
      </w:r>
      <w:r w:rsidR="0095632F">
        <w:rPr>
          <w:noProof/>
        </w:rPr>
        <mc:AlternateContent>
          <mc:Choice Requires="wps">
            <w:drawing>
              <wp:anchor distT="0" distB="0" distL="114300" distR="114300" simplePos="0" relativeHeight="251683840" behindDoc="0" locked="0" layoutInCell="1" allowOverlap="1" wp14:anchorId="2BE59E55" wp14:editId="40BCEAFD">
                <wp:simplePos x="0" y="0"/>
                <wp:positionH relativeFrom="column">
                  <wp:posOffset>-161544</wp:posOffset>
                </wp:positionH>
                <wp:positionV relativeFrom="paragraph">
                  <wp:posOffset>3340608</wp:posOffset>
                </wp:positionV>
                <wp:extent cx="6449568" cy="560832"/>
                <wp:effectExtent l="0" t="0" r="0" b="0"/>
                <wp:wrapNone/>
                <wp:docPr id="1144751722" name="Text Box 27"/>
                <wp:cNvGraphicFramePr/>
                <a:graphic xmlns:a="http://schemas.openxmlformats.org/drawingml/2006/main">
                  <a:graphicData uri="http://schemas.microsoft.com/office/word/2010/wordprocessingShape">
                    <wps:wsp>
                      <wps:cNvSpPr txBox="1"/>
                      <wps:spPr>
                        <a:xfrm>
                          <a:off x="0" y="0"/>
                          <a:ext cx="6449568" cy="560832"/>
                        </a:xfrm>
                        <a:prstGeom prst="rect">
                          <a:avLst/>
                        </a:prstGeom>
                        <a:noFill/>
                        <a:ln w="6350">
                          <a:noFill/>
                        </a:ln>
                      </wps:spPr>
                      <wps:txbx>
                        <w:txbxContent>
                          <w:p w14:paraId="2D52EFFE" w14:textId="2A439BF2" w:rsidR="0095632F" w:rsidRPr="00E23ACE" w:rsidRDefault="0095632F" w:rsidP="00235853">
                            <w:pPr>
                              <w:pStyle w:val="Subtitle"/>
                              <w:rPr>
                                <w:rStyle w:val="SubtleEmphasis"/>
                              </w:rPr>
                            </w:pPr>
                            <w:r w:rsidRPr="00E23ACE">
                              <w:rPr>
                                <w:rStyle w:val="SubtleEmphasis"/>
                              </w:rPr>
                              <w:t xml:space="preserve">Disclaimer: The views expressed herein are solely those of the author and do not necessarily reflect </w:t>
                            </w:r>
                            <w:r w:rsidR="00E0232C" w:rsidRPr="00E23ACE">
                              <w:rPr>
                                <w:rStyle w:val="SubtleEmphasis"/>
                              </w:rPr>
                              <w:t>other authors or the Law Student Review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E59E55" id="_x0000_t202" coordsize="21600,21600" o:spt="202" path="m,l,21600r21600,l21600,xe">
                <v:stroke joinstyle="miter"/>
                <v:path gradientshapeok="t" o:connecttype="rect"/>
              </v:shapetype>
              <v:shape id="Text Box 27" o:spid="_x0000_s1038" type="#_x0000_t202" style="position:absolute;margin-left:-12.7pt;margin-top:263.05pt;width:507.85pt;height:44.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" filled="f" stroked="f" strokeweight=".5pt">
                <v:textbox>
                  <w:txbxContent>
                    <w:p w14:paraId="2D52EFFE" w14:textId="2A439BF2" w:rsidR="0095632F" w:rsidRPr="00E23ACE" w:rsidRDefault="0095632F" w:rsidP="00235853">
                      <w:pPr>
                        <w:pStyle w:val="Subtitle"/>
                        <w:rPr>
                          <w:rStyle w:val="SubtleEmphasis"/>
                        </w:rPr>
                      </w:pPr>
                      <w:r w:rsidRPr="00E23ACE">
                        <w:rPr>
                          <w:rStyle w:val="SubtleEmphasis"/>
                        </w:rPr>
                        <w:t xml:space="preserve">Disclaimer: The views expressed herein are solely those of the author and do not necessarily reflect </w:t>
                      </w:r>
                      <w:r w:rsidR="00E0232C" w:rsidRPr="00E23ACE">
                        <w:rPr>
                          <w:rStyle w:val="SubtleEmphasis"/>
                        </w:rPr>
                        <w:t>other authors or the Law Student Review</w:t>
                      </w:r>
                    </w:p>
                  </w:txbxContent>
                </v:textbox>
              </v:shape>
            </w:pict>
          </mc:Fallback>
        </mc:AlternateContent>
      </w:r>
      <w:r w:rsidR="008A391C">
        <w:rPr>
          <w:noProof/>
        </w:rPr>
        <mc:AlternateContent>
          <mc:Choice Requires="wps">
            <w:drawing>
              <wp:anchor distT="0" distB="0" distL="114300" distR="114300" simplePos="0" relativeHeight="251646972" behindDoc="0" locked="0" layoutInCell="1" allowOverlap="1" wp14:anchorId="2CEEBA33" wp14:editId="685847FB">
                <wp:simplePos x="0" y="0"/>
                <wp:positionH relativeFrom="column">
                  <wp:posOffset>-685165</wp:posOffset>
                </wp:positionH>
                <wp:positionV relativeFrom="paragraph">
                  <wp:posOffset>-926465</wp:posOffset>
                </wp:positionV>
                <wp:extent cx="7545720" cy="10668000"/>
                <wp:effectExtent l="0" t="0" r="10795" b="12700"/>
                <wp:wrapNone/>
                <wp:docPr id="1958028090" name="Rectangle 32"/>
                <wp:cNvGraphicFramePr/>
                <a:graphic xmlns:a="http://schemas.openxmlformats.org/drawingml/2006/main">
                  <a:graphicData uri="http://schemas.microsoft.com/office/word/2010/wordprocessingShape">
                    <wps:wsp>
                      <wps:cNvSpPr/>
                      <wps:spPr>
                        <a:xfrm>
                          <a:off x="0" y="0"/>
                          <a:ext cx="7545720" cy="10668000"/>
                        </a:xfrm>
                        <a:prstGeom prst="rect">
                          <a:avLst/>
                        </a:prstGeom>
                        <a:solidFill>
                          <a:schemeClr val="tx2"/>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D01373" id="Rectangle 32" o:spid="_x0000_s1026" style="position:absolute;margin-left:-53.95pt;margin-top:-72.95pt;width:594.15pt;height:840pt;z-index:2516469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" fillcolor="#0e2841 [3215]" strokecolor="#030e13 [484]" strokeweight="1pt"/>
            </w:pict>
          </mc:Fallback>
        </mc:AlternateContent>
      </w:r>
      <w:r w:rsidR="00EF6D7D">
        <w:rPr>
          <w:noProof/>
        </w:rPr>
        <mc:AlternateContent>
          <mc:Choice Requires="wps">
            <w:drawing>
              <wp:anchor distT="0" distB="0" distL="114300" distR="114300" simplePos="0" relativeHeight="251662336" behindDoc="0" locked="0" layoutInCell="1" allowOverlap="1" wp14:anchorId="0C3EA4BA" wp14:editId="6ACC2562">
                <wp:simplePos x="0" y="0"/>
                <wp:positionH relativeFrom="column">
                  <wp:posOffset>-685800</wp:posOffset>
                </wp:positionH>
                <wp:positionV relativeFrom="paragraph">
                  <wp:posOffset>-926592</wp:posOffset>
                </wp:positionV>
                <wp:extent cx="6668770" cy="0"/>
                <wp:effectExtent l="0" t="0" r="11430" b="12700"/>
                <wp:wrapNone/>
                <wp:docPr id="1913028425" name="Straight Connector 22"/>
                <wp:cNvGraphicFramePr/>
                <a:graphic xmlns:a="http://schemas.openxmlformats.org/drawingml/2006/main">
                  <a:graphicData uri="http://schemas.microsoft.com/office/word/2010/wordprocessingShape">
                    <wps:wsp>
                      <wps:cNvCnPr/>
                      <wps:spPr>
                        <a:xfrm>
                          <a:off x="0" y="0"/>
                          <a:ext cx="6668770"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482638F" id="Straight Connector 22"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pt,-72.95pt" to="471.1pt,-7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" strokecolor="white [3212]" strokeweight=".5pt">
                <v:stroke joinstyle="miter"/>
              </v:line>
            </w:pict>
          </mc:Fallback>
        </mc:AlternateContent>
      </w:r>
    </w:p>
    <w:sectPr w:rsidR="000F108B" w:rsidSect="00334ADB">
      <w:footerReference w:type="even" r:id="rId8"/>
      <w:footerReference w:type="default" r:id="rId9"/>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0B672" w14:textId="77777777" w:rsidR="00F84D64" w:rsidRDefault="00F84D64" w:rsidP="00235853">
      <w:r>
        <w:separator/>
      </w:r>
    </w:p>
  </w:endnote>
  <w:endnote w:type="continuationSeparator" w:id="0">
    <w:p w14:paraId="29709E76" w14:textId="77777777" w:rsidR="00F84D64" w:rsidRDefault="00F84D64" w:rsidP="00235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31162930"/>
      <w:docPartObj>
        <w:docPartGallery w:val="Page Numbers (Bottom of Page)"/>
        <w:docPartUnique/>
      </w:docPartObj>
    </w:sdtPr>
    <w:sdtEndPr>
      <w:rPr>
        <w:rStyle w:val="PageNumber"/>
      </w:rPr>
    </w:sdtEndPr>
    <w:sdtContent>
      <w:p w14:paraId="4E6ABFC8" w14:textId="3653FED2" w:rsidR="00334ADB" w:rsidRDefault="00334ADB" w:rsidP="00235853">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D0A742B" w14:textId="77777777" w:rsidR="00334ADB" w:rsidRDefault="00334ADB" w:rsidP="002358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0F5DF" w14:textId="32A2F460" w:rsidR="00334ADB" w:rsidRDefault="00014C97" w:rsidP="00235853">
    <w:pPr>
      <w:pStyle w:val="Footer"/>
      <w:jc w:val="right"/>
    </w:pPr>
    <w:sdt>
      <w:sdtPr>
        <w:rPr>
          <w:rStyle w:val="PageNumber"/>
        </w:rPr>
        <w:id w:val="1063142190"/>
        <w:docPartObj>
          <w:docPartGallery w:val="Page Numbers (Bottom of Page)"/>
          <w:docPartUnique/>
        </w:docPartObj>
      </w:sdtPr>
      <w:sdtEndPr>
        <w:rPr>
          <w:rStyle w:val="PageNumber"/>
        </w:rPr>
      </w:sdtEndPr>
      <w:sdtContent>
        <w:r w:rsidR="00334ADB">
          <w:rPr>
            <w:rStyle w:val="PageNumber"/>
          </w:rPr>
          <w:fldChar w:fldCharType="begin"/>
        </w:r>
        <w:r w:rsidR="00334ADB">
          <w:rPr>
            <w:rStyle w:val="PageNumber"/>
          </w:rPr>
          <w:instrText xml:space="preserve"> PAGE </w:instrText>
        </w:r>
        <w:r w:rsidR="00334ADB">
          <w:rPr>
            <w:rStyle w:val="PageNumber"/>
          </w:rPr>
          <w:fldChar w:fldCharType="separate"/>
        </w:r>
        <w:r w:rsidR="00334ADB">
          <w:rPr>
            <w:rStyle w:val="PageNumber"/>
            <w:noProof/>
          </w:rPr>
          <w:t>3</w:t>
        </w:r>
        <w:r w:rsidR="00334ADB">
          <w:rPr>
            <w:rStyle w:val="PageNumber"/>
          </w:rPr>
          <w:fldChar w:fldCharType="end"/>
        </w:r>
      </w:sdtContent>
    </w:sdt>
    <w:r w:rsidR="00235853">
      <w:rPr>
        <w:rStyle w:val="PageNumber"/>
      </w:rPr>
      <w:t xml:space="preserve"> </w:t>
    </w:r>
    <w:r w:rsidR="00334ADB">
      <w:t>| 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91E31" w14:textId="77777777" w:rsidR="00F84D64" w:rsidRDefault="00F84D64" w:rsidP="00235853">
      <w:r>
        <w:separator/>
      </w:r>
    </w:p>
  </w:footnote>
  <w:footnote w:type="continuationSeparator" w:id="0">
    <w:p w14:paraId="2FE43037" w14:textId="77777777" w:rsidR="00F84D64" w:rsidRDefault="00F84D64" w:rsidP="00235853">
      <w:r>
        <w:continuationSeparator/>
      </w:r>
    </w:p>
  </w:footnote>
  <w:footnote w:id="1">
    <w:p w14:paraId="643FD043" w14:textId="77777777" w:rsidR="0092465C" w:rsidRPr="00112758" w:rsidRDefault="0092465C" w:rsidP="00112758">
      <w:pPr>
        <w:pStyle w:val="Footer"/>
        <w:rPr>
          <w:sz w:val="20"/>
          <w:szCs w:val="20"/>
        </w:rPr>
      </w:pPr>
      <w:r w:rsidRPr="00112758">
        <w:rPr>
          <w:sz w:val="20"/>
          <w:szCs w:val="20"/>
          <w:vertAlign w:val="superscript"/>
        </w:rPr>
        <w:footnoteRef/>
      </w:r>
      <w:r w:rsidRPr="00112758">
        <w:rPr>
          <w:sz w:val="20"/>
          <w:szCs w:val="20"/>
        </w:rPr>
        <w:t xml:space="preserve"> Stewart v Metro North Hospital and Health Service [2025] HCA 34 (‘Stewart’). </w:t>
      </w:r>
    </w:p>
  </w:footnote>
  <w:footnote w:id="2">
    <w:p w14:paraId="7F258FF9" w14:textId="77777777" w:rsidR="0092465C" w:rsidRPr="00112758" w:rsidRDefault="0092465C" w:rsidP="00112758">
      <w:pPr>
        <w:pStyle w:val="Footer"/>
        <w:rPr>
          <w:sz w:val="20"/>
          <w:szCs w:val="20"/>
        </w:rPr>
      </w:pPr>
      <w:r w:rsidRPr="00112758">
        <w:rPr>
          <w:sz w:val="20"/>
          <w:szCs w:val="20"/>
          <w:vertAlign w:val="superscript"/>
        </w:rPr>
        <w:footnoteRef/>
      </w:r>
      <w:r w:rsidRPr="00112758">
        <w:rPr>
          <w:sz w:val="20"/>
          <w:szCs w:val="20"/>
        </w:rPr>
        <w:t xml:space="preserve"> Ibid. </w:t>
      </w:r>
    </w:p>
  </w:footnote>
  <w:footnote w:id="3">
    <w:p w14:paraId="5F114A67" w14:textId="77777777" w:rsidR="0092465C" w:rsidRPr="00112758" w:rsidRDefault="0092465C" w:rsidP="00112758">
      <w:pPr>
        <w:pStyle w:val="Footer"/>
        <w:rPr>
          <w:sz w:val="20"/>
          <w:szCs w:val="20"/>
        </w:rPr>
      </w:pPr>
      <w:r w:rsidRPr="00112758">
        <w:rPr>
          <w:sz w:val="20"/>
          <w:szCs w:val="20"/>
          <w:vertAlign w:val="superscript"/>
        </w:rPr>
        <w:footnoteRef/>
      </w:r>
      <w:r w:rsidRPr="00112758">
        <w:rPr>
          <w:sz w:val="20"/>
          <w:szCs w:val="20"/>
        </w:rPr>
        <w:t xml:space="preserve"> Ibid [2] - [5]. </w:t>
      </w:r>
    </w:p>
  </w:footnote>
  <w:footnote w:id="4">
    <w:p w14:paraId="35603081" w14:textId="77777777" w:rsidR="0092465C" w:rsidRPr="00112758" w:rsidRDefault="0092465C" w:rsidP="00112758">
      <w:pPr>
        <w:pStyle w:val="Footer"/>
        <w:rPr>
          <w:sz w:val="20"/>
          <w:szCs w:val="20"/>
        </w:rPr>
      </w:pPr>
      <w:r w:rsidRPr="00112758">
        <w:rPr>
          <w:sz w:val="20"/>
          <w:szCs w:val="20"/>
          <w:vertAlign w:val="superscript"/>
        </w:rPr>
        <w:footnoteRef/>
      </w:r>
      <w:r w:rsidRPr="00112758">
        <w:rPr>
          <w:sz w:val="20"/>
          <w:szCs w:val="20"/>
        </w:rPr>
        <w:t xml:space="preserve"> Ibid [7].  </w:t>
      </w:r>
    </w:p>
  </w:footnote>
  <w:footnote w:id="5">
    <w:p w14:paraId="46318B98" w14:textId="77777777" w:rsidR="0092465C" w:rsidRPr="00112758" w:rsidRDefault="0092465C" w:rsidP="00112758">
      <w:pPr>
        <w:pStyle w:val="Footer"/>
        <w:rPr>
          <w:sz w:val="20"/>
          <w:szCs w:val="20"/>
        </w:rPr>
      </w:pPr>
      <w:r w:rsidRPr="00112758">
        <w:rPr>
          <w:sz w:val="20"/>
          <w:szCs w:val="20"/>
          <w:vertAlign w:val="superscript"/>
        </w:rPr>
        <w:footnoteRef/>
      </w:r>
      <w:r w:rsidRPr="00112758">
        <w:rPr>
          <w:sz w:val="20"/>
          <w:szCs w:val="20"/>
        </w:rPr>
        <w:t xml:space="preserve"> Ibid [8] - [9]. </w:t>
      </w:r>
    </w:p>
  </w:footnote>
  <w:footnote w:id="6">
    <w:p w14:paraId="75C5320A" w14:textId="77777777" w:rsidR="0092465C" w:rsidRPr="00112758" w:rsidRDefault="0092465C" w:rsidP="00112758">
      <w:pPr>
        <w:pStyle w:val="Footer"/>
        <w:rPr>
          <w:sz w:val="20"/>
          <w:szCs w:val="20"/>
        </w:rPr>
      </w:pPr>
      <w:r w:rsidRPr="00112758">
        <w:rPr>
          <w:sz w:val="20"/>
          <w:szCs w:val="20"/>
          <w:vertAlign w:val="superscript"/>
        </w:rPr>
        <w:footnoteRef/>
      </w:r>
      <w:r w:rsidRPr="00112758">
        <w:rPr>
          <w:sz w:val="20"/>
          <w:szCs w:val="20"/>
        </w:rPr>
        <w:t xml:space="preserve"> Ibid [11].  </w:t>
      </w:r>
    </w:p>
  </w:footnote>
  <w:footnote w:id="7">
    <w:p w14:paraId="291D9216" w14:textId="77777777" w:rsidR="0092465C" w:rsidRPr="00112758" w:rsidRDefault="0092465C" w:rsidP="00112758">
      <w:pPr>
        <w:pStyle w:val="Footer"/>
        <w:rPr>
          <w:sz w:val="20"/>
          <w:szCs w:val="20"/>
        </w:rPr>
      </w:pPr>
      <w:r w:rsidRPr="00112758">
        <w:rPr>
          <w:sz w:val="20"/>
          <w:szCs w:val="20"/>
          <w:vertAlign w:val="superscript"/>
        </w:rPr>
        <w:footnoteRef/>
      </w:r>
      <w:r w:rsidRPr="00112758">
        <w:rPr>
          <w:sz w:val="20"/>
          <w:szCs w:val="20"/>
        </w:rPr>
        <w:t xml:space="preserve"> Civil Liability Act 2–3 (</w:t>
      </w:r>
      <w:proofErr w:type="spellStart"/>
      <w:r w:rsidRPr="00112758">
        <w:rPr>
          <w:sz w:val="20"/>
          <w:szCs w:val="20"/>
        </w:rPr>
        <w:t>Qld</w:t>
      </w:r>
      <w:proofErr w:type="spellEnd"/>
      <w:r w:rsidRPr="00112758">
        <w:rPr>
          <w:sz w:val="20"/>
          <w:szCs w:val="20"/>
        </w:rPr>
        <w:t xml:space="preserve">) s 59. </w:t>
      </w:r>
    </w:p>
  </w:footnote>
  <w:footnote w:id="8">
    <w:p w14:paraId="6E7A1168" w14:textId="77777777" w:rsidR="0092465C" w:rsidRPr="00112758" w:rsidRDefault="0092465C" w:rsidP="00112758">
      <w:pPr>
        <w:pStyle w:val="Footer"/>
        <w:rPr>
          <w:sz w:val="20"/>
          <w:szCs w:val="20"/>
        </w:rPr>
      </w:pPr>
      <w:r w:rsidRPr="00112758">
        <w:rPr>
          <w:sz w:val="20"/>
          <w:szCs w:val="20"/>
          <w:vertAlign w:val="superscript"/>
        </w:rPr>
        <w:footnoteRef/>
      </w:r>
      <w:r w:rsidRPr="00112758">
        <w:rPr>
          <w:sz w:val="20"/>
          <w:szCs w:val="20"/>
        </w:rPr>
        <w:t xml:space="preserve"> Ibid [14] - [16].  </w:t>
      </w:r>
    </w:p>
  </w:footnote>
  <w:footnote w:id="9">
    <w:p w14:paraId="5BFAC48E" w14:textId="77777777" w:rsidR="0092465C" w:rsidRPr="00112758" w:rsidRDefault="0092465C" w:rsidP="00112758">
      <w:pPr>
        <w:pStyle w:val="Footer"/>
        <w:rPr>
          <w:sz w:val="20"/>
          <w:szCs w:val="20"/>
        </w:rPr>
      </w:pPr>
      <w:r w:rsidRPr="00112758">
        <w:rPr>
          <w:sz w:val="20"/>
          <w:szCs w:val="20"/>
          <w:vertAlign w:val="superscript"/>
        </w:rPr>
        <w:footnoteRef/>
      </w:r>
      <w:r w:rsidRPr="00112758">
        <w:rPr>
          <w:sz w:val="20"/>
          <w:szCs w:val="20"/>
        </w:rPr>
        <w:t xml:space="preserve"> </w:t>
      </w:r>
      <w:r w:rsidRPr="00112758">
        <w:rPr>
          <w:i/>
          <w:iCs/>
          <w:sz w:val="20"/>
          <w:szCs w:val="20"/>
        </w:rPr>
        <w:t>Stewart</w:t>
      </w:r>
      <w:r w:rsidRPr="00112758">
        <w:rPr>
          <w:sz w:val="20"/>
          <w:szCs w:val="20"/>
        </w:rPr>
        <w:t xml:space="preserve"> [2025] HCA 34, [14].</w:t>
      </w:r>
    </w:p>
  </w:footnote>
  <w:footnote w:id="10">
    <w:p w14:paraId="3E536C81" w14:textId="77777777" w:rsidR="0092465C" w:rsidRPr="00112758" w:rsidRDefault="0092465C" w:rsidP="00112758">
      <w:pPr>
        <w:pStyle w:val="Footer"/>
        <w:rPr>
          <w:sz w:val="20"/>
          <w:szCs w:val="20"/>
        </w:rPr>
      </w:pPr>
      <w:r w:rsidRPr="00112758">
        <w:rPr>
          <w:sz w:val="20"/>
          <w:szCs w:val="20"/>
          <w:vertAlign w:val="superscript"/>
        </w:rPr>
        <w:footnoteRef/>
      </w:r>
      <w:r w:rsidRPr="00112758">
        <w:rPr>
          <w:sz w:val="20"/>
          <w:szCs w:val="20"/>
        </w:rPr>
        <w:t xml:space="preserve"> '</w:t>
      </w:r>
      <w:r w:rsidRPr="00112758">
        <w:rPr>
          <w:i/>
          <w:iCs/>
          <w:sz w:val="20"/>
          <w:szCs w:val="20"/>
        </w:rPr>
        <w:t xml:space="preserve">Sharman v Evans </w:t>
      </w:r>
      <w:r w:rsidRPr="00112758">
        <w:rPr>
          <w:sz w:val="20"/>
          <w:szCs w:val="20"/>
        </w:rPr>
        <w:t>(1977) 138 CLR 563 ('</w:t>
      </w:r>
      <w:r w:rsidRPr="00112758">
        <w:rPr>
          <w:i/>
          <w:iCs/>
          <w:sz w:val="20"/>
          <w:szCs w:val="20"/>
        </w:rPr>
        <w:t>Sharman</w:t>
      </w:r>
      <w:r w:rsidRPr="00112758">
        <w:rPr>
          <w:sz w:val="20"/>
          <w:szCs w:val="20"/>
        </w:rPr>
        <w:t>').</w:t>
      </w:r>
    </w:p>
  </w:footnote>
  <w:footnote w:id="11">
    <w:p w14:paraId="21766070" w14:textId="77777777" w:rsidR="0092465C" w:rsidRPr="00112758" w:rsidRDefault="0092465C" w:rsidP="00112758">
      <w:pPr>
        <w:pStyle w:val="Footer"/>
        <w:rPr>
          <w:sz w:val="20"/>
          <w:szCs w:val="20"/>
        </w:rPr>
      </w:pPr>
      <w:r w:rsidRPr="00112758">
        <w:rPr>
          <w:sz w:val="20"/>
          <w:szCs w:val="20"/>
          <w:vertAlign w:val="superscript"/>
        </w:rPr>
        <w:footnoteRef/>
      </w:r>
      <w:r w:rsidRPr="00112758">
        <w:rPr>
          <w:sz w:val="20"/>
          <w:szCs w:val="20"/>
        </w:rPr>
        <w:t xml:space="preserve"> </w:t>
      </w:r>
      <w:r w:rsidRPr="00112758">
        <w:rPr>
          <w:i/>
          <w:iCs/>
          <w:sz w:val="20"/>
          <w:szCs w:val="20"/>
        </w:rPr>
        <w:t>Stewart</w:t>
      </w:r>
      <w:r w:rsidRPr="00112758">
        <w:rPr>
          <w:sz w:val="20"/>
          <w:szCs w:val="20"/>
        </w:rPr>
        <w:t xml:space="preserve"> [2025] HCA 34, [18]-[19]. </w:t>
      </w:r>
    </w:p>
  </w:footnote>
  <w:footnote w:id="12">
    <w:p w14:paraId="555E7EC7" w14:textId="77777777" w:rsidR="0092465C" w:rsidRPr="00112758" w:rsidRDefault="0092465C" w:rsidP="00112758">
      <w:pPr>
        <w:pStyle w:val="Footer"/>
        <w:rPr>
          <w:sz w:val="20"/>
          <w:szCs w:val="20"/>
        </w:rPr>
      </w:pPr>
      <w:r w:rsidRPr="00112758">
        <w:rPr>
          <w:sz w:val="20"/>
          <w:szCs w:val="20"/>
          <w:vertAlign w:val="superscript"/>
        </w:rPr>
        <w:footnoteRef/>
      </w:r>
      <w:r w:rsidRPr="00112758">
        <w:rPr>
          <w:sz w:val="20"/>
          <w:szCs w:val="20"/>
        </w:rPr>
        <w:t xml:space="preserve"> Ibid [24]-[25].</w:t>
      </w:r>
    </w:p>
  </w:footnote>
  <w:footnote w:id="13">
    <w:p w14:paraId="25328D2F" w14:textId="77777777" w:rsidR="0092465C" w:rsidRPr="00112758" w:rsidRDefault="0092465C" w:rsidP="00112758">
      <w:pPr>
        <w:pStyle w:val="Footer"/>
        <w:rPr>
          <w:sz w:val="20"/>
          <w:szCs w:val="20"/>
        </w:rPr>
      </w:pPr>
      <w:r w:rsidRPr="00112758">
        <w:rPr>
          <w:sz w:val="20"/>
          <w:szCs w:val="20"/>
          <w:vertAlign w:val="superscript"/>
        </w:rPr>
        <w:footnoteRef/>
      </w:r>
      <w:r w:rsidRPr="00112758">
        <w:rPr>
          <w:sz w:val="20"/>
          <w:szCs w:val="20"/>
        </w:rPr>
        <w:t xml:space="preserve"> Ibid [28]. </w:t>
      </w:r>
    </w:p>
  </w:footnote>
  <w:footnote w:id="14">
    <w:p w14:paraId="1F5F0557" w14:textId="77777777" w:rsidR="0092465C" w:rsidRPr="00112758" w:rsidRDefault="0092465C" w:rsidP="00112758">
      <w:pPr>
        <w:pStyle w:val="Footer"/>
        <w:rPr>
          <w:sz w:val="20"/>
          <w:szCs w:val="20"/>
        </w:rPr>
      </w:pPr>
      <w:r w:rsidRPr="00112758">
        <w:rPr>
          <w:sz w:val="20"/>
          <w:szCs w:val="20"/>
          <w:vertAlign w:val="superscript"/>
        </w:rPr>
        <w:footnoteRef/>
      </w:r>
      <w:r w:rsidRPr="00112758">
        <w:rPr>
          <w:sz w:val="20"/>
          <w:szCs w:val="20"/>
        </w:rPr>
        <w:t xml:space="preserve"> Ibid [33]-[35].</w:t>
      </w:r>
    </w:p>
  </w:footnote>
  <w:footnote w:id="15">
    <w:p w14:paraId="1B5C961A" w14:textId="77777777" w:rsidR="0092465C" w:rsidRPr="00112758" w:rsidRDefault="0092465C" w:rsidP="00112758">
      <w:pPr>
        <w:pStyle w:val="Footer"/>
        <w:rPr>
          <w:sz w:val="20"/>
          <w:szCs w:val="20"/>
        </w:rPr>
      </w:pPr>
      <w:r w:rsidRPr="00112758">
        <w:rPr>
          <w:sz w:val="20"/>
          <w:szCs w:val="20"/>
          <w:vertAlign w:val="superscript"/>
        </w:rPr>
        <w:footnoteRef/>
      </w:r>
      <w:r w:rsidRPr="00112758">
        <w:rPr>
          <w:sz w:val="20"/>
          <w:szCs w:val="20"/>
        </w:rPr>
        <w:t xml:space="preserve"> Ibid [36]. </w:t>
      </w:r>
    </w:p>
  </w:footnote>
  <w:footnote w:id="16">
    <w:p w14:paraId="49F71F76" w14:textId="77777777" w:rsidR="0092465C" w:rsidRPr="00112758" w:rsidRDefault="0092465C" w:rsidP="00112758">
      <w:pPr>
        <w:pStyle w:val="Footer"/>
        <w:rPr>
          <w:sz w:val="20"/>
          <w:szCs w:val="20"/>
        </w:rPr>
      </w:pPr>
      <w:r w:rsidRPr="00112758">
        <w:rPr>
          <w:sz w:val="20"/>
          <w:szCs w:val="20"/>
          <w:vertAlign w:val="superscript"/>
        </w:rPr>
        <w:footnoteRef/>
      </w:r>
      <w:r w:rsidRPr="00112758">
        <w:rPr>
          <w:sz w:val="20"/>
          <w:szCs w:val="20"/>
        </w:rPr>
        <w:t xml:space="preserve"> Ibid [50]. </w:t>
      </w:r>
    </w:p>
  </w:footnote>
  <w:footnote w:id="17">
    <w:p w14:paraId="287EDEAA" w14:textId="77777777" w:rsidR="0092465C" w:rsidRPr="00112758" w:rsidRDefault="0092465C" w:rsidP="00112758">
      <w:pPr>
        <w:pStyle w:val="Footer"/>
        <w:rPr>
          <w:sz w:val="20"/>
          <w:szCs w:val="20"/>
        </w:rPr>
      </w:pPr>
      <w:r w:rsidRPr="00112758">
        <w:rPr>
          <w:sz w:val="20"/>
          <w:szCs w:val="20"/>
          <w:vertAlign w:val="superscript"/>
        </w:rPr>
        <w:footnoteRef/>
      </w:r>
      <w:r w:rsidRPr="00112758">
        <w:rPr>
          <w:sz w:val="20"/>
          <w:szCs w:val="20"/>
        </w:rPr>
        <w:t xml:space="preserve"> Stewart [2025] HCA 34, [42]-[44]. </w:t>
      </w:r>
    </w:p>
  </w:footnote>
  <w:footnote w:id="18">
    <w:p w14:paraId="2630EFB5" w14:textId="77777777" w:rsidR="0092465C" w:rsidRPr="00112758" w:rsidRDefault="0092465C" w:rsidP="00112758">
      <w:pPr>
        <w:pStyle w:val="Footer"/>
        <w:rPr>
          <w:sz w:val="20"/>
          <w:szCs w:val="20"/>
        </w:rPr>
      </w:pPr>
      <w:r w:rsidRPr="00112758">
        <w:rPr>
          <w:sz w:val="20"/>
          <w:szCs w:val="20"/>
          <w:vertAlign w:val="superscript"/>
        </w:rPr>
        <w:footnoteRef/>
      </w:r>
      <w:r w:rsidRPr="00112758">
        <w:rPr>
          <w:sz w:val="20"/>
          <w:szCs w:val="20"/>
        </w:rPr>
        <w:t xml:space="preserve"> Ibid [45].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08B"/>
    <w:rsid w:val="00014C97"/>
    <w:rsid w:val="00040BBC"/>
    <w:rsid w:val="0007301A"/>
    <w:rsid w:val="0008172E"/>
    <w:rsid w:val="000A4193"/>
    <w:rsid w:val="000A7F76"/>
    <w:rsid w:val="000B2023"/>
    <w:rsid w:val="000B673C"/>
    <w:rsid w:val="000D128E"/>
    <w:rsid w:val="000F108B"/>
    <w:rsid w:val="00111C95"/>
    <w:rsid w:val="00112758"/>
    <w:rsid w:val="00134090"/>
    <w:rsid w:val="00137E3E"/>
    <w:rsid w:val="00147DC9"/>
    <w:rsid w:val="00166E10"/>
    <w:rsid w:val="00175486"/>
    <w:rsid w:val="00177403"/>
    <w:rsid w:val="001A3BD0"/>
    <w:rsid w:val="001B7DFD"/>
    <w:rsid w:val="001C6A9D"/>
    <w:rsid w:val="001F059D"/>
    <w:rsid w:val="001F21E4"/>
    <w:rsid w:val="001F7F8C"/>
    <w:rsid w:val="0020659A"/>
    <w:rsid w:val="002103E6"/>
    <w:rsid w:val="0021596B"/>
    <w:rsid w:val="00220042"/>
    <w:rsid w:val="0023078B"/>
    <w:rsid w:val="00235853"/>
    <w:rsid w:val="00240E95"/>
    <w:rsid w:val="00261B2E"/>
    <w:rsid w:val="00262BED"/>
    <w:rsid w:val="0027444B"/>
    <w:rsid w:val="00285268"/>
    <w:rsid w:val="00294CA4"/>
    <w:rsid w:val="002D6AA4"/>
    <w:rsid w:val="002F23C0"/>
    <w:rsid w:val="00300E0C"/>
    <w:rsid w:val="0032017D"/>
    <w:rsid w:val="00334ADB"/>
    <w:rsid w:val="00341B1E"/>
    <w:rsid w:val="00344A17"/>
    <w:rsid w:val="00356093"/>
    <w:rsid w:val="003A02E1"/>
    <w:rsid w:val="003A1CFB"/>
    <w:rsid w:val="003B7C76"/>
    <w:rsid w:val="003C2E5F"/>
    <w:rsid w:val="003E43B4"/>
    <w:rsid w:val="003E7BC4"/>
    <w:rsid w:val="00404131"/>
    <w:rsid w:val="00405FCE"/>
    <w:rsid w:val="004428B7"/>
    <w:rsid w:val="00454AE5"/>
    <w:rsid w:val="0046317F"/>
    <w:rsid w:val="00464656"/>
    <w:rsid w:val="0046610A"/>
    <w:rsid w:val="00480B5D"/>
    <w:rsid w:val="00482078"/>
    <w:rsid w:val="00483774"/>
    <w:rsid w:val="00483FDC"/>
    <w:rsid w:val="004A5C06"/>
    <w:rsid w:val="004D2AC4"/>
    <w:rsid w:val="004D4240"/>
    <w:rsid w:val="004E3D64"/>
    <w:rsid w:val="004E66C5"/>
    <w:rsid w:val="004F4891"/>
    <w:rsid w:val="00531BB6"/>
    <w:rsid w:val="00553DD0"/>
    <w:rsid w:val="00564DFA"/>
    <w:rsid w:val="00571DCD"/>
    <w:rsid w:val="00580005"/>
    <w:rsid w:val="00580B86"/>
    <w:rsid w:val="0058507A"/>
    <w:rsid w:val="00596E11"/>
    <w:rsid w:val="005A2FB7"/>
    <w:rsid w:val="005A6F4D"/>
    <w:rsid w:val="005D092F"/>
    <w:rsid w:val="005E1FFE"/>
    <w:rsid w:val="00601F4E"/>
    <w:rsid w:val="00602F53"/>
    <w:rsid w:val="006059CA"/>
    <w:rsid w:val="00610E85"/>
    <w:rsid w:val="00613015"/>
    <w:rsid w:val="006137B4"/>
    <w:rsid w:val="00621706"/>
    <w:rsid w:val="00630E92"/>
    <w:rsid w:val="00630EB4"/>
    <w:rsid w:val="00634D86"/>
    <w:rsid w:val="00691C4F"/>
    <w:rsid w:val="006B0791"/>
    <w:rsid w:val="006B7BEF"/>
    <w:rsid w:val="006C0C11"/>
    <w:rsid w:val="006C458F"/>
    <w:rsid w:val="006F60E7"/>
    <w:rsid w:val="006F651C"/>
    <w:rsid w:val="00714231"/>
    <w:rsid w:val="00727A61"/>
    <w:rsid w:val="0076135F"/>
    <w:rsid w:val="0076785F"/>
    <w:rsid w:val="007769FF"/>
    <w:rsid w:val="007969BD"/>
    <w:rsid w:val="007A4BF8"/>
    <w:rsid w:val="007B1D20"/>
    <w:rsid w:val="007B71B0"/>
    <w:rsid w:val="007C4F96"/>
    <w:rsid w:val="007D2217"/>
    <w:rsid w:val="007F17E8"/>
    <w:rsid w:val="00805941"/>
    <w:rsid w:val="00806120"/>
    <w:rsid w:val="0080654C"/>
    <w:rsid w:val="008132C3"/>
    <w:rsid w:val="008215DC"/>
    <w:rsid w:val="00840943"/>
    <w:rsid w:val="00843BE6"/>
    <w:rsid w:val="0085433B"/>
    <w:rsid w:val="00893441"/>
    <w:rsid w:val="008A391C"/>
    <w:rsid w:val="008B0CF6"/>
    <w:rsid w:val="008B7194"/>
    <w:rsid w:val="008B7902"/>
    <w:rsid w:val="008F57CF"/>
    <w:rsid w:val="008F611E"/>
    <w:rsid w:val="009035F2"/>
    <w:rsid w:val="009142C9"/>
    <w:rsid w:val="0092465C"/>
    <w:rsid w:val="00924A66"/>
    <w:rsid w:val="00930211"/>
    <w:rsid w:val="0093046D"/>
    <w:rsid w:val="00944B71"/>
    <w:rsid w:val="009470FA"/>
    <w:rsid w:val="0095632F"/>
    <w:rsid w:val="00962EBB"/>
    <w:rsid w:val="009929D2"/>
    <w:rsid w:val="00997C34"/>
    <w:rsid w:val="009C531C"/>
    <w:rsid w:val="009D06C6"/>
    <w:rsid w:val="009E1A7D"/>
    <w:rsid w:val="00A01517"/>
    <w:rsid w:val="00A03A12"/>
    <w:rsid w:val="00A0638E"/>
    <w:rsid w:val="00A502FB"/>
    <w:rsid w:val="00A540EA"/>
    <w:rsid w:val="00A830C0"/>
    <w:rsid w:val="00A97FC9"/>
    <w:rsid w:val="00AA3760"/>
    <w:rsid w:val="00AA67FB"/>
    <w:rsid w:val="00AD2504"/>
    <w:rsid w:val="00B02D14"/>
    <w:rsid w:val="00B15DDE"/>
    <w:rsid w:val="00B33213"/>
    <w:rsid w:val="00B46C49"/>
    <w:rsid w:val="00B70BCA"/>
    <w:rsid w:val="00B832BA"/>
    <w:rsid w:val="00B868C3"/>
    <w:rsid w:val="00B97C02"/>
    <w:rsid w:val="00BA00F7"/>
    <w:rsid w:val="00BB66EB"/>
    <w:rsid w:val="00BC443F"/>
    <w:rsid w:val="00BC6547"/>
    <w:rsid w:val="00BD62C4"/>
    <w:rsid w:val="00BE5553"/>
    <w:rsid w:val="00C00C1E"/>
    <w:rsid w:val="00C41993"/>
    <w:rsid w:val="00C60E41"/>
    <w:rsid w:val="00C63EA7"/>
    <w:rsid w:val="00C65049"/>
    <w:rsid w:val="00C8782D"/>
    <w:rsid w:val="00C94C21"/>
    <w:rsid w:val="00CB7B0F"/>
    <w:rsid w:val="00CE2659"/>
    <w:rsid w:val="00D1061C"/>
    <w:rsid w:val="00D30760"/>
    <w:rsid w:val="00D5782C"/>
    <w:rsid w:val="00D67988"/>
    <w:rsid w:val="00D710BA"/>
    <w:rsid w:val="00D74462"/>
    <w:rsid w:val="00D75D0F"/>
    <w:rsid w:val="00D774EF"/>
    <w:rsid w:val="00D94C07"/>
    <w:rsid w:val="00DC1F28"/>
    <w:rsid w:val="00DE365C"/>
    <w:rsid w:val="00DE7698"/>
    <w:rsid w:val="00DF314C"/>
    <w:rsid w:val="00E00CF1"/>
    <w:rsid w:val="00E0232C"/>
    <w:rsid w:val="00E030D6"/>
    <w:rsid w:val="00E160C6"/>
    <w:rsid w:val="00E179B4"/>
    <w:rsid w:val="00E23ACE"/>
    <w:rsid w:val="00E35F81"/>
    <w:rsid w:val="00E45958"/>
    <w:rsid w:val="00E6116E"/>
    <w:rsid w:val="00E6236F"/>
    <w:rsid w:val="00E660C7"/>
    <w:rsid w:val="00E95486"/>
    <w:rsid w:val="00EC40F3"/>
    <w:rsid w:val="00EF6D7D"/>
    <w:rsid w:val="00EF7F99"/>
    <w:rsid w:val="00F05EA0"/>
    <w:rsid w:val="00F1081F"/>
    <w:rsid w:val="00F15FF2"/>
    <w:rsid w:val="00F166DC"/>
    <w:rsid w:val="00F22977"/>
    <w:rsid w:val="00F3602A"/>
    <w:rsid w:val="00F52A96"/>
    <w:rsid w:val="00F6794E"/>
    <w:rsid w:val="00F73151"/>
    <w:rsid w:val="00F74AD5"/>
    <w:rsid w:val="00F76D99"/>
    <w:rsid w:val="00F772BB"/>
    <w:rsid w:val="00F81255"/>
    <w:rsid w:val="00F84D64"/>
    <w:rsid w:val="00F972AD"/>
    <w:rsid w:val="00FA4988"/>
    <w:rsid w:val="00FA4E12"/>
    <w:rsid w:val="00FB2581"/>
    <w:rsid w:val="00FB5B18"/>
    <w:rsid w:val="00FD42E0"/>
    <w:rsid w:val="00FD531E"/>
    <w:rsid w:val="00FE034A"/>
    <w:rsid w:val="00FE62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F47C0F"/>
  <w15:chartTrackingRefBased/>
  <w15:docId w15:val="{5B7C685B-599E-F249-9F2E-FA1E023E8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5853"/>
    <w:pPr>
      <w:spacing w:after="240" w:line="360" w:lineRule="auto"/>
    </w:pPr>
    <w:rPr>
      <w:rFonts w:ascii="Times New Roman" w:hAnsi="Times New Roman" w:cs="Times New Roman"/>
    </w:rPr>
  </w:style>
  <w:style w:type="paragraph" w:styleId="Heading1">
    <w:name w:val="heading 1"/>
    <w:basedOn w:val="Normal"/>
    <w:next w:val="Normal"/>
    <w:link w:val="Heading1Char"/>
    <w:uiPriority w:val="9"/>
    <w:qFormat/>
    <w:rsid w:val="00E23ACE"/>
    <w:pPr>
      <w:jc w:val="center"/>
      <w:outlineLvl w:val="0"/>
    </w:pPr>
    <w:rPr>
      <w:b/>
      <w:bCs/>
      <w:color w:val="000000" w:themeColor="text1"/>
      <w:sz w:val="28"/>
      <w:szCs w:val="28"/>
    </w:rPr>
  </w:style>
  <w:style w:type="paragraph" w:styleId="Heading2">
    <w:name w:val="heading 2"/>
    <w:basedOn w:val="Normal"/>
    <w:next w:val="Normal"/>
    <w:link w:val="Heading2Char"/>
    <w:uiPriority w:val="9"/>
    <w:unhideWhenUsed/>
    <w:qFormat/>
    <w:rsid w:val="00235853"/>
    <w:pPr>
      <w:outlineLvl w:val="1"/>
    </w:pPr>
    <w:rPr>
      <w:u w:val="single"/>
    </w:rPr>
  </w:style>
  <w:style w:type="paragraph" w:styleId="Heading3">
    <w:name w:val="heading 3"/>
    <w:basedOn w:val="Normal"/>
    <w:next w:val="Normal"/>
    <w:link w:val="Heading3Char"/>
    <w:uiPriority w:val="9"/>
    <w:semiHidden/>
    <w:unhideWhenUsed/>
    <w:qFormat/>
    <w:rsid w:val="000F10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10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10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108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108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108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108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3ACE"/>
    <w:rPr>
      <w:rFonts w:ascii="Times New Roman" w:hAnsi="Times New Roman" w:cs="Times New Roman"/>
      <w:b/>
      <w:bCs/>
      <w:color w:val="000000" w:themeColor="text1"/>
      <w:sz w:val="28"/>
      <w:szCs w:val="28"/>
    </w:rPr>
  </w:style>
  <w:style w:type="character" w:customStyle="1" w:styleId="Heading2Char">
    <w:name w:val="Heading 2 Char"/>
    <w:basedOn w:val="DefaultParagraphFont"/>
    <w:link w:val="Heading2"/>
    <w:uiPriority w:val="9"/>
    <w:rsid w:val="00235853"/>
    <w:rPr>
      <w:rFonts w:ascii="Times New Roman" w:hAnsi="Times New Roman" w:cs="Times New Roman"/>
      <w:u w:val="single"/>
    </w:rPr>
  </w:style>
  <w:style w:type="character" w:customStyle="1" w:styleId="Heading3Char">
    <w:name w:val="Heading 3 Char"/>
    <w:basedOn w:val="DefaultParagraphFont"/>
    <w:link w:val="Heading3"/>
    <w:uiPriority w:val="9"/>
    <w:semiHidden/>
    <w:rsid w:val="000F10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10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10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10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10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10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108B"/>
    <w:rPr>
      <w:rFonts w:eastAsiaTheme="majorEastAsia" w:cstheme="majorBidi"/>
      <w:color w:val="272727" w:themeColor="text1" w:themeTint="D8"/>
    </w:rPr>
  </w:style>
  <w:style w:type="paragraph" w:styleId="Title">
    <w:name w:val="Title"/>
    <w:basedOn w:val="Normal"/>
    <w:next w:val="Normal"/>
    <w:link w:val="TitleChar"/>
    <w:uiPriority w:val="10"/>
    <w:qFormat/>
    <w:rsid w:val="001C6A9D"/>
    <w:pPr>
      <w:jc w:val="center"/>
    </w:pPr>
    <w:rPr>
      <w:color w:val="FFFFFF" w:themeColor="background1"/>
      <w:sz w:val="48"/>
      <w:szCs w:val="48"/>
    </w:rPr>
  </w:style>
  <w:style w:type="character" w:customStyle="1" w:styleId="TitleChar">
    <w:name w:val="Title Char"/>
    <w:basedOn w:val="DefaultParagraphFont"/>
    <w:link w:val="Title"/>
    <w:uiPriority w:val="10"/>
    <w:rsid w:val="001C6A9D"/>
    <w:rPr>
      <w:rFonts w:ascii="Times New Roman" w:hAnsi="Times New Roman" w:cs="Times New Roman"/>
      <w:color w:val="FFFFFF" w:themeColor="background1"/>
      <w:sz w:val="48"/>
      <w:szCs w:val="48"/>
    </w:rPr>
  </w:style>
  <w:style w:type="paragraph" w:styleId="Subtitle">
    <w:name w:val="Subtitle"/>
    <w:basedOn w:val="Normal"/>
    <w:next w:val="Normal"/>
    <w:link w:val="SubtitleChar"/>
    <w:uiPriority w:val="11"/>
    <w:qFormat/>
    <w:rsid w:val="00262BED"/>
    <w:pPr>
      <w:spacing w:after="0"/>
      <w:jc w:val="center"/>
    </w:pPr>
    <w:rPr>
      <w:i/>
      <w:iCs/>
      <w:color w:val="FFFFFF" w:themeColor="background1"/>
      <w:sz w:val="36"/>
      <w:szCs w:val="36"/>
    </w:rPr>
  </w:style>
  <w:style w:type="character" w:customStyle="1" w:styleId="SubtitleChar">
    <w:name w:val="Subtitle Char"/>
    <w:basedOn w:val="DefaultParagraphFont"/>
    <w:link w:val="Subtitle"/>
    <w:uiPriority w:val="11"/>
    <w:rsid w:val="00262BED"/>
    <w:rPr>
      <w:rFonts w:ascii="Times New Roman" w:hAnsi="Times New Roman" w:cs="Times New Roman"/>
      <w:i/>
      <w:iCs/>
      <w:color w:val="FFFFFF" w:themeColor="background1"/>
      <w:sz w:val="36"/>
      <w:szCs w:val="36"/>
    </w:rPr>
  </w:style>
  <w:style w:type="paragraph" w:styleId="Quote">
    <w:name w:val="Quote"/>
    <w:basedOn w:val="Normal"/>
    <w:next w:val="Normal"/>
    <w:link w:val="QuoteChar"/>
    <w:uiPriority w:val="29"/>
    <w:qFormat/>
    <w:rsid w:val="000F108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F108B"/>
    <w:rPr>
      <w:i/>
      <w:iCs/>
      <w:color w:val="404040" w:themeColor="text1" w:themeTint="BF"/>
    </w:rPr>
  </w:style>
  <w:style w:type="paragraph" w:styleId="ListParagraph">
    <w:name w:val="List Paragraph"/>
    <w:basedOn w:val="Normal"/>
    <w:uiPriority w:val="34"/>
    <w:qFormat/>
    <w:rsid w:val="000F108B"/>
    <w:pPr>
      <w:ind w:left="720"/>
      <w:contextualSpacing/>
    </w:pPr>
  </w:style>
  <w:style w:type="character" w:styleId="IntenseEmphasis">
    <w:name w:val="Intense Emphasis"/>
    <w:basedOn w:val="DefaultParagraphFont"/>
    <w:uiPriority w:val="21"/>
    <w:qFormat/>
    <w:rsid w:val="000F108B"/>
    <w:rPr>
      <w:i/>
      <w:iCs/>
      <w:color w:val="0F4761" w:themeColor="accent1" w:themeShade="BF"/>
    </w:rPr>
  </w:style>
  <w:style w:type="paragraph" w:styleId="IntenseQuote">
    <w:name w:val="Intense Quote"/>
    <w:basedOn w:val="Normal"/>
    <w:next w:val="Normal"/>
    <w:link w:val="IntenseQuoteChar"/>
    <w:uiPriority w:val="30"/>
    <w:qFormat/>
    <w:rsid w:val="000F10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108B"/>
    <w:rPr>
      <w:i/>
      <w:iCs/>
      <w:color w:val="0F4761" w:themeColor="accent1" w:themeShade="BF"/>
    </w:rPr>
  </w:style>
  <w:style w:type="character" w:styleId="IntenseReference">
    <w:name w:val="Intense Reference"/>
    <w:basedOn w:val="DefaultParagraphFont"/>
    <w:uiPriority w:val="32"/>
    <w:qFormat/>
    <w:rsid w:val="000F108B"/>
    <w:rPr>
      <w:b/>
      <w:bCs/>
      <w:smallCaps/>
      <w:color w:val="0F4761" w:themeColor="accent1" w:themeShade="BF"/>
      <w:spacing w:val="5"/>
    </w:rPr>
  </w:style>
  <w:style w:type="paragraph" w:styleId="Header">
    <w:name w:val="header"/>
    <w:basedOn w:val="Normal"/>
    <w:link w:val="HeaderChar"/>
    <w:uiPriority w:val="99"/>
    <w:unhideWhenUsed/>
    <w:rsid w:val="00334A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4ADB"/>
    <w:rPr>
      <w:rFonts w:ascii="Times New Roman" w:hAnsi="Times New Roman" w:cs="Times New Roman"/>
      <w:sz w:val="22"/>
      <w:szCs w:val="22"/>
    </w:rPr>
  </w:style>
  <w:style w:type="paragraph" w:styleId="Footer">
    <w:name w:val="footer"/>
    <w:basedOn w:val="Normal"/>
    <w:link w:val="FooterChar"/>
    <w:uiPriority w:val="99"/>
    <w:unhideWhenUsed/>
    <w:rsid w:val="00334A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4ADB"/>
    <w:rPr>
      <w:rFonts w:ascii="Times New Roman" w:hAnsi="Times New Roman" w:cs="Times New Roman"/>
      <w:sz w:val="22"/>
      <w:szCs w:val="22"/>
    </w:rPr>
  </w:style>
  <w:style w:type="character" w:styleId="PageNumber">
    <w:name w:val="page number"/>
    <w:basedOn w:val="DefaultParagraphFont"/>
    <w:uiPriority w:val="99"/>
    <w:semiHidden/>
    <w:unhideWhenUsed/>
    <w:rsid w:val="00334ADB"/>
  </w:style>
  <w:style w:type="character" w:styleId="SubtleEmphasis">
    <w:name w:val="Subtle Emphasis"/>
    <w:uiPriority w:val="19"/>
    <w:qFormat/>
    <w:rsid w:val="00E23ACE"/>
    <w:rPr>
      <w:sz w:val="24"/>
      <w:szCs w:val="24"/>
    </w:rPr>
  </w:style>
  <w:style w:type="character" w:styleId="Strong">
    <w:name w:val="Strong"/>
    <w:uiPriority w:val="22"/>
    <w:qFormat/>
    <w:rsid w:val="001C6A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A8C12E-0CC6-9048-B462-92C22EB89115}">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1201</Words>
  <Characters>6852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Macvean</dc:creator>
  <cp:keywords/>
  <dc:description/>
  <cp:lastModifiedBy>Deirdre Veneracion</cp:lastModifiedBy>
  <cp:revision>2</cp:revision>
  <dcterms:created xsi:type="dcterms:W3CDTF">2026-05-16T06:11:00Z</dcterms:created>
  <dcterms:modified xsi:type="dcterms:W3CDTF">2026-05-16T06:11:00Z</dcterms:modified>
</cp:coreProperties>
</file>