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öffentliche Ausschreibungen</w:t>
      </w:r>
    </w:p>
    <w:p>
      <w:pPr>
        <w:pStyle w:val="Subtitle"/>
      </w:pPr>
      <w:r>
        <w:t>Interne Arbeitshilfe · Erstprüfung und Anforderungen</w:t>
      </w:r>
    </w:p>
    <w:p>
      <w:r>
        <w:t>Auftrag / Los: ______________________________________________________</w:t>
      </w:r>
    </w:p>
    <w:p>
      <w:r>
        <w:t>Vergabestelle: __________________  Bearbeiter: ________________________</w:t>
      </w:r>
    </w:p>
    <w:p>
      <w:r>
        <w:t>Dokumentenstand: ______________  Angebotsfrist: ______________________</w:t>
      </w:r>
    </w:p>
    <w:p>
      <w:pPr>
        <w:pStyle w:val="SmallNote"/>
      </w:pPr>
      <w:r>
        <w:t>Datum, Uhrzeit und Zeitzone der Frist aus dem Portal übernehmen. Status: O = offen, P = in Prüfung, E = erfüllt, N = nicht erfüllt, X = nicht anwendbar. X immer begründen. Leere Felder gelten als offen.</w:t>
      </w:r>
    </w:p>
    <w:tbl>
      <w:tblPr>
        <w:tblW w:type="dxa" w:w="9640"/>
        <w:jc w:val="left"/>
        <w:tblLayout w:type="fixed"/>
        <w:tblLook w:firstColumn="1" w:firstRow="1" w:lastColumn="0" w:lastRow="0" w:noHBand="0" w:noVBand="1" w:val="04A0"/>
        <w:tblInd w:w="120" w:type="dxa"/>
        <w:tblCellMar>
          <w:top w:w="80" w:type="dxa"/>
          <w:bottom w:w="80" w:type="dxa"/>
          <w:start w:w="120" w:type="dxa"/>
          <w:end w:w="120" w:type="dxa"/>
        </w:tblCellMar>
      </w:tblPr>
      <w:tblGrid>
        <w:gridCol w:w="600"/>
        <w:gridCol w:w="6300"/>
        <w:gridCol w:w="2740"/>
      </w:tblGrid>
      <w:tr>
        <w:trPr>
          <w:cantSplit/>
          <w:tblHeader/>
        </w:trPr>
        <w:tc>
          <w:tcPr>
            <w:tcW w:type="dxa" w:w="600"/>
            <w:vAlign w:val="center"/>
            <w:shd w:fill="176D70"/>
          </w:tcPr>
          <w:p>
            <w:pPr>
              <w:pStyle w:val="TableText"/>
            </w:pPr>
            <w:r>
              <w:rPr>
                <w:b/>
                <w:color w:val="FFFFFF"/>
              </w:rPr>
              <w:t>Nr.</w:t>
            </w:r>
          </w:p>
        </w:tc>
        <w:tc>
          <w:tcPr>
            <w:tcW w:type="dxa" w:w="6300"/>
            <w:vAlign w:val="center"/>
            <w:shd w:fill="176D70"/>
          </w:tcPr>
          <w:p>
            <w:pPr>
              <w:pStyle w:val="TableText"/>
            </w:pPr>
            <w:r>
              <w:rPr>
                <w:b/>
                <w:color w:val="FFFFFF"/>
              </w:rPr>
              <w:t>Prüfschritt</w:t>
            </w:r>
          </w:p>
        </w:tc>
        <w:tc>
          <w:tcPr>
            <w:tcW w:type="dxa" w:w="2740"/>
            <w:vAlign w:val="center"/>
            <w:shd w:fill="176D70"/>
          </w:tcPr>
          <w:p>
            <w:pPr>
              <w:pStyle w:val="TableText"/>
            </w:pPr>
            <w:r>
              <w:rPr>
                <w:b/>
                <w:color w:val="FFFFFF"/>
              </w:rPr>
              <w:t>Status / eigener Nachweis</w:t>
            </w:r>
          </w:p>
        </w:tc>
      </w:tr>
      <w:tr>
        <w:trPr>
          <w:cantSplit/>
        </w:trPr>
        <w:tc>
          <w:tcPr>
            <w:tcW w:type="dxa" w:w="600"/>
            <w:vAlign w:val="center"/>
          </w:tcPr>
          <w:p>
            <w:pPr>
              <w:pStyle w:val="TableText"/>
            </w:pPr>
            <w:r>
              <w:t>01</w:t>
            </w:r>
          </w:p>
        </w:tc>
        <w:tc>
          <w:tcPr>
            <w:tcW w:type="dxa" w:w="6300"/>
            <w:vAlign w:val="center"/>
          </w:tcPr>
          <w:p>
            <w:pPr>
              <w:pStyle w:val="TableText"/>
            </w:pPr>
            <w:r>
              <w:t>Originalbekanntmachung, zuständige Plattform und richtiges Los geöffnet.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02</w:t>
            </w:r>
          </w:p>
        </w:tc>
        <w:tc>
          <w:tcPr>
            <w:tcW w:type="dxa" w:w="6300"/>
            <w:vAlign w:val="center"/>
            <w:shd w:fill="F6F8F9"/>
          </w:tcPr>
          <w:p>
            <w:pPr>
              <w:pStyle w:val="TableText"/>
            </w:pPr>
            <w:r>
              <w:t>Leistungsart und Gewerk geprüft: Lieferung, Montage, Wartung, Planung oder Kombination.</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03</w:t>
            </w:r>
          </w:p>
        </w:tc>
        <w:tc>
          <w:tcPr>
            <w:tcW w:type="dxa" w:w="6300"/>
            <w:vAlign w:val="center"/>
          </w:tcPr>
          <w:p>
            <w:pPr>
              <w:pStyle w:val="TableText"/>
            </w:pPr>
            <w:r>
              <w:t>Ausführungsort, Terminrahmen und betriebliche Kapazität geprüft.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04</w:t>
            </w:r>
          </w:p>
        </w:tc>
        <w:tc>
          <w:tcPr>
            <w:tcW w:type="dxa" w:w="6300"/>
            <w:vAlign w:val="center"/>
            <w:shd w:fill="F6F8F9"/>
          </w:tcPr>
          <w:p>
            <w:pPr>
              <w:pStyle w:val="TableText"/>
            </w:pPr>
            <w:r>
              <w:t>Sämtliche aktuellen Vergabeunterlagen und Änderungen gespeichert.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05</w:t>
            </w:r>
          </w:p>
        </w:tc>
        <w:tc>
          <w:tcPr>
            <w:tcW w:type="dxa" w:w="6300"/>
            <w:vAlign w:val="center"/>
          </w:tcPr>
          <w:p>
            <w:pPr>
              <w:pStyle w:val="TableText"/>
            </w:pPr>
            <w:r>
              <w:t>Anwendbaren Vergabe- und Vertragsrahmen aus den Unterlagen erfasst.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06</w:t>
            </w:r>
          </w:p>
        </w:tc>
        <w:tc>
          <w:tcPr>
            <w:tcW w:type="dxa" w:w="6300"/>
            <w:vAlign w:val="center"/>
            <w:shd w:fill="F6F8F9"/>
          </w:tcPr>
          <w:p>
            <w:pPr>
              <w:pStyle w:val="TableText"/>
            </w:pPr>
            <w:r>
              <w:t>Angebotsfrist mit Datum, Uhrzeit und gegebenenfalls Zeitzone notiert.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07</w:t>
            </w:r>
          </w:p>
        </w:tc>
        <w:tc>
          <w:tcPr>
            <w:tcW w:type="dxa" w:w="6300"/>
            <w:vAlign w:val="center"/>
          </w:tcPr>
          <w:p>
            <w:pPr>
              <w:pStyle w:val="TableText"/>
            </w:pPr>
            <w:r>
              <w:t>Frist für Fragen sowie erforderliche Besichtigungen oder Termine geprüft.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08</w:t>
            </w:r>
          </w:p>
        </w:tc>
        <w:tc>
          <w:tcPr>
            <w:tcW w:type="dxa" w:w="6300"/>
            <w:vAlign w:val="center"/>
            <w:shd w:fill="F6F8F9"/>
          </w:tcPr>
          <w:p>
            <w:pPr>
              <w:pStyle w:val="TableText"/>
            </w:pPr>
            <w:r>
              <w:t>Leistungsanforderungen und mögliche Ausschlussrisiken erfasst.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09</w:t>
            </w:r>
          </w:p>
        </w:tc>
        <w:tc>
          <w:tcPr>
            <w:tcW w:type="dxa" w:w="6300"/>
            <w:vAlign w:val="center"/>
          </w:tcPr>
          <w:p>
            <w:pPr>
              <w:pStyle w:val="TableText"/>
            </w:pPr>
            <w:r>
              <w:t>Eignungskriterien und verlangte Nachweise einzeln abgeglichen.</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10</w:t>
            </w:r>
          </w:p>
        </w:tc>
        <w:tc>
          <w:tcPr>
            <w:tcW w:type="dxa" w:w="6300"/>
            <w:vAlign w:val="center"/>
            <w:shd w:fill="F6F8F9"/>
          </w:tcPr>
          <w:p>
            <w:pPr>
              <w:pStyle w:val="TableText"/>
            </w:pPr>
            <w:r>
              <w:t>Zuschlagskriterien und gegebenenfalls Gewichtungen gelesen.</w:t>
            </w:r>
          </w:p>
        </w:tc>
        <w:tc>
          <w:tcPr>
            <w:tcW w:type="dxa" w:w="2740"/>
            <w:vAlign w:val="center"/>
            <w:shd w:fill="F6F8F9"/>
          </w:tcPr>
          <w:p>
            <w:pPr>
              <w:pStyle w:val="TableText"/>
            </w:pPr>
            <w:r>
              <w:t>Status: ____</w:t>
              <w:br/>
              <w:t>Beleg / Notiz: __________</w:t>
            </w:r>
          </w:p>
        </w:tc>
      </w:tr>
    </w:tbl>
    <w:p>
      <w:pPr>
        <w:pStyle w:val="SmallNote"/>
      </w:pPr>
      <w:r>
        <w:t>Ein nicht erfülltes zwingendes Kriterium wird zuerst geklärt. Zeitersparnis oder wirtschaftliche Vorteile gleichen diesen Mangel nicht aus.</w:t>
      </w:r>
    </w:p>
    <w:p>
      <w:r>
        <w:br w:type="page"/>
      </w:r>
    </w:p>
    <w:p>
      <w:pPr>
        <w:pStyle w:val="Title"/>
      </w:pPr>
      <w:r>
        <w:t>Kalkulation, Abgabe und Nachverfolgung</w:t>
      </w:r>
    </w:p>
    <w:p>
      <w:pPr>
        <w:pStyle w:val="Subtitle"/>
      </w:pPr>
      <w:r>
        <w:t>Interne Arbeitshilfe · Fortsetzung der Auftragsakte</w:t>
      </w:r>
    </w:p>
    <w:p>
      <w:r>
        <w:t>Auftrag / Los: ______________________________________________________</w:t>
      </w:r>
    </w:p>
    <w:p>
      <w:r>
        <w:t>Bearbeiter: ____________________  Prüfdatum: _________________________</w:t>
      </w:r>
    </w:p>
    <w:tbl>
      <w:tblPr>
        <w:tblW w:type="dxa" w:w="9640"/>
        <w:jc w:val="left"/>
        <w:tblLayout w:type="fixed"/>
        <w:tblLook w:firstColumn="1" w:firstRow="1" w:lastColumn="0" w:lastRow="0" w:noHBand="0" w:noVBand="1" w:val="04A0"/>
        <w:tblInd w:w="120" w:type="dxa"/>
        <w:tblCellMar>
          <w:top w:w="80" w:type="dxa"/>
          <w:bottom w:w="80" w:type="dxa"/>
          <w:start w:w="120" w:type="dxa"/>
          <w:end w:w="120" w:type="dxa"/>
        </w:tblCellMar>
      </w:tblPr>
      <w:tblGrid>
        <w:gridCol w:w="600"/>
        <w:gridCol w:w="6300"/>
        <w:gridCol w:w="2740"/>
      </w:tblGrid>
      <w:tr>
        <w:trPr>
          <w:cantSplit/>
          <w:tblHeader/>
        </w:trPr>
        <w:tc>
          <w:tcPr>
            <w:tcW w:type="dxa" w:w="600"/>
            <w:vAlign w:val="center"/>
            <w:shd w:fill="176D70"/>
          </w:tcPr>
          <w:p>
            <w:pPr>
              <w:pStyle w:val="TableText"/>
            </w:pPr>
            <w:r>
              <w:rPr>
                <w:b/>
                <w:color w:val="FFFFFF"/>
              </w:rPr>
              <w:t>Nr.</w:t>
            </w:r>
          </w:p>
        </w:tc>
        <w:tc>
          <w:tcPr>
            <w:tcW w:type="dxa" w:w="6300"/>
            <w:vAlign w:val="center"/>
            <w:shd w:fill="176D70"/>
          </w:tcPr>
          <w:p>
            <w:pPr>
              <w:pStyle w:val="TableText"/>
            </w:pPr>
            <w:r>
              <w:rPr>
                <w:b/>
                <w:color w:val="FFFFFF"/>
              </w:rPr>
              <w:t>Prüfschritt</w:t>
            </w:r>
          </w:p>
        </w:tc>
        <w:tc>
          <w:tcPr>
            <w:tcW w:type="dxa" w:w="2740"/>
            <w:vAlign w:val="center"/>
            <w:shd w:fill="176D70"/>
          </w:tcPr>
          <w:p>
            <w:pPr>
              <w:pStyle w:val="TableText"/>
            </w:pPr>
            <w:r>
              <w:rPr>
                <w:b/>
                <w:color w:val="FFFFFF"/>
              </w:rPr>
              <w:t>Status / eigener Nachweis</w:t>
            </w:r>
          </w:p>
        </w:tc>
      </w:tr>
      <w:tr>
        <w:trPr>
          <w:cantSplit/>
        </w:trPr>
        <w:tc>
          <w:tcPr>
            <w:tcW w:type="dxa" w:w="600"/>
            <w:vAlign w:val="center"/>
          </w:tcPr>
          <w:p>
            <w:pPr>
              <w:pStyle w:val="TableText"/>
            </w:pPr>
            <w:r>
              <w:t>11</w:t>
            </w:r>
          </w:p>
        </w:tc>
        <w:tc>
          <w:tcPr>
            <w:tcW w:type="dxa" w:w="6300"/>
            <w:vAlign w:val="center"/>
          </w:tcPr>
          <w:p>
            <w:pPr>
              <w:pStyle w:val="TableText"/>
            </w:pPr>
            <w:r>
              <w:t>Unklare Mengen, Schnittstellen oder Widersprüche als Fragen dokumentiert.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12</w:t>
            </w:r>
          </w:p>
        </w:tc>
        <w:tc>
          <w:tcPr>
            <w:tcW w:type="dxa" w:w="6300"/>
            <w:vAlign w:val="center"/>
            <w:shd w:fill="F6F8F9"/>
          </w:tcPr>
          <w:p>
            <w:pPr>
              <w:pStyle w:val="TableText"/>
            </w:pPr>
            <w:r>
              <w:t>Zulässigkeit und Anforderungen von Nebenangeboten geprüft.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13</w:t>
            </w:r>
          </w:p>
        </w:tc>
        <w:tc>
          <w:tcPr>
            <w:tcW w:type="dxa" w:w="6300"/>
            <w:vAlign w:val="center"/>
          </w:tcPr>
          <w:p>
            <w:pPr>
              <w:pStyle w:val="TableText"/>
            </w:pPr>
            <w:r>
              <w:t>Nachunternehmer, Eignungsleihe oder Bietergemeinschaft bei Bedarf geklärt.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14</w:t>
            </w:r>
          </w:p>
        </w:tc>
        <w:tc>
          <w:tcPr>
            <w:tcW w:type="dxa" w:w="6300"/>
            <w:vAlign w:val="center"/>
            <w:shd w:fill="F6F8F9"/>
          </w:tcPr>
          <w:p>
            <w:pPr>
              <w:pStyle w:val="TableText"/>
            </w:pPr>
            <w:r>
              <w:t>Kalkulation einschließlich Nebenleistungen, Anfahrt und Dokumentation kontrolliert.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15</w:t>
            </w:r>
          </w:p>
        </w:tc>
        <w:tc>
          <w:tcPr>
            <w:tcW w:type="dxa" w:w="6300"/>
            <w:vAlign w:val="center"/>
          </w:tcPr>
          <w:p>
            <w:pPr>
              <w:pStyle w:val="TableText"/>
            </w:pPr>
            <w:r>
              <w:t>Vorgeschriebene Formulare vollständig und in der richtigen Version bearbeitet.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16</w:t>
            </w:r>
          </w:p>
        </w:tc>
        <w:tc>
          <w:tcPr>
            <w:tcW w:type="dxa" w:w="6300"/>
            <w:vAlign w:val="center"/>
            <w:shd w:fill="F6F8F9"/>
          </w:tcPr>
          <w:p>
            <w:pPr>
              <w:pStyle w:val="TableText"/>
            </w:pPr>
            <w:r>
              <w:t>Abgabeweg, Dateiformate, Größenlimits und geforderte Form geprüft.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17</w:t>
            </w:r>
          </w:p>
        </w:tc>
        <w:tc>
          <w:tcPr>
            <w:tcW w:type="dxa" w:w="6300"/>
            <w:vAlign w:val="center"/>
          </w:tcPr>
          <w:p>
            <w:pPr>
              <w:pStyle w:val="TableText"/>
            </w:pPr>
            <w:r>
              <w:t>Vertretung und Zugang zur Vergabeplattform organisiert; internen Zeitpuffer eingeplant.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18</w:t>
            </w:r>
          </w:p>
        </w:tc>
        <w:tc>
          <w:tcPr>
            <w:tcW w:type="dxa" w:w="6300"/>
            <w:vAlign w:val="center"/>
            <w:shd w:fill="F6F8F9"/>
          </w:tcPr>
          <w:p>
            <w:pPr>
              <w:pStyle w:val="TableText"/>
            </w:pPr>
            <w:r>
              <w:t>Endfassung anhand der tatsächlichen Unterlagen auf Vollständigkeit geprüft.</w:t>
            </w:r>
          </w:p>
        </w:tc>
        <w:tc>
          <w:tcPr>
            <w:tcW w:type="dxa" w:w="2740"/>
            <w:vAlign w:val="center"/>
            <w:shd w:fill="F6F8F9"/>
          </w:tcPr>
          <w:p>
            <w:pPr>
              <w:pStyle w:val="TableText"/>
            </w:pPr>
            <w:r>
              <w:t>Status: ____</w:t>
              <w:br/>
              <w:t>Beleg / Notiz: __________</w:t>
            </w:r>
          </w:p>
        </w:tc>
      </w:tr>
      <w:tr>
        <w:trPr>
          <w:cantSplit/>
        </w:trPr>
        <w:tc>
          <w:tcPr>
            <w:tcW w:type="dxa" w:w="600"/>
            <w:vAlign w:val="center"/>
          </w:tcPr>
          <w:p>
            <w:pPr>
              <w:pStyle w:val="TableText"/>
            </w:pPr>
            <w:r>
              <w:t>19</w:t>
            </w:r>
          </w:p>
        </w:tc>
        <w:tc>
          <w:tcPr>
            <w:tcW w:type="dxa" w:w="6300"/>
            <w:vAlign w:val="center"/>
          </w:tcPr>
          <w:p>
            <w:pPr>
              <w:pStyle w:val="TableText"/>
            </w:pPr>
            <w:r>
              <w:t>Angebot fristgerecht über den vorgeschriebenen Weg eingereicht und Abgabenachweis gesichert.</w:t>
            </w:r>
          </w:p>
        </w:tc>
        <w:tc>
          <w:tcPr>
            <w:tcW w:type="dxa" w:w="2740"/>
            <w:vAlign w:val="center"/>
          </w:tcPr>
          <w:p>
            <w:pPr>
              <w:pStyle w:val="TableText"/>
            </w:pPr>
            <w:r>
              <w:t>Status: ____</w:t>
              <w:br/>
              <w:t>Beleg / Notiz: __________</w:t>
            </w:r>
          </w:p>
        </w:tc>
      </w:tr>
      <w:tr>
        <w:trPr>
          <w:cantSplit/>
        </w:trPr>
        <w:tc>
          <w:tcPr>
            <w:tcW w:type="dxa" w:w="600"/>
            <w:vAlign w:val="center"/>
            <w:shd w:fill="F6F8F9"/>
          </w:tcPr>
          <w:p>
            <w:pPr>
              <w:pStyle w:val="TableText"/>
            </w:pPr>
            <w:r>
              <w:t>20</w:t>
            </w:r>
          </w:p>
        </w:tc>
        <w:tc>
          <w:tcPr>
            <w:tcW w:type="dxa" w:w="6300"/>
            <w:vAlign w:val="center"/>
            <w:shd w:fill="F6F8F9"/>
          </w:tcPr>
          <w:p>
            <w:pPr>
              <w:pStyle w:val="TableText"/>
            </w:pPr>
            <w:r>
              <w:t>Bindefrist und weitere Nachrichten der Vergabestelle zur Nachverfolgung erfasst.</w:t>
            </w:r>
          </w:p>
        </w:tc>
        <w:tc>
          <w:tcPr>
            <w:tcW w:type="dxa" w:w="2740"/>
            <w:vAlign w:val="center"/>
            <w:shd w:fill="F6F8F9"/>
          </w:tcPr>
          <w:p>
            <w:pPr>
              <w:pStyle w:val="TableText"/>
            </w:pPr>
            <w:r>
              <w:t>Status: ____</w:t>
              <w:br/>
              <w:t>Beleg / Notiz: __________</w:t>
            </w:r>
          </w:p>
        </w:tc>
      </w:tr>
    </w:tbl>
    <w:p>
      <w:r>
        <w:t>Abgabenachweis / Ablage: ______________________________________________</w:t>
      </w:r>
    </w:p>
    <w:p>
      <w:r>
        <w:t>Nächster Termin / Verantwortlicher: ____________________________________</w:t>
      </w:r>
    </w:p>
    <w:p>
      <w:r>
        <w:t>Ergebnis: ____________________  Entscheidung / Datum: _________________</w:t>
      </w:r>
    </w:p>
    <w:p>
      <w:pPr>
        <w:pStyle w:val="SmallNote"/>
      </w:pPr>
      <w:r>
        <w:t>Ein Upload allein ist noch kein gesicherter Abgabenachweis. Kontrollieren Sie die vom konkreten Portal bestätigte Abgabe und bewahren Sie den Beleg auf.</w:t>
      </w:r>
    </w:p>
    <w:p>
      <w:r>
        <w:br w:type="page"/>
      </w:r>
    </w:p>
    <w:p>
      <w:pPr>
        <w:pStyle w:val="Title"/>
      </w:pPr>
      <w:r>
        <w:t>So verwenden Sie die Checkliste</w:t>
      </w:r>
    </w:p>
    <w:p>
      <w:pPr>
        <w:pStyle w:val="Subtitle"/>
      </w:pPr>
      <w:r>
        <w:t>Ausfüllhilfe und vollständig fiktives Beispiel</w:t>
      </w:r>
    </w:p>
    <w:p>
      <w:r>
        <w:t>Legen Sie für jedes Verfahren und Los eine eigene Kopie an. Die ersten beiden Seiten sind das leere Arbeitsblatt. Erfassen Sie zusätzlich die vollständigen Vergabeunterlagen in Ihrer Auftragsakte; diese Checkliste ersetzt keine verlangten Formblätter.</w:t>
      </w:r>
    </w:p>
    <w:p>
      <w:pPr>
        <w:pStyle w:val="Heading1"/>
      </w:pPr>
      <w:r>
        <w:t>Prüfen, zuordnen, dokumentieren</w:t>
      </w:r>
    </w:p>
    <w:p>
      <w:r>
        <w:t>Arbeiten Sie die Punkte passend zum Verfahren ab. Tragen Sie für jeden erledigten Punkt einen nachvollziehbaren Beleg ein, etwa den Dateinamen der aktuellen Leistungsbeschreibung, eine interne Kalkulationsprüfung oder den gespeicherten Abgabenachweis. Ein Haken ohne Prüfung ist keine Bestätigung.</w:t>
      </w:r>
    </w:p>
    <w:p>
      <w:r>
        <w:t>Ergänzen Sie auftragsspezifische Anforderungen. Wählen Sie X nur, wenn der Punkt tatsächlich nicht anwendbar ist, und halten Sie den Grund fest. Offene Fragen bekommen einen Verantwortlichen und einen internen Termin vor der maßgeblichen Frist.</w:t>
      </w:r>
    </w:p>
    <w:p>
      <w:pPr>
        <w:pStyle w:val="Heading1"/>
      </w:pPr>
      <w:r>
        <w:t>Beispiel: Elektroinstallation in einer Werkstatt</w:t>
      </w:r>
    </w:p>
    <w:p>
      <w:pPr>
        <w:pStyle w:val="SmallNote"/>
      </w:pPr>
      <w:r>
        <w:t>Alle nachfolgenden Daten sind erfunden. Der Auszug veranschaulicht verschiedene Bearbeitungsstände; er stellt keine vollständige Angebotsprüfung dar.</w:t>
      </w:r>
    </w:p>
    <w:tbl>
      <w:tblPr>
        <w:tblW w:type="dxa" w:w="9640"/>
        <w:jc w:val="left"/>
        <w:tblLayout w:type="fixed"/>
        <w:tblLook w:firstColumn="1" w:firstRow="1" w:lastColumn="0" w:lastRow="0" w:noHBand="0" w:noVBand="1" w:val="04A0"/>
        <w:tblInd w:w="120" w:type="dxa"/>
        <w:tblCellMar>
          <w:top w:w="80" w:type="dxa"/>
          <w:bottom w:w="80" w:type="dxa"/>
          <w:start w:w="120" w:type="dxa"/>
          <w:end w:w="120" w:type="dxa"/>
        </w:tblCellMar>
      </w:tblPr>
      <w:tblGrid>
        <w:gridCol w:w="1000"/>
        <w:gridCol w:w="1100"/>
        <w:gridCol w:w="7540"/>
      </w:tblGrid>
      <w:tr>
        <w:trPr>
          <w:cantSplit/>
          <w:tblHeader/>
        </w:trPr>
        <w:tc>
          <w:tcPr>
            <w:tcW w:type="dxa" w:w="1000"/>
            <w:vAlign w:val="center"/>
            <w:shd w:fill="176D70"/>
          </w:tcPr>
          <w:p>
            <w:pPr>
              <w:pStyle w:val="TableText"/>
            </w:pPr>
            <w:r>
              <w:rPr>
                <w:b/>
                <w:color w:val="FFFFFF"/>
              </w:rPr>
              <w:t>Punkt</w:t>
            </w:r>
          </w:p>
        </w:tc>
        <w:tc>
          <w:tcPr>
            <w:tcW w:type="dxa" w:w="1100"/>
            <w:vAlign w:val="center"/>
            <w:shd w:fill="176D70"/>
          </w:tcPr>
          <w:p>
            <w:pPr>
              <w:pStyle w:val="TableText"/>
            </w:pPr>
            <w:r>
              <w:rPr>
                <w:b/>
                <w:color w:val="FFFFFF"/>
              </w:rPr>
              <w:t>Status</w:t>
            </w:r>
          </w:p>
        </w:tc>
        <w:tc>
          <w:tcPr>
            <w:tcW w:type="dxa" w:w="7540"/>
            <w:vAlign w:val="center"/>
            <w:shd w:fill="176D70"/>
          </w:tcPr>
          <w:p>
            <w:pPr>
              <w:pStyle w:val="TableText"/>
            </w:pPr>
            <w:r>
              <w:rPr>
                <w:b/>
                <w:color w:val="FFFFFF"/>
              </w:rPr>
              <w:t>Fiktiver Prüfvermerk</w:t>
            </w:r>
          </w:p>
        </w:tc>
      </w:tr>
      <w:tr>
        <w:trPr>
          <w:cantSplit/>
        </w:trPr>
        <w:tc>
          <w:tcPr>
            <w:tcW w:type="dxa" w:w="1000"/>
            <w:vAlign w:val="center"/>
          </w:tcPr>
          <w:p>
            <w:pPr>
              <w:pStyle w:val="TableText"/>
            </w:pPr>
            <w:r>
              <w:t>04</w:t>
            </w:r>
          </w:p>
        </w:tc>
        <w:tc>
          <w:tcPr>
            <w:tcW w:type="dxa" w:w="1100"/>
            <w:vAlign w:val="center"/>
          </w:tcPr>
          <w:p>
            <w:pPr>
              <w:pStyle w:val="TableText"/>
            </w:pPr>
            <w:r>
              <w:t>E</w:t>
            </w:r>
          </w:p>
        </w:tc>
        <w:tc>
          <w:tcPr>
            <w:tcW w:type="dxa" w:w="7540"/>
            <w:vAlign w:val="center"/>
          </w:tcPr>
          <w:p>
            <w:pPr>
              <w:pStyle w:val="TableText"/>
            </w:pPr>
            <w:r>
              <w:t>Unterlagenpaket v2 und Änderungsmitteilung in Beispiel/Los1 gesichert.</w:t>
            </w:r>
          </w:p>
        </w:tc>
      </w:tr>
      <w:tr>
        <w:trPr>
          <w:cantSplit/>
        </w:trPr>
        <w:tc>
          <w:tcPr>
            <w:tcW w:type="dxa" w:w="1000"/>
            <w:vAlign w:val="center"/>
            <w:shd w:fill="F6F8F9"/>
          </w:tcPr>
          <w:p>
            <w:pPr>
              <w:pStyle w:val="TableText"/>
            </w:pPr>
            <w:r>
              <w:t>06</w:t>
            </w:r>
          </w:p>
        </w:tc>
        <w:tc>
          <w:tcPr>
            <w:tcW w:type="dxa" w:w="1100"/>
            <w:vAlign w:val="center"/>
            <w:shd w:fill="F6F8F9"/>
          </w:tcPr>
          <w:p>
            <w:pPr>
              <w:pStyle w:val="TableText"/>
            </w:pPr>
            <w:r>
              <w:t>E</w:t>
            </w:r>
          </w:p>
        </w:tc>
        <w:tc>
          <w:tcPr>
            <w:tcW w:type="dxa" w:w="7540"/>
            <w:vAlign w:val="center"/>
            <w:shd w:fill="F6F8F9"/>
          </w:tcPr>
          <w:p>
            <w:pPr>
              <w:pStyle w:val="TableText"/>
            </w:pPr>
            <w:r>
              <w:t>Fiktive Abgabe: 15.10.2026, 10:00 Uhr, Europe/Berlin.</w:t>
            </w:r>
          </w:p>
        </w:tc>
      </w:tr>
      <w:tr>
        <w:trPr>
          <w:cantSplit/>
        </w:trPr>
        <w:tc>
          <w:tcPr>
            <w:tcW w:type="dxa" w:w="1000"/>
            <w:vAlign w:val="center"/>
          </w:tcPr>
          <w:p>
            <w:pPr>
              <w:pStyle w:val="TableText"/>
            </w:pPr>
            <w:r>
              <w:t>09</w:t>
            </w:r>
          </w:p>
        </w:tc>
        <w:tc>
          <w:tcPr>
            <w:tcW w:type="dxa" w:w="1100"/>
            <w:vAlign w:val="center"/>
          </w:tcPr>
          <w:p>
            <w:pPr>
              <w:pStyle w:val="TableText"/>
            </w:pPr>
            <w:r>
              <w:t>N</w:t>
            </w:r>
          </w:p>
        </w:tc>
        <w:tc>
          <w:tcPr>
            <w:tcW w:type="dxa" w:w="7540"/>
            <w:vAlign w:val="center"/>
          </w:tcPr>
          <w:p>
            <w:pPr>
              <w:pStyle w:val="TableText"/>
            </w:pPr>
            <w:r>
              <w:t>Vergleichbare geforderte Referenz fehlt. Vorläufig nicht bieten.</w:t>
            </w:r>
          </w:p>
        </w:tc>
      </w:tr>
      <w:tr>
        <w:trPr>
          <w:cantSplit/>
        </w:trPr>
        <w:tc>
          <w:tcPr>
            <w:tcW w:type="dxa" w:w="1000"/>
            <w:vAlign w:val="center"/>
            <w:shd w:fill="F6F8F9"/>
          </w:tcPr>
          <w:p>
            <w:pPr>
              <w:pStyle w:val="TableText"/>
            </w:pPr>
            <w:r>
              <w:t>12</w:t>
            </w:r>
          </w:p>
        </w:tc>
        <w:tc>
          <w:tcPr>
            <w:tcW w:type="dxa" w:w="1100"/>
            <w:vAlign w:val="center"/>
            <w:shd w:fill="F6F8F9"/>
          </w:tcPr>
          <w:p>
            <w:pPr>
              <w:pStyle w:val="TableText"/>
            </w:pPr>
            <w:r>
              <w:t>X</w:t>
            </w:r>
          </w:p>
        </w:tc>
        <w:tc>
          <w:tcPr>
            <w:tcW w:type="dxa" w:w="7540"/>
            <w:vAlign w:val="center"/>
            <w:shd w:fill="F6F8F9"/>
          </w:tcPr>
          <w:p>
            <w:pPr>
              <w:pStyle w:val="TableText"/>
            </w:pPr>
            <w:r>
              <w:t>Beispielunterlagen lassen keine Nebenangebote zu; es wird keines erstellt.</w:t>
            </w:r>
          </w:p>
        </w:tc>
      </w:tr>
      <w:tr>
        <w:trPr>
          <w:cantSplit/>
        </w:trPr>
        <w:tc>
          <w:tcPr>
            <w:tcW w:type="dxa" w:w="1000"/>
            <w:vAlign w:val="center"/>
          </w:tcPr>
          <w:p>
            <w:pPr>
              <w:pStyle w:val="TableText"/>
            </w:pPr>
            <w:r>
              <w:t>19</w:t>
            </w:r>
          </w:p>
        </w:tc>
        <w:tc>
          <w:tcPr>
            <w:tcW w:type="dxa" w:w="1100"/>
            <w:vAlign w:val="center"/>
          </w:tcPr>
          <w:p>
            <w:pPr>
              <w:pStyle w:val="TableText"/>
            </w:pPr>
            <w:r>
              <w:t>O</w:t>
            </w:r>
          </w:p>
        </w:tc>
        <w:tc>
          <w:tcPr>
            <w:tcW w:type="dxa" w:w="7540"/>
            <w:vAlign w:val="center"/>
          </w:tcPr>
          <w:p>
            <w:pPr>
              <w:pStyle w:val="TableText"/>
            </w:pPr>
            <w:r>
              <w:t>Angebot noch nicht abgegeben. Kein Abgabenachweis vorhanden.</w:t>
            </w:r>
          </w:p>
        </w:tc>
      </w:tr>
    </w:tbl>
    <w:p>
      <w:pPr>
        <w:pStyle w:val="SmallNote"/>
      </w:pPr>
      <w:r>
        <w:t>Ergebnis im Beispiel: Die Bearbeitung ist nicht freigegeben. Die fehlende Referenz muss sachlich geklärt werden; ein guter Preis überstimmt dieses Problem nicht.</w:t>
      </w:r>
    </w:p>
    <w:p>
      <w:pPr>
        <w:pStyle w:val="Heading1"/>
      </w:pPr>
      <w:r>
        <w:t>Grundlagen und weitere Arbeitshilfen</w:t>
      </w:r>
    </w:p>
    <w:p>
      <w:pPr>
        <w:pStyle w:val="SmallNote"/>
      </w:pPr>
      <w:r>
        <w:t>Maßgeblich sind die konkreten Vergabeunterlagen und anwendbaren Vorschriften. § 29 VgV beschreibt die Vergabeunterlagen, § 53 VgV die Form und Übermittlung im einschlägigen Bereich. Bei Bauvergaben ist der zutreffende VOB/A-Abschnitt zu prüfen.</w:t>
      </w:r>
    </w:p>
    <w:p>
      <w:pPr>
        <w:pStyle w:val="SmallNote"/>
      </w:pPr>
      <w:hyperlink r:id="rId11">
        <w:r>
          <w:rPr>
            <w:color w:val="176D70"/>
          </w:rPr>
          <w:t>VgV – amtlicher Gesetzestext</w:t>
        </w:r>
      </w:hyperlink>
    </w:p>
    <w:p>
      <w:pPr>
        <w:pStyle w:val="SmallNote"/>
      </w:pPr>
      <w:hyperlink r:id="rId12">
        <w:r>
          <w:rPr>
            <w:color w:val="176D70"/>
          </w:rPr>
          <w:t>Anleitung und aktuelle Fassung bei GewerkeRadar</w:t>
        </w:r>
      </w:hyperlink>
    </w:p>
    <w:p>
      <w:pPr>
        <w:pStyle w:val="SmallNote"/>
      </w:pPr>
      <w:r>
        <w:t>https://www.gewerkeradar.de/wissen/checkliste-oeffentliche-ausschreibungen</w:t>
      </w: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pPr>
    <w:r>
      <w:t>T01 · Version 1.0 · 08.09.2026</w:t>
    </w:r>
    <w: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pPr>
    <w:r>
      <w:rPr>
        <w:b/>
        <w:color w:val="142B43"/>
      </w:rPr>
      <w:t>GEWERKERADAR by Arvaneo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26374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ascii="Arial" w:hAnsi="Arial"/>
      <w:b/>
      <w:bCs/>
      <w:color w:val="176D70"/>
      <w:sz w:val="32"/>
      <w:szCs w:val="28"/>
    </w:rPr>
  </w:style>
  <w:style w:type="paragraph" w:styleId="Heading2">
    <w:name w:val="heading 2"/>
    <w:basedOn w:val="Normal"/>
    <w:next w:val="Normal"/>
    <w:link w:val="Heading2Char"/>
    <w:uiPriority w:val="9"/>
    <w:unhideWhenUsed/>
    <w:qFormat/>
    <w:rsid w:val="00FC693F"/>
    <w:pPr>
      <w:keepNext/>
      <w:keepLines/>
      <w:spacing w:before="280" w:after="140" w:line="300" w:lineRule="auto"/>
      <w:outlineLvl w:val="1"/>
    </w:pPr>
    <w:rPr>
      <w:rFonts w:asciiTheme="majorHAnsi" w:eastAsiaTheme="majorEastAsia" w:hAnsiTheme="majorHAnsi" w:cstheme="majorBidi" w:ascii="Arial" w:hAnsi="Arial"/>
      <w:b/>
      <w:bCs/>
      <w:color w:val="176D70"/>
      <w:sz w:val="26"/>
      <w:szCs w:val="26"/>
    </w:rPr>
  </w:style>
  <w:style w:type="paragraph" w:styleId="Heading3">
    <w:name w:val="heading 3"/>
    <w:basedOn w:val="Normal"/>
    <w:next w:val="Normal"/>
    <w:link w:val="Heading3Char"/>
    <w:uiPriority w:val="9"/>
    <w:unhideWhenUsed/>
    <w:qFormat/>
    <w:rsid w:val="00FC693F"/>
    <w:pPr>
      <w:keepNext/>
      <w:keepLines/>
      <w:spacing w:before="200" w:after="100" w:line="300" w:lineRule="auto"/>
      <w:outlineLvl w:val="2"/>
    </w:pPr>
    <w:rPr>
      <w:rFonts w:asciiTheme="majorHAnsi" w:eastAsiaTheme="majorEastAsia" w:hAnsiTheme="majorHAnsi" w:cstheme="majorBidi" w:ascii="Arial" w:hAnsi="Arial"/>
      <w:b/>
      <w:bCs/>
      <w:color w:val="176D7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00" w:lineRule="auto" w:before="0"/>
      <w:contextualSpacing/>
    </w:pPr>
    <w:rPr>
      <w:rFonts w:asciiTheme="majorHAnsi" w:eastAsiaTheme="majorEastAsia" w:hAnsiTheme="majorHAnsi" w:cstheme="majorBidi" w:ascii="Arial" w:hAnsi="Arial"/>
      <w:b/>
      <w:color w:val="142B4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line="300" w:lineRule="auto"/>
    </w:pPr>
    <w:rPr>
      <w:rFonts w:asciiTheme="majorHAnsi" w:eastAsiaTheme="majorEastAsia" w:hAnsiTheme="majorHAnsi" w:cstheme="majorBidi" w:ascii="Arial" w:hAnsi="Arial"/>
      <w:i/>
      <w:iCs/>
      <w:color w:val="176D7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60" w:before="0" w:line="276" w:lineRule="auto"/>
    </w:pPr>
    <w:rPr>
      <w:rFonts w:ascii="Arial" w:hAnsi="Arial"/>
      <w:color w:val="263748"/>
      <w:sz w:val="19"/>
    </w:rPr>
  </w:style>
  <w:style w:type="paragraph" w:customStyle="1" w:styleId="SmallNote">
    <w:name w:val="Small Note"/>
    <w:pPr>
      <w:spacing w:before="80" w:after="80" w:line="276" w:lineRule="auto"/>
    </w:pPr>
    <w:rPr>
      <w:rFonts w:ascii="Arial" w:hAnsi="Arial"/>
      <w:color w:val="263748"/>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esetze-im-internet.de/vgv_2016/BJNR062410016.html" TargetMode="External"/><Relationship Id="rId12" Type="http://schemas.openxmlformats.org/officeDocument/2006/relationships/hyperlink" Target="https://www.gewerkeradar.de/wissen/checkliste-oeffentliche-ausschreibu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