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440" w:firstLine="720"/>
        <w:jc w:val="lef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1717"/>
          <w:sz w:val="20"/>
          <w:szCs w:val="20"/>
          <w:rtl w:val="0"/>
        </w:rPr>
        <w:t xml:space="preserve">     NON-DISCLOSURE AGREEMENT (NDA)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4614"/>
        </w:tabs>
        <w:spacing w:before="47" w:line="240" w:lineRule="auto"/>
        <w:ind w:left="1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This Non-Disclosure Agreement ("Agreement")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is entered into as of ………………..("Effective Date")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4614"/>
        </w:tabs>
        <w:spacing w:before="47" w:line="240" w:lineRule="auto"/>
        <w:ind w:left="140" w:firstLine="0"/>
        <w:jc w:val="center"/>
        <w:rPr>
          <w:rFonts w:ascii="Times New Roman" w:cs="Times New Roman" w:eastAsia="Times New Roman" w:hAnsi="Times New Roman"/>
          <w:sz w:val="20"/>
          <w:szCs w:val="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by and between:</w:t>
      </w:r>
    </w:p>
    <w:p w:rsidR="00000000" w:rsidDel="00000000" w:rsidP="00000000" w:rsidRDefault="00000000" w:rsidRPr="00000000" w14:paraId="00000004">
      <w:pPr>
        <w:widowControl w:val="0"/>
        <w:spacing w:before="97" w:line="276" w:lineRule="auto"/>
        <w:ind w:left="19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B&amp;B GW Inwestycje Sp. z 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98" w:right="627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ul. Kielecka 41A, Apt. 8, 02-530 Warsaw, Poland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198" w:right="627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VAT ID (NIP): 5214098269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198" w:right="627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Email: biuro@bbgw.pl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198" w:right="627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Phone 1: +48 512 854 110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198" w:right="627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Phone 2: +48 797 344 336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0" w:right="627" w:firstLine="0"/>
        <w:rPr>
          <w:rFonts w:ascii="Times New Roman" w:cs="Times New Roman" w:eastAsia="Times New Roman" w:hAnsi="Times New Roman"/>
          <w:b w:val="1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71717"/>
          <w:sz w:val="20"/>
          <w:szCs w:val="20"/>
          <w:rtl w:val="0"/>
        </w:rPr>
        <w:t xml:space="preserve"> (“Disclosing Party”)</w:t>
      </w:r>
    </w:p>
    <w:p w:rsidR="00000000" w:rsidDel="00000000" w:rsidP="00000000" w:rsidRDefault="00000000" w:rsidRPr="00000000" w14:paraId="0000000B">
      <w:pPr>
        <w:widowControl w:val="0"/>
        <w:spacing w:line="568" w:lineRule="auto"/>
        <w:ind w:left="198" w:right="627" w:firstLine="0"/>
        <w:rPr>
          <w:rFonts w:ascii="Times New Roman" w:cs="Times New Roman" w:eastAsia="Times New Roman" w:hAnsi="Times New Roman"/>
          <w:b w:val="1"/>
          <w:color w:val="17171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47" w:line="276" w:lineRule="auto"/>
        <w:ind w:left="0" w:right="562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Full legal name . . . . . . . . . . . . . . . . . . . . . . . . . . .  Company name . . . . . . . . . . . . . . . . . . . . . . . . . . </w:t>
      </w:r>
    </w:p>
    <w:p w:rsidR="00000000" w:rsidDel="00000000" w:rsidP="00000000" w:rsidRDefault="00000000" w:rsidRPr="00000000" w14:paraId="0000000D">
      <w:pPr>
        <w:widowControl w:val="0"/>
        <w:spacing w:before="47" w:line="276" w:lineRule="auto"/>
        <w:ind w:left="0" w:right="562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Registered office / Address  . . . . . . . . . . . . . . . . .</w:t>
      </w:r>
    </w:p>
    <w:p w:rsidR="00000000" w:rsidDel="00000000" w:rsidP="00000000" w:rsidRDefault="00000000" w:rsidRPr="00000000" w14:paraId="0000000E">
      <w:pPr>
        <w:widowControl w:val="0"/>
        <w:spacing w:before="47" w:line="276" w:lineRule="auto"/>
        <w:ind w:left="0" w:right="562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 . . . . . . . . . . . . . . . . . . . . . . . . . . . . . . . . . . . . . . . </w:t>
      </w:r>
    </w:p>
    <w:p w:rsidR="00000000" w:rsidDel="00000000" w:rsidP="00000000" w:rsidRDefault="00000000" w:rsidRPr="00000000" w14:paraId="0000000F">
      <w:pPr>
        <w:widowControl w:val="0"/>
        <w:spacing w:before="47" w:line="276" w:lineRule="auto"/>
        <w:ind w:left="0" w:right="562" w:firstLine="0"/>
        <w:rPr>
          <w:rFonts w:ascii="Times New Roman" w:cs="Times New Roman" w:eastAsia="Times New Roman" w:hAnsi="Times New Roman"/>
          <w:color w:val="17171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71717"/>
          <w:sz w:val="20"/>
          <w:szCs w:val="20"/>
          <w:rtl w:val="0"/>
        </w:rPr>
        <w:t xml:space="preserve">Tax ID / VAT number  . . . . . . . . . . . . . . . . . . . . . Email address  . . . . . . . . . . . . . . . . . . . . . . . . . . .  Phone number  . . . . . . . . . . . . . . . . . . . . . . . . . . . </w:t>
      </w:r>
    </w:p>
    <w:p w:rsidR="00000000" w:rsidDel="00000000" w:rsidP="00000000" w:rsidRDefault="00000000" w:rsidRPr="00000000" w14:paraId="00000010">
      <w:pPr>
        <w:widowControl w:val="0"/>
        <w:spacing w:before="47" w:line="276" w:lineRule="auto"/>
        <w:ind w:left="0" w:right="562" w:firstLine="0"/>
        <w:rPr>
          <w:b w:val="1"/>
        </w:rPr>
        <w:sectPr>
          <w:type w:val="continuous"/>
          <w:pgSz w:h="16834" w:w="11909" w:orient="portrait"/>
          <w:pgMar w:bottom="1680" w:top="1900" w:left="992" w:right="1133" w:header="731" w:footer="1491"/>
          <w:cols w:equalWidth="0" w:num="2">
            <w:col w:space="154.5" w:w="4814.75"/>
            <w:col w:space="0" w:w="4814.7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71717"/>
          <w:sz w:val="20"/>
          <w:szCs w:val="20"/>
          <w:rtl w:val="0"/>
        </w:rPr>
        <w:t xml:space="preserve">(“Receiving Party”).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Purpose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Disclosing Party possesses confidential and proprietary information regarding off-market investment opportunities (the “Confidential Information”). The Receiving Party wishes to evaluate such investment opportunities and acknowledges that access to detailed information is subject to this Agreement.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Definition of Confidential Information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“Confidential Information” includes, but is not limited to, investment data, financial projections, property locations, business plans, designs, documents, presentations, and all other information disclosed, whether orally, in writing, or electronically.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Obligations of Receiving Party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Receiving Party agrees to:</w:t>
        <w:br w:type="textWrapping"/>
        <w:t xml:space="preserve"> a) Keep all Confidential Information strictly confidential;</w:t>
        <w:br w:type="textWrapping"/>
        <w:t xml:space="preserve"> b) Use the Confidential Information solely for the Purpose stated above;</w:t>
        <w:br w:type="textWrapping"/>
        <w:t xml:space="preserve"> c) Not disclose Confidential Information to any third party without prior written consent of the Disclosing Party;</w:t>
        <w:br w:type="textWrapping"/>
        <w:t xml:space="preserve"> d) Take reasonable measures to protect Confidential Information.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Exclusions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Confidential Information does not include information which:</w:t>
        <w:br w:type="textWrapping"/>
        <w:t xml:space="preserve"> a) Is or becomes publicly known without breach of this Agreement;</w:t>
        <w:br w:type="textWrapping"/>
        <w:t xml:space="preserve"> b) Was known to the Receiving Party prior to disclosure;</w:t>
        <w:br w:type="textWrapping"/>
        <w:t xml:space="preserve"> c) Is received from a third party without breach of any obligation of confidentiality;</w:t>
        <w:br w:type="textWrapping"/>
        <w:t xml:space="preserve"> d) Is independently developed by the Receiving Party without reference to the Confidential Information.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Term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This Agreement remains in effect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  years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from the Effective Date, or until the Confidential Information no longer qualifies as confidential, whichever occurs first.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Return or Destruction of Information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Upon request, the Receiving Party shall return or destroy all Confidential Information, including all copies, notes, and summaries.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No License or Ownership Rights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Nothing in this Agreement grants the Receiving Party any rights to the Confidential Information except as expressly stated.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Governing Law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This Agreement shall be governed by and construed in accordance with the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laws of the Republic of  Poland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applicable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European Union regulations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All disputes arising out of or in connection with this Agreement shall be submitted to the exclusive jurisdiction of the Regional Court in Warsaw (Sąd Okręgowy w Warszawie), Poland.</w:t>
      </w:r>
    </w:p>
    <w:p w:rsidR="00000000" w:rsidDel="00000000" w:rsidP="00000000" w:rsidRDefault="00000000" w:rsidRPr="00000000" w14:paraId="0000001A">
      <w:pPr>
        <w:widowControl w:val="0"/>
        <w:spacing w:after="240"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Liquidated Damages / Penalties</w:t>
      </w:r>
    </w:p>
    <w:p w:rsidR="00000000" w:rsidDel="00000000" w:rsidP="00000000" w:rsidRDefault="00000000" w:rsidRPr="00000000" w14:paraId="0000001B">
      <w:pPr>
        <w:widowControl w:val="0"/>
        <w:spacing w:after="24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a)Unauthorized disclosure or use of Confidential Information may cause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irreparable harm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  <w:t xml:space="preserve"> b)Receiving Party agrees that in case of a breach regarding any specific investment opportunity, it shall pay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liquidated damages equal to 5% of the expected value of the investment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  <w:t xml:space="preserve"> c) This is without prejudice to the Disclosing Party’s right to seek injunctions or claims for actual damages.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5k3t7regf2j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10. Hidden Portfolio Clause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Receiving Party acknowledges that access to Investino’s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Hidden Portfolio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(projects worth over €500M and other premium investments) is granted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only after execution of this NDA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verification of investor credentials.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WITNESS WHEREOF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the parties have executed this Agreement as of the Effective Date.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Disclosing Party: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Signature: 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Receiving Party: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Signature: 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