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56382" w14:textId="4FB16050" w:rsidR="000F108B" w:rsidRDefault="009B7BD8" w:rsidP="00235853">
      <w:r>
        <w:rPr>
          <w:noProof/>
        </w:rPr>
        <w:drawing>
          <wp:anchor distT="0" distB="0" distL="114300" distR="114300" simplePos="0" relativeHeight="251645947" behindDoc="0" locked="0" layoutInCell="1" allowOverlap="1" wp14:anchorId="04D80A98" wp14:editId="7BD35E6F">
            <wp:simplePos x="0" y="0"/>
            <wp:positionH relativeFrom="column">
              <wp:posOffset>-849923</wp:posOffset>
            </wp:positionH>
            <wp:positionV relativeFrom="paragraph">
              <wp:posOffset>-1101969</wp:posOffset>
            </wp:positionV>
            <wp:extent cx="7809621" cy="11621770"/>
            <wp:effectExtent l="0" t="0" r="1270" b="0"/>
            <wp:wrapNone/>
            <wp:docPr id="3455461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46159" name="Picture 345546159"/>
                    <pic:cNvPicPr/>
                  </pic:nvPicPr>
                  <pic:blipFill>
                    <a:blip r:embed="rId7">
                      <a:extLst>
                        <a:ext uri="{28A0092B-C50C-407E-A947-70E740481C1C}">
                          <a14:useLocalDpi xmlns:a14="http://schemas.microsoft.com/office/drawing/2010/main" val="0"/>
                        </a:ext>
                      </a:extLst>
                    </a:blip>
                    <a:stretch>
                      <a:fillRect/>
                    </a:stretch>
                  </pic:blipFill>
                  <pic:spPr>
                    <a:xfrm>
                      <a:off x="0" y="0"/>
                      <a:ext cx="7809621" cy="11621770"/>
                    </a:xfrm>
                    <a:prstGeom prst="rect">
                      <a:avLst/>
                    </a:prstGeom>
                  </pic:spPr>
                </pic:pic>
              </a:graphicData>
            </a:graphic>
            <wp14:sizeRelH relativeFrom="margin">
              <wp14:pctWidth>0</wp14:pctWidth>
            </wp14:sizeRelH>
            <wp14:sizeRelV relativeFrom="margin">
              <wp14:pctHeight>0</wp14:pctHeight>
            </wp14:sizeRelV>
          </wp:anchor>
        </w:drawing>
      </w:r>
      <w:r w:rsidR="00E23ACE">
        <w:rPr>
          <w:noProof/>
        </w:rPr>
        <mc:AlternateContent>
          <mc:Choice Requires="wpg">
            <w:drawing>
              <wp:anchor distT="0" distB="0" distL="114300" distR="114300" simplePos="0" relativeHeight="251677696" behindDoc="0" locked="0" layoutInCell="1" allowOverlap="1" wp14:anchorId="62F50521" wp14:editId="5DBDFFCA">
                <wp:simplePos x="0" y="0"/>
                <wp:positionH relativeFrom="column">
                  <wp:posOffset>-742950</wp:posOffset>
                </wp:positionH>
                <wp:positionV relativeFrom="paragraph">
                  <wp:posOffset>-914400</wp:posOffset>
                </wp:positionV>
                <wp:extent cx="7692390" cy="10741025"/>
                <wp:effectExtent l="0" t="0" r="0" b="15875"/>
                <wp:wrapNone/>
                <wp:docPr id="78740683" name="Group 31"/>
                <wp:cNvGraphicFramePr/>
                <a:graphic xmlns:a="http://schemas.openxmlformats.org/drawingml/2006/main">
                  <a:graphicData uri="http://schemas.microsoft.com/office/word/2010/wordprocessingGroup">
                    <wpg:wgp>
                      <wpg:cNvGrpSpPr/>
                      <wpg:grpSpPr>
                        <a:xfrm>
                          <a:off x="0" y="0"/>
                          <a:ext cx="7692390" cy="10741025"/>
                          <a:chOff x="-73137" y="-181864"/>
                          <a:chExt cx="7692629" cy="10741152"/>
                        </a:xfrm>
                      </wpg:grpSpPr>
                      <wps:wsp>
                        <wps:cNvPr id="698615390" name="Rectangle 26"/>
                        <wps:cNvSpPr/>
                        <wps:spPr>
                          <a:xfrm>
                            <a:off x="-73137" y="-181864"/>
                            <a:ext cx="7619492" cy="10741152"/>
                          </a:xfrm>
                          <a:prstGeom prst="rect">
                            <a:avLst/>
                          </a:prstGeom>
                          <a:solidFill>
                            <a:schemeClr val="tx1">
                              <a:alpha val="19000"/>
                            </a:schemeClr>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A91EC1" w14:textId="77777777" w:rsidR="00F73151" w:rsidRDefault="00F73151" w:rsidP="00F731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621601" name="Text Box 27"/>
                        <wps:cNvSpPr txBox="1"/>
                        <wps:spPr>
                          <a:xfrm>
                            <a:off x="-73137" y="1818793"/>
                            <a:ext cx="7692629" cy="863955"/>
                          </a:xfrm>
                          <a:prstGeom prst="rect">
                            <a:avLst/>
                          </a:prstGeom>
                          <a:noFill/>
                          <a:ln w="6350">
                            <a:noFill/>
                          </a:ln>
                        </wps:spPr>
                        <wps:txbx>
                          <w:txbxContent>
                            <w:p w14:paraId="0923727F" w14:textId="41F19245" w:rsidR="001F059D" w:rsidRPr="001C6A9D" w:rsidRDefault="001729B6" w:rsidP="00811C62">
                              <w:pPr>
                                <w:pStyle w:val="Title"/>
                              </w:pPr>
                              <w:r>
                                <w:t>Regulating AI in Australia</w:t>
                              </w:r>
                              <w:r w:rsidR="00702CEF">
                                <w:t xml:space="preserve">n Legal Practice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844352" name="Straight Connector 27"/>
                        <wps:cNvCnPr/>
                        <wps:spPr>
                          <a:xfrm>
                            <a:off x="317019" y="1597660"/>
                            <a:ext cx="6913077"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76197336" name="Straight Connector 27"/>
                        <wps:cNvCnPr/>
                        <wps:spPr>
                          <a:xfrm>
                            <a:off x="317019" y="2682748"/>
                            <a:ext cx="691307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74965720" name="Text Box 27"/>
                        <wps:cNvSpPr txBox="1"/>
                        <wps:spPr>
                          <a:xfrm>
                            <a:off x="0" y="2950464"/>
                            <a:ext cx="7546340" cy="512064"/>
                          </a:xfrm>
                          <a:prstGeom prst="rect">
                            <a:avLst/>
                          </a:prstGeom>
                          <a:noFill/>
                          <a:ln w="6350">
                            <a:noFill/>
                          </a:ln>
                        </wps:spPr>
                        <wps:txbx>
                          <w:txbxContent>
                            <w:p w14:paraId="7B295F16" w14:textId="5E7DB068" w:rsidR="00262BED" w:rsidRPr="00262BED" w:rsidRDefault="00811C62" w:rsidP="00235853">
                              <w:pPr>
                                <w:pStyle w:val="Subtitle"/>
                              </w:pPr>
                              <w:r>
                                <w:t xml:space="preserve">Has SC </w:t>
                              </w:r>
                              <w:proofErr w:type="spellStart"/>
                              <w:r>
                                <w:t>Gen</w:t>
                              </w:r>
                              <w:proofErr w:type="spellEnd"/>
                              <w:r>
                                <w:t xml:space="preserve"> Kept 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2F50521" id="Group 31" o:spid="_x0000_s1026" style="position:absolute;margin-left:-58.5pt;margin-top:-1in;width:605.7pt;height:845.75pt;z-index:251677696;mso-width-relative:margin" coordorigin="-731,-1818" coordsize="76926,107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">
                <v:rect id="Rectangle 26" o:spid="_x0000_s1027" style="position:absolute;left:-731;top:-1818;width:76194;height:1074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" fillcolor="black [3213]" strokecolor="#030e13 [484]" strokeweight="1pt">
                  <v:fill opacity="12336f"/>
                  <v:textbox>
                    <w:txbxContent>
                      <w:p w14:paraId="39A91EC1" w14:textId="77777777" w:rsidR="00F73151" w:rsidRDefault="00F73151" w:rsidP="00F73151">
                        <w:pPr>
                          <w:jc w:val="center"/>
                        </w:pPr>
                      </w:p>
                    </w:txbxContent>
                  </v:textbox>
                </v:rect>
                <v:shapetype id="_x0000_t202" coordsize="21600,21600" o:spt="202" path="m,l,21600r21600,l21600,xe">
                  <v:stroke joinstyle="miter"/>
                  <v:path gradientshapeok="t" o:connecttype="rect"/>
                </v:shapetype>
                <v:shape id="_x0000_s1028" type="#_x0000_t202" style="position:absolute;left:-731;top:18187;width:76925;height:8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" filled="f" stroked="f" strokeweight=".5pt">
                  <v:textbox>
                    <w:txbxContent>
                      <w:p w14:paraId="0923727F" w14:textId="41F19245" w:rsidR="001F059D" w:rsidRPr="001C6A9D" w:rsidRDefault="001729B6" w:rsidP="00811C62">
                        <w:pPr>
                          <w:pStyle w:val="Title"/>
                        </w:pPr>
                        <w:r>
                          <w:t>Regulating AI in Australia</w:t>
                        </w:r>
                        <w:r w:rsidR="00702CEF">
                          <w:t xml:space="preserve">n Legal Practice </w:t>
                        </w:r>
                      </w:p>
                    </w:txbxContent>
                  </v:textbox>
                </v:shape>
                <v:line id="Straight Connector 27" o:spid="_x0000_s1029" style="position:absolute;visibility:visible;mso-wrap-style:square" from="3170,15976" to="72300,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" strokecolor="white [3212]" strokeweight="2pt">
                  <v:stroke joinstyle="miter"/>
                </v:line>
                <v:line id="Straight Connector 27" o:spid="_x0000_s1030" style="position:absolute;visibility:visible;mso-wrap-style:square" from="3170,26827" to="72300,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" strokecolor="white [3212]" strokeweight="2pt">
                  <v:stroke joinstyle="miter"/>
                </v:line>
                <v:shape id="_x0000_s1031" type="#_x0000_t202" style="position:absolute;top:29504;width:75463;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" filled="f" stroked="f" strokeweight=".5pt">
                  <v:textbox>
                    <w:txbxContent>
                      <w:p w14:paraId="7B295F16" w14:textId="5E7DB068" w:rsidR="00262BED" w:rsidRPr="00262BED" w:rsidRDefault="00811C62" w:rsidP="00235853">
                        <w:pPr>
                          <w:pStyle w:val="Subtitle"/>
                        </w:pPr>
                        <w:r>
                          <w:t xml:space="preserve">Has SC </w:t>
                        </w:r>
                        <w:proofErr w:type="spellStart"/>
                        <w:r>
                          <w:t>Gen</w:t>
                        </w:r>
                        <w:proofErr w:type="spellEnd"/>
                        <w:r>
                          <w:t xml:space="preserve"> Kept Pace?</w:t>
                        </w:r>
                      </w:p>
                    </w:txbxContent>
                  </v:textbox>
                </v:shape>
              </v:group>
            </w:pict>
          </mc:Fallback>
        </mc:AlternateContent>
      </w:r>
      <w:r w:rsidR="00E23ACE">
        <w:rPr>
          <w:noProof/>
        </w:rPr>
        <mc:AlternateContent>
          <mc:Choice Requires="wps">
            <w:drawing>
              <wp:anchor distT="0" distB="0" distL="114300" distR="114300" simplePos="0" relativeHeight="251685888" behindDoc="0" locked="0" layoutInCell="1" allowOverlap="1" wp14:anchorId="2612F2EA" wp14:editId="7C8F7065">
                <wp:simplePos x="0" y="0"/>
                <wp:positionH relativeFrom="column">
                  <wp:posOffset>4639075</wp:posOffset>
                </wp:positionH>
                <wp:positionV relativeFrom="paragraph">
                  <wp:posOffset>8597265</wp:posOffset>
                </wp:positionV>
                <wp:extent cx="2048256" cy="382397"/>
                <wp:effectExtent l="0" t="0" r="0" b="0"/>
                <wp:wrapNone/>
                <wp:docPr id="2036535871" name="Text Box 21"/>
                <wp:cNvGraphicFramePr/>
                <a:graphic xmlns:a="http://schemas.openxmlformats.org/drawingml/2006/main">
                  <a:graphicData uri="http://schemas.microsoft.com/office/word/2010/wordprocessingShape">
                    <wps:wsp>
                      <wps:cNvSpPr txBox="1"/>
                      <wps:spPr>
                        <a:xfrm>
                          <a:off x="0" y="0"/>
                          <a:ext cx="2048256" cy="382397"/>
                        </a:xfrm>
                        <a:prstGeom prst="rect">
                          <a:avLst/>
                        </a:prstGeom>
                        <a:noFill/>
                        <a:ln w="6350">
                          <a:noFill/>
                        </a:ln>
                      </wps:spPr>
                      <wps:txbx>
                        <w:txbxContent>
                          <w:p w14:paraId="27451D67" w14:textId="6A1B16E2" w:rsidR="00262BED" w:rsidRPr="00262BED" w:rsidRDefault="00262BED" w:rsidP="00235853">
                            <w:pPr>
                              <w:pStyle w:val="Subtitle"/>
                            </w:pPr>
                            <w:r w:rsidRPr="00262BED">
                              <w:t xml:space="preserve">Law Student Review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2F2EA" id="Text Box 21" o:spid="_x0000_s1032" type="#_x0000_t202" style="position:absolute;margin-left:365.3pt;margin-top:676.95pt;width:161.3pt;height:3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" filled="f" stroked="f" strokeweight=".5pt">
                <v:textbox>
                  <w:txbxContent>
                    <w:p w14:paraId="27451D67" w14:textId="6A1B16E2" w:rsidR="00262BED" w:rsidRPr="00262BED" w:rsidRDefault="00262BED" w:rsidP="00235853">
                      <w:pPr>
                        <w:pStyle w:val="Subtitle"/>
                      </w:pPr>
                      <w:r w:rsidRPr="00262BED">
                        <w:t xml:space="preserve">Law Student Review </w:t>
                      </w:r>
                    </w:p>
                  </w:txbxContent>
                </v:textbox>
              </v:shape>
            </w:pict>
          </mc:Fallback>
        </mc:AlternateContent>
      </w:r>
      <w:r w:rsidR="00E23ACE">
        <w:rPr>
          <w:noProof/>
        </w:rPr>
        <mc:AlternateContent>
          <mc:Choice Requires="wps">
            <w:drawing>
              <wp:anchor distT="0" distB="0" distL="114300" distR="114300" simplePos="0" relativeHeight="251684864" behindDoc="0" locked="0" layoutInCell="1" allowOverlap="1" wp14:anchorId="7A1C0EEE" wp14:editId="09A2998D">
                <wp:simplePos x="0" y="0"/>
                <wp:positionH relativeFrom="column">
                  <wp:posOffset>-598552</wp:posOffset>
                </wp:positionH>
                <wp:positionV relativeFrom="paragraph">
                  <wp:posOffset>8594852</wp:posOffset>
                </wp:positionV>
                <wp:extent cx="2047875" cy="389890"/>
                <wp:effectExtent l="0" t="0" r="0" b="0"/>
                <wp:wrapNone/>
                <wp:docPr id="1600177898" name="Text Box 21"/>
                <wp:cNvGraphicFramePr/>
                <a:graphic xmlns:a="http://schemas.openxmlformats.org/drawingml/2006/main">
                  <a:graphicData uri="http://schemas.microsoft.com/office/word/2010/wordprocessingShape">
                    <wps:wsp>
                      <wps:cNvSpPr txBox="1"/>
                      <wps:spPr>
                        <a:xfrm>
                          <a:off x="0" y="0"/>
                          <a:ext cx="2047875" cy="389890"/>
                        </a:xfrm>
                        <a:prstGeom prst="rect">
                          <a:avLst/>
                        </a:prstGeom>
                        <a:noFill/>
                        <a:ln w="6350">
                          <a:noFill/>
                        </a:ln>
                      </wps:spPr>
                      <wps:txbx>
                        <w:txbxContent>
                          <w:p w14:paraId="34E472DF" w14:textId="3B5A3548" w:rsidR="000F108B" w:rsidRPr="00262BED" w:rsidRDefault="000F108B" w:rsidP="00235853">
                            <w:pPr>
                              <w:pStyle w:val="Subtitle"/>
                            </w:pPr>
                            <w:r w:rsidRPr="00262BED">
                              <w:t xml:space="preserve">By </w:t>
                            </w:r>
                            <w:r w:rsidR="006F70AE">
                              <w:t>Caleb D’Souza</w:t>
                            </w:r>
                          </w:p>
                          <w:p w14:paraId="3B17B765" w14:textId="77777777" w:rsidR="000F108B" w:rsidRDefault="000F108B" w:rsidP="00235853">
                            <w:pPr>
                              <w:pStyle w:val="Subtitl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C0EEE" id="_x0000_s1033" type="#_x0000_t202" style="position:absolute;margin-left:-47.15pt;margin-top:676.75pt;width:161.25pt;height:30.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" filled="f" stroked="f" strokeweight=".5pt">
                <v:textbox>
                  <w:txbxContent>
                    <w:p w14:paraId="34E472DF" w14:textId="3B5A3548" w:rsidR="000F108B" w:rsidRPr="00262BED" w:rsidRDefault="000F108B" w:rsidP="00235853">
                      <w:pPr>
                        <w:pStyle w:val="Subtitle"/>
                      </w:pPr>
                      <w:r w:rsidRPr="00262BED">
                        <w:t xml:space="preserve">By </w:t>
                      </w:r>
                      <w:r w:rsidR="006F70AE">
                        <w:t>Caleb D’Souza</w:t>
                      </w:r>
                    </w:p>
                    <w:p w14:paraId="3B17B765" w14:textId="77777777" w:rsidR="000F108B" w:rsidRDefault="000F108B" w:rsidP="00235853">
                      <w:pPr>
                        <w:pStyle w:val="Subtitle"/>
                      </w:pPr>
                    </w:p>
                  </w:txbxContent>
                </v:textbox>
              </v:shape>
            </w:pict>
          </mc:Fallback>
        </mc:AlternateContent>
      </w:r>
      <w:r w:rsidR="007A4BF8">
        <w:rPr>
          <w:noProof/>
        </w:rPr>
        <mc:AlternateContent>
          <mc:Choice Requires="wps">
            <w:drawing>
              <wp:anchor distT="0" distB="0" distL="114300" distR="114300" simplePos="0" relativeHeight="251667456" behindDoc="0" locked="0" layoutInCell="1" allowOverlap="1" wp14:anchorId="7760C708" wp14:editId="15B218CC">
                <wp:simplePos x="0" y="0"/>
                <wp:positionH relativeFrom="column">
                  <wp:posOffset>-746760</wp:posOffset>
                </wp:positionH>
                <wp:positionV relativeFrom="paragraph">
                  <wp:posOffset>-914400</wp:posOffset>
                </wp:positionV>
                <wp:extent cx="7107428" cy="0"/>
                <wp:effectExtent l="0" t="12700" r="17780" b="12700"/>
                <wp:wrapNone/>
                <wp:docPr id="38297992" name="Straight Connector 27"/>
                <wp:cNvGraphicFramePr/>
                <a:graphic xmlns:a="http://schemas.openxmlformats.org/drawingml/2006/main">
                  <a:graphicData uri="http://schemas.microsoft.com/office/word/2010/wordprocessingShape">
                    <wps:wsp>
                      <wps:cNvCnPr/>
                      <wps:spPr>
                        <a:xfrm>
                          <a:off x="0" y="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26F7FF" id="Straight Connector 2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8pt,-1in" to="500.85pt,-1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" strokecolor="white [3212]" strokeweight="2pt">
                <v:stroke joinstyle="miter"/>
              </v:line>
            </w:pict>
          </mc:Fallback>
        </mc:AlternateContent>
      </w:r>
      <w:r w:rsidR="000F108B">
        <w:br w:type="page"/>
      </w:r>
    </w:p>
    <w:p w14:paraId="6695B61E" w14:textId="7AA5CC4D" w:rsidR="00FD42E0" w:rsidRDefault="001F059D" w:rsidP="00D74462">
      <w:pPr>
        <w:pStyle w:val="Heading1"/>
      </w:pPr>
      <w:r w:rsidRPr="00E23ACE">
        <w:lastRenderedPageBreak/>
        <w:t xml:space="preserve">I </w:t>
      </w:r>
      <w:r w:rsidR="00313E2E">
        <w:t>INTRODUCTION</w:t>
      </w:r>
    </w:p>
    <w:p w14:paraId="3D5C1FA9" w14:textId="77777777" w:rsidR="00313E2E" w:rsidRDefault="00313E2E" w:rsidP="00313E2E">
      <w:pPr>
        <w:spacing w:after="160"/>
        <w:rPr>
          <w:kern w:val="2"/>
          <w14:ligatures w14:val="standardContextual"/>
        </w:rPr>
      </w:pPr>
      <w:r w:rsidRPr="00313E2E">
        <w:rPr>
          <w:kern w:val="2"/>
          <w14:ligatures w14:val="standardContextual"/>
        </w:rPr>
        <w:t>On the 16</w:t>
      </w:r>
      <w:r w:rsidRPr="00313E2E">
        <w:rPr>
          <w:kern w:val="2"/>
          <w:vertAlign w:val="superscript"/>
          <w14:ligatures w14:val="standardContextual"/>
        </w:rPr>
        <w:t>th</w:t>
      </w:r>
      <w:r w:rsidRPr="00313E2E">
        <w:rPr>
          <w:kern w:val="2"/>
          <w14:ligatures w14:val="standardContextual"/>
        </w:rPr>
        <w:t xml:space="preserve"> of April 2026, the Federal Court of Australia released a new practice note – ‘Use of Generative Artificial Intelligence Practice Note (GPN-AI)’, in an earnest attempt to ensuring that professionals use Generative AI ‘appropriately, responsibly and with due care’.</w:t>
      </w:r>
      <w:r w:rsidRPr="00313E2E">
        <w:rPr>
          <w:kern w:val="2"/>
          <w:vertAlign w:val="superscript"/>
          <w14:ligatures w14:val="standardContextual"/>
        </w:rPr>
        <w:footnoteReference w:id="1"/>
      </w:r>
      <w:r w:rsidRPr="00313E2E">
        <w:rPr>
          <w:kern w:val="2"/>
          <w14:ligatures w14:val="standardContextual"/>
        </w:rPr>
        <w:t xml:space="preserve"> It was just over a year ago when the NSW Supreme Court attempted to respond to this same technology in similar vein, through its Practice Note SC </w:t>
      </w:r>
      <w:proofErr w:type="spellStart"/>
      <w:r w:rsidRPr="00313E2E">
        <w:rPr>
          <w:kern w:val="2"/>
          <w14:ligatures w14:val="standardContextual"/>
        </w:rPr>
        <w:t>Gen</w:t>
      </w:r>
      <w:proofErr w:type="spellEnd"/>
      <w:r w:rsidRPr="00313E2E">
        <w:rPr>
          <w:kern w:val="2"/>
          <w14:ligatures w14:val="standardContextual"/>
        </w:rPr>
        <w:t xml:space="preserve"> 23, issued in November 2024 and commencing in February of the following year. It is worth considering that SC </w:t>
      </w:r>
      <w:proofErr w:type="spellStart"/>
      <w:r w:rsidRPr="00313E2E">
        <w:rPr>
          <w:kern w:val="2"/>
          <w14:ligatures w14:val="standardContextual"/>
        </w:rPr>
        <w:t>Gen</w:t>
      </w:r>
      <w:proofErr w:type="spellEnd"/>
      <w:r w:rsidRPr="00313E2E">
        <w:rPr>
          <w:kern w:val="2"/>
          <w14:ligatures w14:val="standardContextual"/>
        </w:rPr>
        <w:t xml:space="preserve"> 23 was one of the earliest comprehensive Australian court responses to the revolutionary yet polarising tool that is Generative AI, though it was initially met with mixed responses. The release of GPN-AI therefore invites the broader question as to SC </w:t>
      </w:r>
      <w:proofErr w:type="spellStart"/>
      <w:r w:rsidRPr="00313E2E">
        <w:rPr>
          <w:kern w:val="2"/>
          <w14:ligatures w14:val="standardContextual"/>
        </w:rPr>
        <w:t>Gen</w:t>
      </w:r>
      <w:proofErr w:type="spellEnd"/>
      <w:r w:rsidRPr="00313E2E">
        <w:rPr>
          <w:kern w:val="2"/>
          <w14:ligatures w14:val="standardContextual"/>
        </w:rPr>
        <w:t xml:space="preserve"> 23’s effectiveness – has it provided viable, workable guidance, or was it just a knee jerk reaction to a developing technology?</w:t>
      </w:r>
    </w:p>
    <w:p w14:paraId="45B16ED7" w14:textId="77777777" w:rsidR="00313E2E" w:rsidRPr="00313E2E" w:rsidRDefault="00313E2E" w:rsidP="00313E2E">
      <w:pPr>
        <w:spacing w:after="160"/>
        <w:rPr>
          <w:kern w:val="2"/>
          <w14:ligatures w14:val="standardContextual"/>
        </w:rPr>
      </w:pPr>
    </w:p>
    <w:p w14:paraId="12B1A710" w14:textId="2FAC3ED5" w:rsidR="00313E2E" w:rsidRPr="00313E2E" w:rsidRDefault="00313E2E" w:rsidP="00313E2E">
      <w:pPr>
        <w:jc w:val="center"/>
        <w:outlineLvl w:val="0"/>
        <w:rPr>
          <w:b/>
          <w:bCs/>
          <w:color w:val="000000" w:themeColor="text1"/>
          <w:sz w:val="28"/>
          <w:szCs w:val="28"/>
        </w:rPr>
      </w:pPr>
      <w:r w:rsidRPr="00313E2E">
        <w:rPr>
          <w:b/>
          <w:bCs/>
          <w:color w:val="000000" w:themeColor="text1"/>
          <w:sz w:val="28"/>
          <w:szCs w:val="28"/>
        </w:rPr>
        <w:t>I</w:t>
      </w:r>
      <w:r>
        <w:rPr>
          <w:b/>
          <w:bCs/>
          <w:color w:val="000000" w:themeColor="text1"/>
          <w:sz w:val="28"/>
          <w:szCs w:val="28"/>
        </w:rPr>
        <w:t>I WHAT DID IT PROPOSE?</w:t>
      </w:r>
    </w:p>
    <w:p w14:paraId="70D16262" w14:textId="77777777" w:rsidR="00313E2E" w:rsidRDefault="00313E2E" w:rsidP="00313E2E">
      <w:pPr>
        <w:spacing w:after="160"/>
        <w:rPr>
          <w:kern w:val="2"/>
          <w14:ligatures w14:val="standardContextual"/>
        </w:rPr>
      </w:pPr>
      <w:r w:rsidRPr="00313E2E">
        <w:rPr>
          <w:kern w:val="2"/>
          <w14:ligatures w14:val="standardContextual"/>
        </w:rPr>
        <w:t xml:space="preserve">SC </w:t>
      </w:r>
      <w:proofErr w:type="spellStart"/>
      <w:r w:rsidRPr="00313E2E">
        <w:rPr>
          <w:kern w:val="2"/>
          <w14:ligatures w14:val="standardContextual"/>
        </w:rPr>
        <w:t>Gen</w:t>
      </w:r>
      <w:proofErr w:type="spellEnd"/>
      <w:r w:rsidRPr="00313E2E">
        <w:rPr>
          <w:kern w:val="2"/>
          <w14:ligatures w14:val="standardContextual"/>
        </w:rPr>
        <w:t xml:space="preserve"> 23 is best defined as a risk-management instrument. It does not seek to arbitrarily prohibit, but rather, to regulate, permitting the use of </w:t>
      </w:r>
      <w:proofErr w:type="spellStart"/>
      <w:r w:rsidRPr="00313E2E">
        <w:rPr>
          <w:kern w:val="2"/>
          <w14:ligatures w14:val="standardContextual"/>
        </w:rPr>
        <w:t>Gen</w:t>
      </w:r>
      <w:proofErr w:type="spellEnd"/>
      <w:r w:rsidRPr="00313E2E">
        <w:rPr>
          <w:kern w:val="2"/>
          <w14:ligatures w14:val="standardContextual"/>
        </w:rPr>
        <w:t xml:space="preserve"> AI for largely administrative tasks, such as chronologies, indexes, witness lists, preparation of briefs, document and transcript reviews, and drafting of written submissions or argument summaries.</w:t>
      </w:r>
      <w:r w:rsidRPr="00313E2E">
        <w:rPr>
          <w:kern w:val="2"/>
          <w:vertAlign w:val="superscript"/>
          <w14:ligatures w14:val="standardContextual"/>
        </w:rPr>
        <w:t xml:space="preserve"> </w:t>
      </w:r>
      <w:r w:rsidRPr="00313E2E">
        <w:rPr>
          <w:kern w:val="2"/>
          <w:vertAlign w:val="superscript"/>
          <w14:ligatures w14:val="standardContextual"/>
        </w:rPr>
        <w:footnoteReference w:id="2"/>
      </w:r>
      <w:r w:rsidRPr="00313E2E">
        <w:rPr>
          <w:kern w:val="2"/>
          <w14:ligatures w14:val="standardContextual"/>
        </w:rPr>
        <w:t xml:space="preserve"> It considers generic language models, ‘bespoke’ legal programs and chatbots within these programs to be </w:t>
      </w:r>
      <w:proofErr w:type="spellStart"/>
      <w:r w:rsidRPr="00313E2E">
        <w:rPr>
          <w:kern w:val="2"/>
          <w14:ligatures w14:val="standardContextual"/>
        </w:rPr>
        <w:t>Gen</w:t>
      </w:r>
      <w:proofErr w:type="spellEnd"/>
      <w:r w:rsidRPr="00313E2E">
        <w:rPr>
          <w:kern w:val="2"/>
          <w14:ligatures w14:val="standardContextual"/>
        </w:rPr>
        <w:t xml:space="preserve"> AI,</w:t>
      </w:r>
      <w:r w:rsidRPr="00313E2E">
        <w:rPr>
          <w:kern w:val="2"/>
          <w:vertAlign w:val="superscript"/>
          <w14:ligatures w14:val="standardContextual"/>
        </w:rPr>
        <w:footnoteReference w:id="3"/>
      </w:r>
      <w:r w:rsidRPr="00313E2E">
        <w:rPr>
          <w:kern w:val="2"/>
          <w14:ligatures w14:val="standardContextual"/>
        </w:rPr>
        <w:t xml:space="preserve"> but not established search engines or dedicated legal research software.</w:t>
      </w:r>
      <w:r w:rsidRPr="00313E2E">
        <w:rPr>
          <w:kern w:val="2"/>
          <w:vertAlign w:val="superscript"/>
          <w14:ligatures w14:val="standardContextual"/>
        </w:rPr>
        <w:footnoteReference w:id="4"/>
      </w:r>
      <w:r w:rsidRPr="00313E2E">
        <w:rPr>
          <w:kern w:val="2"/>
          <w14:ligatures w14:val="standardContextual"/>
        </w:rPr>
        <w:t xml:space="preserve"> However, while its goal is not to prohibit, it nonetheless places safeguards against </w:t>
      </w:r>
      <w:proofErr w:type="spellStart"/>
      <w:r w:rsidRPr="00313E2E">
        <w:rPr>
          <w:kern w:val="2"/>
          <w14:ligatures w14:val="standardContextual"/>
        </w:rPr>
        <w:t>Gen</w:t>
      </w:r>
      <w:proofErr w:type="spellEnd"/>
      <w:r w:rsidRPr="00313E2E">
        <w:rPr>
          <w:kern w:val="2"/>
          <w14:ligatures w14:val="standardContextual"/>
        </w:rPr>
        <w:t xml:space="preserve"> AI for sensitive material, restricting its use in drafting affidavits, witness statements, or other evidentiary material, unless an applicant identifies the specific </w:t>
      </w:r>
      <w:proofErr w:type="spellStart"/>
      <w:r w:rsidRPr="00313E2E">
        <w:rPr>
          <w:kern w:val="2"/>
          <w14:ligatures w14:val="standardContextual"/>
        </w:rPr>
        <w:t>Gen</w:t>
      </w:r>
      <w:proofErr w:type="spellEnd"/>
      <w:r w:rsidRPr="00313E2E">
        <w:rPr>
          <w:kern w:val="2"/>
          <w14:ligatures w14:val="standardContextual"/>
        </w:rPr>
        <w:t xml:space="preserve"> AI tool used and is able to explain its beneficial impact, in which case special leave may be granted.</w:t>
      </w:r>
      <w:r w:rsidRPr="00313E2E">
        <w:rPr>
          <w:kern w:val="2"/>
          <w:vertAlign w:val="superscript"/>
          <w14:ligatures w14:val="standardContextual"/>
        </w:rPr>
        <w:footnoteReference w:id="5"/>
      </w:r>
      <w:r w:rsidRPr="00313E2E">
        <w:rPr>
          <w:kern w:val="2"/>
          <w14:ligatures w14:val="standardContextual"/>
        </w:rPr>
        <w:t xml:space="preserve"> While </w:t>
      </w:r>
      <w:proofErr w:type="spellStart"/>
      <w:r w:rsidRPr="00313E2E">
        <w:rPr>
          <w:kern w:val="2"/>
          <w14:ligatures w14:val="standardContextual"/>
        </w:rPr>
        <w:t>Gen</w:t>
      </w:r>
      <w:proofErr w:type="spellEnd"/>
      <w:r w:rsidRPr="00313E2E">
        <w:rPr>
          <w:kern w:val="2"/>
          <w14:ligatures w14:val="standardContextual"/>
        </w:rPr>
        <w:t xml:space="preserve"> AI may assist in drafting written submissions, legal authorities cited must be correctly referenced and verified.</w:t>
      </w:r>
      <w:r w:rsidRPr="00313E2E">
        <w:rPr>
          <w:kern w:val="2"/>
          <w:vertAlign w:val="superscript"/>
          <w14:ligatures w14:val="standardContextual"/>
        </w:rPr>
        <w:footnoteReference w:id="6"/>
      </w:r>
      <w:r w:rsidRPr="00313E2E">
        <w:rPr>
          <w:kern w:val="2"/>
          <w14:ligatures w14:val="standardContextual"/>
        </w:rPr>
        <w:t xml:space="preserve"> Similarly, the report also restricts AI-generated expert reports, </w:t>
      </w:r>
      <w:r w:rsidRPr="00313E2E">
        <w:rPr>
          <w:kern w:val="2"/>
          <w14:ligatures w14:val="standardContextual"/>
        </w:rPr>
        <w:lastRenderedPageBreak/>
        <w:t>requiring court approval before usage, and after its creation, requiring users to disclose the extent to which AI was used in preparation of the report.</w:t>
      </w:r>
      <w:r w:rsidRPr="00313E2E">
        <w:rPr>
          <w:kern w:val="2"/>
          <w:vertAlign w:val="superscript"/>
          <w14:ligatures w14:val="standardContextual"/>
        </w:rPr>
        <w:footnoteReference w:id="7"/>
      </w:r>
    </w:p>
    <w:p w14:paraId="742E39FD" w14:textId="77777777" w:rsidR="00313E2E" w:rsidRPr="00313E2E" w:rsidRDefault="00313E2E" w:rsidP="00313E2E">
      <w:pPr>
        <w:spacing w:after="160"/>
        <w:rPr>
          <w:kern w:val="2"/>
          <w14:ligatures w14:val="standardContextual"/>
        </w:rPr>
      </w:pPr>
    </w:p>
    <w:p w14:paraId="224EFE89" w14:textId="15E3BD44" w:rsidR="00313E2E" w:rsidRPr="00313E2E" w:rsidRDefault="00313E2E" w:rsidP="00313E2E">
      <w:pPr>
        <w:jc w:val="center"/>
        <w:outlineLvl w:val="0"/>
        <w:rPr>
          <w:b/>
          <w:bCs/>
          <w:color w:val="000000" w:themeColor="text1"/>
          <w:sz w:val="28"/>
          <w:szCs w:val="28"/>
        </w:rPr>
      </w:pPr>
      <w:r w:rsidRPr="00313E2E">
        <w:rPr>
          <w:b/>
          <w:bCs/>
          <w:color w:val="000000" w:themeColor="text1"/>
          <w:sz w:val="28"/>
          <w:szCs w:val="28"/>
        </w:rPr>
        <w:t>I</w:t>
      </w:r>
      <w:r>
        <w:rPr>
          <w:b/>
          <w:bCs/>
          <w:color w:val="000000" w:themeColor="text1"/>
          <w:sz w:val="28"/>
          <w:szCs w:val="28"/>
        </w:rPr>
        <w:t>II HOW WAS IT RECEIVED AT THE TIME?</w:t>
      </w:r>
    </w:p>
    <w:p w14:paraId="57E8B619" w14:textId="77777777" w:rsidR="00313E2E" w:rsidRPr="00313E2E" w:rsidRDefault="00313E2E" w:rsidP="00313E2E">
      <w:pPr>
        <w:spacing w:after="160"/>
        <w:rPr>
          <w:kern w:val="2"/>
          <w14:ligatures w14:val="standardContextual"/>
        </w:rPr>
      </w:pPr>
      <w:r w:rsidRPr="00313E2E">
        <w:rPr>
          <w:kern w:val="2"/>
          <w14:ligatures w14:val="standardContextual"/>
        </w:rPr>
        <w:t xml:space="preserve">The practice note was seemingly met with overwhelming support from legal professionals. Sharon </w:t>
      </w:r>
      <w:proofErr w:type="spellStart"/>
      <w:r w:rsidRPr="00313E2E">
        <w:rPr>
          <w:kern w:val="2"/>
          <w14:ligatures w14:val="standardContextual"/>
        </w:rPr>
        <w:t>Kermath</w:t>
      </w:r>
      <w:proofErr w:type="spellEnd"/>
      <w:r w:rsidRPr="00313E2E">
        <w:rPr>
          <w:kern w:val="2"/>
          <w14:ligatures w14:val="standardContextual"/>
        </w:rPr>
        <w:t xml:space="preserve"> from </w:t>
      </w:r>
      <w:proofErr w:type="spellStart"/>
      <w:r w:rsidRPr="00313E2E">
        <w:rPr>
          <w:kern w:val="2"/>
          <w14:ligatures w14:val="standardContextual"/>
        </w:rPr>
        <w:t>Svenson</w:t>
      </w:r>
      <w:proofErr w:type="spellEnd"/>
      <w:r w:rsidRPr="00313E2E">
        <w:rPr>
          <w:kern w:val="2"/>
          <w14:ligatures w14:val="standardContextual"/>
        </w:rPr>
        <w:t xml:space="preserve"> Barristers, noted that </w:t>
      </w:r>
      <w:proofErr w:type="spellStart"/>
      <w:r w:rsidRPr="00313E2E">
        <w:rPr>
          <w:kern w:val="2"/>
          <w14:ligatures w14:val="standardContextual"/>
        </w:rPr>
        <w:t>GenAI</w:t>
      </w:r>
      <w:proofErr w:type="spellEnd"/>
      <w:r w:rsidRPr="00313E2E">
        <w:rPr>
          <w:kern w:val="2"/>
          <w14:ligatures w14:val="standardContextual"/>
        </w:rPr>
        <w:t xml:space="preserve"> had the potential to ‘improve the efficiency and quality of legal services, enhancing outcomes for clients and allowing lawyers to focus more on client relationships,’</w:t>
      </w:r>
      <w:r w:rsidRPr="00313E2E">
        <w:rPr>
          <w:kern w:val="2"/>
          <w:vertAlign w:val="superscript"/>
          <w14:ligatures w14:val="standardContextual"/>
        </w:rPr>
        <w:footnoteReference w:id="8"/>
      </w:r>
      <w:r w:rsidRPr="00313E2E">
        <w:rPr>
          <w:kern w:val="2"/>
          <w14:ligatures w14:val="standardContextual"/>
        </w:rPr>
        <w:t xml:space="preserve"> while Law Society of NSW president, Brett McGrath, lauded its ability to ‘</w:t>
      </w:r>
      <w:r w:rsidRPr="00313E2E">
        <w:rPr>
          <w:color w:val="000000"/>
          <w:kern w:val="2"/>
          <w14:ligatures w14:val="standardContextual"/>
        </w:rPr>
        <w:t>protect litigants, the broader community and the justice system itself’.</w:t>
      </w:r>
      <w:r w:rsidRPr="00313E2E">
        <w:rPr>
          <w:color w:val="000000"/>
          <w:kern w:val="2"/>
          <w:vertAlign w:val="superscript"/>
          <w14:ligatures w14:val="standardContextual"/>
        </w:rPr>
        <w:footnoteReference w:id="9"/>
      </w:r>
    </w:p>
    <w:p w14:paraId="7790BFF2" w14:textId="554CECF1" w:rsidR="00313E2E" w:rsidRDefault="00313E2E" w:rsidP="00313E2E">
      <w:pPr>
        <w:spacing w:after="160"/>
        <w:rPr>
          <w:kern w:val="2"/>
          <w14:ligatures w14:val="standardContextual"/>
        </w:rPr>
      </w:pPr>
      <w:r w:rsidRPr="00313E2E">
        <w:rPr>
          <w:kern w:val="2"/>
          <w14:ligatures w14:val="standardContextual"/>
        </w:rPr>
        <w:t xml:space="preserve">It was supported by scholars, too. Mimi </w:t>
      </w:r>
      <w:proofErr w:type="spellStart"/>
      <w:r w:rsidRPr="00313E2E">
        <w:rPr>
          <w:kern w:val="2"/>
          <w14:ligatures w14:val="standardContextual"/>
        </w:rPr>
        <w:t>Zou</w:t>
      </w:r>
      <w:proofErr w:type="spellEnd"/>
      <w:r w:rsidRPr="00313E2E">
        <w:rPr>
          <w:kern w:val="2"/>
          <w14:ligatures w14:val="standardContextual"/>
        </w:rPr>
        <w:t>, Head of the School of Private &amp; Commercial Law at UNSW Law &amp; Justice was welcoming to the practice note, expressing that it provides clarity and guidance what is still an emerging technological development.</w:t>
      </w:r>
      <w:r w:rsidRPr="00313E2E">
        <w:rPr>
          <w:kern w:val="2"/>
          <w:vertAlign w:val="superscript"/>
          <w14:ligatures w14:val="standardContextual"/>
        </w:rPr>
        <w:footnoteReference w:id="10"/>
      </w:r>
      <w:r w:rsidRPr="00313E2E">
        <w:rPr>
          <w:kern w:val="2"/>
          <w14:ligatures w14:val="standardContextual"/>
        </w:rPr>
        <w:t xml:space="preserve"> Understandably, however, it was met with contention by key stakeholders in the AI industry, such as Samuel </w:t>
      </w:r>
      <w:proofErr w:type="spellStart"/>
      <w:r w:rsidRPr="00313E2E">
        <w:rPr>
          <w:kern w:val="2"/>
          <w14:ligatures w14:val="standardContextual"/>
        </w:rPr>
        <w:t>Junghenn</w:t>
      </w:r>
      <w:proofErr w:type="spellEnd"/>
      <w:r w:rsidRPr="00313E2E">
        <w:rPr>
          <w:kern w:val="2"/>
          <w14:ligatures w14:val="standardContextual"/>
        </w:rPr>
        <w:t>, CEO of AI Legal Assistant, who noted that the practice note ‘lump[ed] together general-purpose AI chatbots like ChatGPT with purpose-built enterprise-level applications designed specifically for legal practice’.</w:t>
      </w:r>
      <w:r w:rsidRPr="00313E2E">
        <w:rPr>
          <w:kern w:val="2"/>
          <w:vertAlign w:val="superscript"/>
          <w14:ligatures w14:val="standardContextual"/>
        </w:rPr>
        <w:footnoteReference w:id="11"/>
      </w:r>
      <w:r w:rsidRPr="00313E2E">
        <w:rPr>
          <w:kern w:val="2"/>
          <w14:ligatures w14:val="standardContextual"/>
        </w:rPr>
        <w:t xml:space="preserve"> Other critics also suggested that it risked stifling innovation in the legal sphere.</w:t>
      </w:r>
      <w:r w:rsidRPr="00313E2E">
        <w:rPr>
          <w:kern w:val="2"/>
          <w:vertAlign w:val="superscript"/>
          <w14:ligatures w14:val="standardContextual"/>
        </w:rPr>
        <w:footnoteReference w:id="12"/>
      </w:r>
      <w:r w:rsidRPr="00313E2E">
        <w:rPr>
          <w:kern w:val="2"/>
          <w14:ligatures w14:val="standardContextual"/>
        </w:rPr>
        <w:t xml:space="preserve"> </w:t>
      </w:r>
    </w:p>
    <w:p w14:paraId="17509F17" w14:textId="77777777" w:rsidR="00313E2E" w:rsidRPr="00313E2E" w:rsidRDefault="00313E2E" w:rsidP="00313E2E">
      <w:pPr>
        <w:spacing w:after="160"/>
        <w:rPr>
          <w:kern w:val="2"/>
          <w14:ligatures w14:val="standardContextual"/>
        </w:rPr>
      </w:pPr>
    </w:p>
    <w:p w14:paraId="5CFCA15E" w14:textId="423F8265" w:rsidR="00313E2E" w:rsidRPr="00313E2E" w:rsidRDefault="00313E2E" w:rsidP="00313E2E">
      <w:pPr>
        <w:jc w:val="center"/>
        <w:outlineLvl w:val="0"/>
        <w:rPr>
          <w:b/>
          <w:bCs/>
          <w:color w:val="000000" w:themeColor="text1"/>
          <w:sz w:val="28"/>
          <w:szCs w:val="28"/>
        </w:rPr>
      </w:pPr>
      <w:r w:rsidRPr="00313E2E">
        <w:rPr>
          <w:b/>
          <w:bCs/>
          <w:color w:val="000000" w:themeColor="text1"/>
          <w:sz w:val="28"/>
          <w:szCs w:val="28"/>
        </w:rPr>
        <w:t>I</w:t>
      </w:r>
      <w:r>
        <w:rPr>
          <w:b/>
          <w:bCs/>
          <w:color w:val="000000" w:themeColor="text1"/>
          <w:sz w:val="28"/>
          <w:szCs w:val="28"/>
        </w:rPr>
        <w:t>V HOW HAS IT IMPACTED LEGAL PRACTICE TODAY?</w:t>
      </w:r>
    </w:p>
    <w:p w14:paraId="5103649B" w14:textId="77777777" w:rsidR="00313E2E" w:rsidRDefault="00313E2E" w:rsidP="00313E2E">
      <w:pPr>
        <w:spacing w:after="160"/>
        <w:rPr>
          <w:kern w:val="2"/>
          <w14:ligatures w14:val="standardContextual"/>
        </w:rPr>
      </w:pPr>
      <w:r w:rsidRPr="00313E2E">
        <w:rPr>
          <w:kern w:val="2"/>
          <w14:ligatures w14:val="standardContextual"/>
        </w:rPr>
        <w:t xml:space="preserve">The biggest impact has been cultural, rather than punitive. SC </w:t>
      </w:r>
      <w:proofErr w:type="spellStart"/>
      <w:r w:rsidRPr="00313E2E">
        <w:rPr>
          <w:kern w:val="2"/>
          <w14:ligatures w14:val="standardContextual"/>
        </w:rPr>
        <w:t>Gen</w:t>
      </w:r>
      <w:proofErr w:type="spellEnd"/>
      <w:r w:rsidRPr="00313E2E">
        <w:rPr>
          <w:kern w:val="2"/>
          <w14:ligatures w14:val="standardContextual"/>
        </w:rPr>
        <w:t xml:space="preserve"> 23 forced legal professionals to confront the reality of using generative AI. While it has been incredibly convenient in saving time for certain tasks, it also has several drawbacks. The most recurring themes, as noted by the Centre for the Future of the Legal Profession, were fake and incorrect case citations and summaries (or hallucinations), flawed legal reasoning, incorrect documentation and prolix documentation and </w:t>
      </w:r>
      <w:r w:rsidRPr="00313E2E">
        <w:rPr>
          <w:kern w:val="2"/>
          <w14:ligatures w14:val="standardContextual"/>
        </w:rPr>
        <w:lastRenderedPageBreak/>
        <w:t>flooding.</w:t>
      </w:r>
      <w:r w:rsidRPr="00313E2E">
        <w:rPr>
          <w:kern w:val="2"/>
          <w:vertAlign w:val="superscript"/>
          <w14:ligatures w14:val="standardContextual"/>
        </w:rPr>
        <w:footnoteReference w:id="13"/>
      </w:r>
      <w:r w:rsidRPr="00313E2E">
        <w:rPr>
          <w:kern w:val="2"/>
          <w14:ligatures w14:val="standardContextual"/>
        </w:rPr>
        <w:t xml:space="preserve">  particularly its creation of hallucinations with alarmingly high confidence. The first domestic case in which a solicitor was caught making such a mistake was </w:t>
      </w:r>
      <w:r w:rsidRPr="00313E2E">
        <w:rPr>
          <w:i/>
          <w:iCs/>
          <w:kern w:val="2"/>
          <w14:ligatures w14:val="standardContextual"/>
        </w:rPr>
        <w:t>Dayal</w:t>
      </w:r>
      <w:r w:rsidRPr="00313E2E">
        <w:rPr>
          <w:kern w:val="2"/>
          <w14:ligatures w14:val="standardContextual"/>
        </w:rPr>
        <w:t xml:space="preserve"> [2024] FedCFamC2F 1166,</w:t>
      </w:r>
      <w:r w:rsidRPr="00313E2E">
        <w:rPr>
          <w:kern w:val="2"/>
          <w:vertAlign w:val="superscript"/>
          <w14:ligatures w14:val="standardContextual"/>
        </w:rPr>
        <w:footnoteReference w:id="14"/>
      </w:r>
      <w:r w:rsidRPr="00313E2E">
        <w:rPr>
          <w:kern w:val="2"/>
          <w14:ligatures w14:val="standardContextual"/>
        </w:rPr>
        <w:t xml:space="preserve"> and in recent times,</w:t>
      </w:r>
      <w:r w:rsidRPr="00313E2E">
        <w:rPr>
          <w:i/>
          <w:iCs/>
          <w:kern w:val="2"/>
          <w14:ligatures w14:val="standardContextual"/>
        </w:rPr>
        <w:t xml:space="preserve"> JNE v Minister for Immigration and Citizenship </w:t>
      </w:r>
      <w:r w:rsidRPr="00313E2E">
        <w:rPr>
          <w:kern w:val="2"/>
          <w14:ligatures w14:val="standardContextual"/>
        </w:rPr>
        <w:t>[2025] FedCFamC2G 1314.</w:t>
      </w:r>
      <w:r w:rsidRPr="00313E2E">
        <w:rPr>
          <w:kern w:val="2"/>
          <w:vertAlign w:val="superscript"/>
          <w14:ligatures w14:val="standardContextual"/>
        </w:rPr>
        <w:footnoteReference w:id="15"/>
      </w:r>
      <w:r w:rsidRPr="00313E2E">
        <w:rPr>
          <w:kern w:val="2"/>
          <w14:ligatures w14:val="standardContextual"/>
        </w:rPr>
        <w:t xml:space="preserve"> By ‘drawing a line’ around evidence, submissions and expert work, the Court made verification a professional habit, rather than an optional precaution. It also sent a clear message that AI is not a substitute for legal research, acting as a deterrent for professionals who may lack technological literacy, to perhaps not use it at all when drafting vital documents.</w:t>
      </w:r>
    </w:p>
    <w:p w14:paraId="4C5483BD" w14:textId="77777777" w:rsidR="00313E2E" w:rsidRPr="00313E2E" w:rsidRDefault="00313E2E" w:rsidP="00313E2E">
      <w:pPr>
        <w:spacing w:after="160"/>
        <w:rPr>
          <w:kern w:val="2"/>
          <w14:ligatures w14:val="standardContextual"/>
        </w:rPr>
      </w:pPr>
    </w:p>
    <w:p w14:paraId="4F6831C7" w14:textId="682B0C97" w:rsidR="00313E2E" w:rsidRPr="00313E2E" w:rsidRDefault="00313E2E" w:rsidP="00313E2E">
      <w:pPr>
        <w:jc w:val="center"/>
        <w:outlineLvl w:val="0"/>
        <w:rPr>
          <w:b/>
          <w:bCs/>
          <w:color w:val="000000" w:themeColor="text1"/>
          <w:sz w:val="28"/>
          <w:szCs w:val="28"/>
        </w:rPr>
      </w:pPr>
      <w:r>
        <w:rPr>
          <w:b/>
          <w:bCs/>
          <w:color w:val="000000" w:themeColor="text1"/>
          <w:sz w:val="28"/>
          <w:szCs w:val="28"/>
        </w:rPr>
        <w:t>V HAS IT WORKED?</w:t>
      </w:r>
    </w:p>
    <w:p w14:paraId="08E2DFA8" w14:textId="77777777" w:rsidR="00313E2E" w:rsidRPr="00313E2E" w:rsidRDefault="00313E2E" w:rsidP="00313E2E">
      <w:pPr>
        <w:spacing w:after="160"/>
        <w:rPr>
          <w:kern w:val="2"/>
          <w14:ligatures w14:val="standardContextual"/>
        </w:rPr>
      </w:pPr>
      <w:r w:rsidRPr="00313E2E">
        <w:rPr>
          <w:kern w:val="2"/>
          <w14:ligatures w14:val="standardContextual"/>
        </w:rPr>
        <w:t xml:space="preserve">The most realistic answer is that SC </w:t>
      </w:r>
      <w:proofErr w:type="spellStart"/>
      <w:r w:rsidRPr="00313E2E">
        <w:rPr>
          <w:kern w:val="2"/>
          <w14:ligatures w14:val="standardContextual"/>
        </w:rPr>
        <w:t>Gen</w:t>
      </w:r>
      <w:proofErr w:type="spellEnd"/>
      <w:r w:rsidRPr="00313E2E">
        <w:rPr>
          <w:kern w:val="2"/>
          <w14:ligatures w14:val="standardContextual"/>
        </w:rPr>
        <w:t xml:space="preserve"> 23 has been of relative effect. It has clearly worked in signalling the Supreme Court’s expectations, normalising verification as non-negotiable and providing practitioners with a framework to understand when AI is permissible, and when it is not, and creating the understanding that there are repercussions for those who misuse it. The note is workable for larger firms with greater budgets that have integrated internal review systems. It is, however, more difficult to traverse for smaller practices and sole practitioners, as the note assumes an equal level of technological literacy that not all practitioners have, as well as self-represented litigants. This concern was noted by the Law Society Journal, which noted the risk of widening the digital divide between well-resourced firms against everyone else, furthering the structural gap.</w:t>
      </w:r>
      <w:r w:rsidRPr="00313E2E">
        <w:rPr>
          <w:kern w:val="2"/>
          <w:vertAlign w:val="superscript"/>
          <w14:ligatures w14:val="standardContextual"/>
        </w:rPr>
        <w:footnoteReference w:id="16"/>
      </w:r>
      <w:r w:rsidRPr="00313E2E">
        <w:rPr>
          <w:kern w:val="2"/>
          <w14:ligatures w14:val="standardContextual"/>
        </w:rPr>
        <w:t xml:space="preserve"> </w:t>
      </w:r>
    </w:p>
    <w:p w14:paraId="02AAD9C5" w14:textId="77777777" w:rsidR="00313E2E" w:rsidRPr="00313E2E" w:rsidRDefault="00313E2E" w:rsidP="00313E2E">
      <w:pPr>
        <w:spacing w:after="160"/>
        <w:rPr>
          <w:kern w:val="2"/>
          <w14:ligatures w14:val="standardContextual"/>
        </w:rPr>
      </w:pPr>
      <w:r w:rsidRPr="00313E2E">
        <w:rPr>
          <w:kern w:val="2"/>
          <w14:ligatures w14:val="standardContextual"/>
        </w:rPr>
        <w:t xml:space="preserve"> It also makes the mistake of being tailored particularly towards qualified solicitors, despite there being numerous cases of self-represented litigants using </w:t>
      </w:r>
      <w:proofErr w:type="spellStart"/>
      <w:r w:rsidRPr="00313E2E">
        <w:rPr>
          <w:kern w:val="2"/>
          <w14:ligatures w14:val="standardContextual"/>
        </w:rPr>
        <w:t>Gen</w:t>
      </w:r>
      <w:proofErr w:type="spellEnd"/>
      <w:r w:rsidRPr="00313E2E">
        <w:rPr>
          <w:kern w:val="2"/>
          <w14:ligatures w14:val="standardContextual"/>
        </w:rPr>
        <w:t xml:space="preserve"> AI. This was demonstrated in </w:t>
      </w:r>
      <w:r w:rsidRPr="00313E2E">
        <w:rPr>
          <w:i/>
          <w:iCs/>
          <w:kern w:val="2"/>
          <w14:ligatures w14:val="standardContextual"/>
        </w:rPr>
        <w:t xml:space="preserve">May v </w:t>
      </w:r>
      <w:proofErr w:type="spellStart"/>
      <w:r w:rsidRPr="00313E2E">
        <w:rPr>
          <w:i/>
          <w:iCs/>
          <w:kern w:val="2"/>
          <w14:ligatures w14:val="standardContextual"/>
        </w:rPr>
        <w:t>Costaras</w:t>
      </w:r>
      <w:proofErr w:type="spellEnd"/>
      <w:r w:rsidRPr="00313E2E">
        <w:rPr>
          <w:kern w:val="2"/>
          <w14:ligatures w14:val="standardContextual"/>
        </w:rPr>
        <w:t xml:space="preserve"> [2025] NSWCA 178, whereby a self-represented respondent was found to have used Generative AI in her oral submissions,</w:t>
      </w:r>
      <w:r w:rsidRPr="00313E2E">
        <w:rPr>
          <w:kern w:val="2"/>
          <w:vertAlign w:val="superscript"/>
          <w14:ligatures w14:val="standardContextual"/>
        </w:rPr>
        <w:t xml:space="preserve"> </w:t>
      </w:r>
      <w:r w:rsidRPr="00313E2E">
        <w:rPr>
          <w:kern w:val="2"/>
          <w:vertAlign w:val="superscript"/>
          <w14:ligatures w14:val="standardContextual"/>
        </w:rPr>
        <w:footnoteReference w:id="17"/>
      </w:r>
      <w:r w:rsidRPr="00313E2E">
        <w:rPr>
          <w:kern w:val="2"/>
          <w14:ligatures w14:val="standardContextual"/>
        </w:rPr>
        <w:t xml:space="preserve">  and </w:t>
      </w:r>
      <w:proofErr w:type="spellStart"/>
      <w:r w:rsidRPr="00313E2E">
        <w:rPr>
          <w:i/>
          <w:iCs/>
          <w:kern w:val="2"/>
          <w14:ligatures w14:val="standardContextual"/>
        </w:rPr>
        <w:t>Bottrill</w:t>
      </w:r>
      <w:proofErr w:type="spellEnd"/>
      <w:r w:rsidRPr="00313E2E">
        <w:rPr>
          <w:i/>
          <w:iCs/>
          <w:kern w:val="2"/>
          <w14:ligatures w14:val="standardContextual"/>
        </w:rPr>
        <w:t xml:space="preserve"> v Graham &amp; Anor</w:t>
      </w:r>
      <w:r w:rsidRPr="00313E2E">
        <w:rPr>
          <w:kern w:val="2"/>
          <w14:ligatures w14:val="standardContextual"/>
        </w:rPr>
        <w:t xml:space="preserve"> (No 2) [2025] NSWDC 221, where the second defendant used </w:t>
      </w:r>
      <w:proofErr w:type="spellStart"/>
      <w:r w:rsidRPr="00313E2E">
        <w:rPr>
          <w:kern w:val="2"/>
          <w14:ligatures w14:val="standardContextual"/>
        </w:rPr>
        <w:t>Gen</w:t>
      </w:r>
      <w:proofErr w:type="spellEnd"/>
      <w:r w:rsidRPr="00313E2E">
        <w:rPr>
          <w:kern w:val="2"/>
          <w14:ligatures w14:val="standardContextual"/>
        </w:rPr>
        <w:t xml:space="preserve"> AI for written submissions, and ‘valuable court time’ was ‘wasted’,</w:t>
      </w:r>
      <w:r w:rsidRPr="00313E2E">
        <w:rPr>
          <w:kern w:val="2"/>
          <w:vertAlign w:val="superscript"/>
          <w14:ligatures w14:val="standardContextual"/>
        </w:rPr>
        <w:footnoteReference w:id="18"/>
      </w:r>
      <w:r w:rsidRPr="00313E2E">
        <w:rPr>
          <w:kern w:val="2"/>
          <w14:ligatures w14:val="standardContextual"/>
        </w:rPr>
        <w:t xml:space="preserve"> yet with no repercussions. This highlights a clear tension that the risks that motivated SC </w:t>
      </w:r>
      <w:proofErr w:type="spellStart"/>
      <w:r w:rsidRPr="00313E2E">
        <w:rPr>
          <w:kern w:val="2"/>
          <w14:ligatures w14:val="standardContextual"/>
        </w:rPr>
        <w:t>Gen</w:t>
      </w:r>
      <w:proofErr w:type="spellEnd"/>
      <w:r w:rsidRPr="00313E2E">
        <w:rPr>
          <w:kern w:val="2"/>
          <w14:ligatures w14:val="standardContextual"/>
        </w:rPr>
        <w:t xml:space="preserve"> 23 are not confined to solicitors, yet the regulatory burden falls most heavily on them. This asymmetry in enforcement means that practitioners face professional and reputational consequences </w:t>
      </w:r>
      <w:r w:rsidRPr="00313E2E">
        <w:rPr>
          <w:kern w:val="2"/>
          <w14:ligatures w14:val="standardContextual"/>
        </w:rPr>
        <w:lastRenderedPageBreak/>
        <w:t xml:space="preserve">for misuse of </w:t>
      </w:r>
      <w:proofErr w:type="spellStart"/>
      <w:r w:rsidRPr="00313E2E">
        <w:rPr>
          <w:kern w:val="2"/>
          <w14:ligatures w14:val="standardContextual"/>
        </w:rPr>
        <w:t>Gen</w:t>
      </w:r>
      <w:proofErr w:type="spellEnd"/>
      <w:r w:rsidRPr="00313E2E">
        <w:rPr>
          <w:kern w:val="2"/>
          <w14:ligatures w14:val="standardContextual"/>
        </w:rPr>
        <w:t xml:space="preserve"> AI, whereas self-represented litigants are more likely to be treated with fairness in the interests of fairness and access to justice. This also creates issues with the operation of key legal instruments such as the </w:t>
      </w:r>
      <w:r w:rsidRPr="00313E2E">
        <w:rPr>
          <w:i/>
          <w:iCs/>
          <w:kern w:val="2"/>
          <w14:ligatures w14:val="standardContextual"/>
        </w:rPr>
        <w:t xml:space="preserve">Civil Procedure Act 2005 </w:t>
      </w:r>
      <w:r w:rsidRPr="00313E2E">
        <w:rPr>
          <w:kern w:val="2"/>
          <w14:ligatures w14:val="standardContextual"/>
        </w:rPr>
        <w:t xml:space="preserve">(NSW) and its overriding purpose. Although it assists in the ‘just’ and ‘cheap’ resolution of issues, it cannot ensure that proceedings are ‘quick’, with scrutiny being required to ensure that there has been no misuse of </w:t>
      </w:r>
      <w:proofErr w:type="spellStart"/>
      <w:r w:rsidRPr="00313E2E">
        <w:rPr>
          <w:kern w:val="2"/>
          <w14:ligatures w14:val="standardContextual"/>
        </w:rPr>
        <w:t>Gen</w:t>
      </w:r>
      <w:proofErr w:type="spellEnd"/>
      <w:r w:rsidRPr="00313E2E">
        <w:rPr>
          <w:kern w:val="2"/>
          <w14:ligatures w14:val="standardContextual"/>
        </w:rPr>
        <w:t xml:space="preserve"> AI. Evidently, that SC </w:t>
      </w:r>
      <w:proofErr w:type="spellStart"/>
      <w:r w:rsidRPr="00313E2E">
        <w:rPr>
          <w:kern w:val="2"/>
          <w14:ligatures w14:val="standardContextual"/>
        </w:rPr>
        <w:t>Gen</w:t>
      </w:r>
      <w:proofErr w:type="spellEnd"/>
      <w:r w:rsidRPr="00313E2E">
        <w:rPr>
          <w:kern w:val="2"/>
          <w14:ligatures w14:val="standardContextual"/>
        </w:rPr>
        <w:t xml:space="preserve"> 23 operates more as a professional conduct framework and less of a universal safeguard.</w:t>
      </w:r>
    </w:p>
    <w:p w14:paraId="6F7114B5" w14:textId="77777777" w:rsidR="00313E2E" w:rsidRDefault="00313E2E" w:rsidP="00313E2E">
      <w:pPr>
        <w:spacing w:after="160"/>
        <w:rPr>
          <w:kern w:val="2"/>
          <w14:ligatures w14:val="standardContextual"/>
        </w:rPr>
      </w:pPr>
      <w:r w:rsidRPr="00313E2E">
        <w:rPr>
          <w:kern w:val="2"/>
          <w14:ligatures w14:val="standardContextual"/>
        </w:rPr>
        <w:t xml:space="preserve">However, while the practice note sets clear expectations, they may not be </w:t>
      </w:r>
      <w:proofErr w:type="spellStart"/>
      <w:r w:rsidRPr="00313E2E">
        <w:rPr>
          <w:kern w:val="2"/>
          <w14:ligatures w14:val="standardContextual"/>
        </w:rPr>
        <w:t>futureproof</w:t>
      </w:r>
      <w:proofErr w:type="spellEnd"/>
      <w:r w:rsidRPr="00313E2E">
        <w:rPr>
          <w:kern w:val="2"/>
          <w14:ligatures w14:val="standardContextual"/>
        </w:rPr>
        <w:t xml:space="preserve">. The general philosophy of SC </w:t>
      </w:r>
      <w:proofErr w:type="spellStart"/>
      <w:r w:rsidRPr="00313E2E">
        <w:rPr>
          <w:kern w:val="2"/>
          <w14:ligatures w14:val="standardContextual"/>
        </w:rPr>
        <w:t>Gen</w:t>
      </w:r>
      <w:proofErr w:type="spellEnd"/>
      <w:r w:rsidRPr="00313E2E">
        <w:rPr>
          <w:kern w:val="2"/>
          <w14:ligatures w14:val="standardContextual"/>
        </w:rPr>
        <w:t xml:space="preserve"> 23 (which the Federal Court’s GPN-AI also shares) was that </w:t>
      </w:r>
      <w:proofErr w:type="spellStart"/>
      <w:r w:rsidRPr="00313E2E">
        <w:rPr>
          <w:kern w:val="2"/>
          <w14:ligatures w14:val="standardContextual"/>
        </w:rPr>
        <w:t>Gen</w:t>
      </w:r>
      <w:proofErr w:type="spellEnd"/>
      <w:r w:rsidRPr="00313E2E">
        <w:rPr>
          <w:kern w:val="2"/>
          <w14:ligatures w14:val="standardContextual"/>
        </w:rPr>
        <w:t xml:space="preserve"> AI </w:t>
      </w:r>
      <w:r w:rsidRPr="00313E2E">
        <w:rPr>
          <w:i/>
          <w:iCs/>
          <w:kern w:val="2"/>
          <w14:ligatures w14:val="standardContextual"/>
        </w:rPr>
        <w:t xml:space="preserve">can </w:t>
      </w:r>
      <w:r w:rsidRPr="00313E2E">
        <w:rPr>
          <w:kern w:val="2"/>
          <w14:ligatures w14:val="standardContextual"/>
        </w:rPr>
        <w:t xml:space="preserve">be useful, but users need to understand its capabilities and risks. SC </w:t>
      </w:r>
      <w:proofErr w:type="spellStart"/>
      <w:r w:rsidRPr="00313E2E">
        <w:rPr>
          <w:kern w:val="2"/>
          <w14:ligatures w14:val="standardContextual"/>
        </w:rPr>
        <w:t>Gen</w:t>
      </w:r>
      <w:proofErr w:type="spellEnd"/>
      <w:r w:rsidRPr="00313E2E">
        <w:rPr>
          <w:kern w:val="2"/>
          <w14:ligatures w14:val="standardContextual"/>
        </w:rPr>
        <w:t xml:space="preserve"> 23 attempts to manage these risks through </w:t>
      </w:r>
      <w:r w:rsidRPr="00313E2E">
        <w:rPr>
          <w:i/>
          <w:iCs/>
          <w:kern w:val="2"/>
          <w14:ligatures w14:val="standardContextual"/>
        </w:rPr>
        <w:t>ex ante</w:t>
      </w:r>
      <w:r w:rsidRPr="00313E2E">
        <w:rPr>
          <w:kern w:val="2"/>
          <w14:ligatures w14:val="standardContextual"/>
        </w:rPr>
        <w:t xml:space="preserve"> control, imposing categorial restrictions. Contrastingly, GPN-AI reflects a shift towards </w:t>
      </w:r>
      <w:r w:rsidRPr="00313E2E">
        <w:rPr>
          <w:i/>
          <w:iCs/>
          <w:kern w:val="2"/>
          <w14:ligatures w14:val="standardContextual"/>
        </w:rPr>
        <w:t>ex post</w:t>
      </w:r>
      <w:r w:rsidRPr="00313E2E">
        <w:rPr>
          <w:kern w:val="2"/>
          <w14:ligatures w14:val="standardContextual"/>
        </w:rPr>
        <w:t xml:space="preserve"> accountability, relying on professional obligations and the Court’s supervisory powers to address misuse if it were to arise, acting as a reminder for professionals of their responsibilities, including the accuracy of materials presented to the court. </w:t>
      </w:r>
    </w:p>
    <w:p w14:paraId="28E21251" w14:textId="77777777" w:rsidR="00313E2E" w:rsidRPr="00313E2E" w:rsidRDefault="00313E2E" w:rsidP="00313E2E">
      <w:pPr>
        <w:spacing w:after="160"/>
        <w:rPr>
          <w:kern w:val="2"/>
          <w14:ligatures w14:val="standardContextual"/>
        </w:rPr>
      </w:pPr>
    </w:p>
    <w:p w14:paraId="0799E714" w14:textId="039D8592" w:rsidR="00313E2E" w:rsidRPr="00313E2E" w:rsidRDefault="00313E2E" w:rsidP="00313E2E">
      <w:pPr>
        <w:jc w:val="center"/>
        <w:outlineLvl w:val="0"/>
        <w:rPr>
          <w:b/>
          <w:bCs/>
          <w:color w:val="000000" w:themeColor="text1"/>
          <w:sz w:val="28"/>
          <w:szCs w:val="28"/>
        </w:rPr>
      </w:pPr>
      <w:r>
        <w:rPr>
          <w:b/>
          <w:bCs/>
          <w:color w:val="000000" w:themeColor="text1"/>
          <w:sz w:val="28"/>
          <w:szCs w:val="28"/>
        </w:rPr>
        <w:t>VI HOW DOES GPN-AI IMPACT THIS?</w:t>
      </w:r>
    </w:p>
    <w:p w14:paraId="54A699C8" w14:textId="77777777" w:rsidR="00313E2E" w:rsidRPr="00313E2E" w:rsidRDefault="00313E2E" w:rsidP="00313E2E">
      <w:pPr>
        <w:spacing w:after="160"/>
        <w:rPr>
          <w:kern w:val="2"/>
          <w14:ligatures w14:val="standardContextual"/>
        </w:rPr>
      </w:pPr>
      <w:r w:rsidRPr="00313E2E">
        <w:rPr>
          <w:kern w:val="2"/>
          <w14:ligatures w14:val="standardContextual"/>
        </w:rPr>
        <w:t xml:space="preserve">Despite bearing striking similarities in the way it recommends </w:t>
      </w:r>
      <w:proofErr w:type="spellStart"/>
      <w:r w:rsidRPr="00313E2E">
        <w:rPr>
          <w:kern w:val="2"/>
          <w14:ligatures w14:val="standardContextual"/>
        </w:rPr>
        <w:t>Gen</w:t>
      </w:r>
      <w:proofErr w:type="spellEnd"/>
      <w:r w:rsidRPr="00313E2E">
        <w:rPr>
          <w:kern w:val="2"/>
          <w14:ligatures w14:val="standardContextual"/>
        </w:rPr>
        <w:t xml:space="preserve"> AI to be applied, the Federal Court’s GPN-AI does not simply replicate the approach taken in SC </w:t>
      </w:r>
      <w:proofErr w:type="spellStart"/>
      <w:r w:rsidRPr="00313E2E">
        <w:rPr>
          <w:kern w:val="2"/>
          <w14:ligatures w14:val="standardContextual"/>
        </w:rPr>
        <w:t>Gen</w:t>
      </w:r>
      <w:proofErr w:type="spellEnd"/>
      <w:r w:rsidRPr="00313E2E">
        <w:rPr>
          <w:kern w:val="2"/>
          <w14:ligatures w14:val="standardContextual"/>
        </w:rPr>
        <w:t xml:space="preserve"> 23. Rather, it represents a subtle, but important shift in regulatory philosophy. GPN-AI confirms the concern held in SC </w:t>
      </w:r>
      <w:proofErr w:type="spellStart"/>
      <w:r w:rsidRPr="00313E2E">
        <w:rPr>
          <w:kern w:val="2"/>
          <w14:ligatures w14:val="standardContextual"/>
        </w:rPr>
        <w:t>Gen</w:t>
      </w:r>
      <w:proofErr w:type="spellEnd"/>
      <w:r w:rsidRPr="00313E2E">
        <w:rPr>
          <w:kern w:val="2"/>
          <w14:ligatures w14:val="standardContextual"/>
        </w:rPr>
        <w:t xml:space="preserve"> 23 – that generative AI may produce inaccurate or entirely fabricated legal material, and that these risks are incompatible with the administration of justice.</w:t>
      </w:r>
    </w:p>
    <w:p w14:paraId="16667429" w14:textId="77777777" w:rsidR="00313E2E" w:rsidRPr="00313E2E" w:rsidRDefault="00313E2E" w:rsidP="00313E2E">
      <w:pPr>
        <w:spacing w:after="160"/>
        <w:rPr>
          <w:kern w:val="2"/>
          <w14:ligatures w14:val="standardContextual"/>
        </w:rPr>
      </w:pPr>
      <w:r w:rsidRPr="00313E2E">
        <w:rPr>
          <w:kern w:val="2"/>
          <w14:ligatures w14:val="standardContextual"/>
        </w:rPr>
        <w:t xml:space="preserve">SC </w:t>
      </w:r>
      <w:proofErr w:type="spellStart"/>
      <w:r w:rsidRPr="00313E2E">
        <w:rPr>
          <w:kern w:val="2"/>
          <w14:ligatures w14:val="standardContextual"/>
        </w:rPr>
        <w:t>Gen</w:t>
      </w:r>
      <w:proofErr w:type="spellEnd"/>
      <w:r w:rsidRPr="00313E2E">
        <w:rPr>
          <w:kern w:val="2"/>
          <w14:ligatures w14:val="standardContextual"/>
        </w:rPr>
        <w:t xml:space="preserve"> 23 takes a prescriptive, prohibition-based model that expressly restricts the use of </w:t>
      </w:r>
      <w:proofErr w:type="spellStart"/>
      <w:r w:rsidRPr="00313E2E">
        <w:rPr>
          <w:kern w:val="2"/>
          <w14:ligatures w14:val="standardContextual"/>
        </w:rPr>
        <w:t>Gen</w:t>
      </w:r>
      <w:proofErr w:type="spellEnd"/>
      <w:r w:rsidRPr="00313E2E">
        <w:rPr>
          <w:kern w:val="2"/>
          <w14:ligatures w14:val="standardContextual"/>
        </w:rPr>
        <w:t xml:space="preserve"> AI in certain scenarios. However, GPN-AI takes a more principles-based approach, grounded in existing professional obligations, focusing on outcomes and responsibilities. It emphasises that </w:t>
      </w:r>
      <w:proofErr w:type="spellStart"/>
      <w:r w:rsidRPr="00313E2E">
        <w:rPr>
          <w:kern w:val="2"/>
          <w14:ligatures w14:val="standardContextual"/>
        </w:rPr>
        <w:t>Gen</w:t>
      </w:r>
      <w:proofErr w:type="spellEnd"/>
      <w:r w:rsidRPr="00313E2E">
        <w:rPr>
          <w:kern w:val="2"/>
          <w14:ligatures w14:val="standardContextual"/>
        </w:rPr>
        <w:t xml:space="preserve"> AI may enhance efficiency, reduce costs and improve access to justice, but should be used cautiously in alignment with existing professional obligations, particularly the duty to not mislead the court and to verify legal authorities. It also prioritises transparency, allowing the court to demand disclosure of how AI tools were used and to the extent to which they were used. Although it may seem that GPN-AI is a ‘toothless tiger’ by not explicitly prohibiting the use of </w:t>
      </w:r>
      <w:proofErr w:type="spellStart"/>
      <w:r w:rsidRPr="00313E2E">
        <w:rPr>
          <w:kern w:val="2"/>
          <w14:ligatures w14:val="standardContextual"/>
        </w:rPr>
        <w:t>Gen</w:t>
      </w:r>
      <w:proofErr w:type="spellEnd"/>
      <w:r w:rsidRPr="00313E2E">
        <w:rPr>
          <w:kern w:val="2"/>
          <w14:ligatures w14:val="standardContextual"/>
        </w:rPr>
        <w:t xml:space="preserve"> AI, it is also understandable for a profession where solicitors are generally aware of the professional rules and obligations set out before them, even if they choose not to follow them. </w:t>
      </w:r>
    </w:p>
    <w:p w14:paraId="73830EF3" w14:textId="77777777" w:rsidR="00313E2E" w:rsidRDefault="00313E2E" w:rsidP="00313E2E">
      <w:pPr>
        <w:spacing w:after="160"/>
        <w:rPr>
          <w:kern w:val="2"/>
          <w14:ligatures w14:val="standardContextual"/>
        </w:rPr>
      </w:pPr>
      <w:r w:rsidRPr="00313E2E">
        <w:rPr>
          <w:kern w:val="2"/>
          <w14:ligatures w14:val="standardContextual"/>
        </w:rPr>
        <w:lastRenderedPageBreak/>
        <w:t xml:space="preserve">This shift ultimately highlights an important limitation of SC </w:t>
      </w:r>
      <w:proofErr w:type="spellStart"/>
      <w:r w:rsidRPr="00313E2E">
        <w:rPr>
          <w:kern w:val="2"/>
          <w14:ligatures w14:val="standardContextual"/>
        </w:rPr>
        <w:t>Gen</w:t>
      </w:r>
      <w:proofErr w:type="spellEnd"/>
      <w:r w:rsidRPr="00313E2E">
        <w:rPr>
          <w:kern w:val="2"/>
          <w14:ligatures w14:val="standardContextual"/>
        </w:rPr>
        <w:t xml:space="preserve"> 23. While its prescriptive rules provide clarity, they may lack flexibility in a rapidly evolving technological landscape. Conversely, GPN-AI reflects an adaptive approach, recognising that AI is already embedded in legal practice, and is better managed through responsibility rather than outright restriction. Nonetheless, it is important to note that SC </w:t>
      </w:r>
      <w:proofErr w:type="spellStart"/>
      <w:r w:rsidRPr="00313E2E">
        <w:rPr>
          <w:kern w:val="2"/>
          <w14:ligatures w14:val="standardContextual"/>
        </w:rPr>
        <w:t>Gen</w:t>
      </w:r>
      <w:proofErr w:type="spellEnd"/>
      <w:r w:rsidRPr="00313E2E">
        <w:rPr>
          <w:kern w:val="2"/>
          <w14:ligatures w14:val="standardContextual"/>
        </w:rPr>
        <w:t xml:space="preserve"> 23’s prohibitive nature still bears value. Recently, scholars have undertaken the idea that possible solutions are ‘education, certification, sanctions and/or prohibition’, which do not exist in isolation, but work in tandem to combat issues caused by </w:t>
      </w:r>
      <w:proofErr w:type="spellStart"/>
      <w:r w:rsidRPr="00313E2E">
        <w:rPr>
          <w:kern w:val="2"/>
          <w14:ligatures w14:val="standardContextual"/>
        </w:rPr>
        <w:t>GenAI</w:t>
      </w:r>
      <w:proofErr w:type="spellEnd"/>
      <w:r w:rsidRPr="00313E2E">
        <w:rPr>
          <w:kern w:val="2"/>
          <w14:ligatures w14:val="standardContextual"/>
        </w:rPr>
        <w:t>.</w:t>
      </w:r>
      <w:r w:rsidRPr="00313E2E">
        <w:rPr>
          <w:kern w:val="2"/>
          <w:vertAlign w:val="superscript"/>
          <w14:ligatures w14:val="standardContextual"/>
        </w:rPr>
        <w:footnoteReference w:id="19"/>
      </w:r>
    </w:p>
    <w:p w14:paraId="13E856E4" w14:textId="77777777" w:rsidR="00313E2E" w:rsidRPr="00313E2E" w:rsidRDefault="00313E2E" w:rsidP="00313E2E">
      <w:pPr>
        <w:spacing w:after="160"/>
        <w:rPr>
          <w:kern w:val="2"/>
          <w14:ligatures w14:val="standardContextual"/>
        </w:rPr>
      </w:pPr>
    </w:p>
    <w:p w14:paraId="25D14000" w14:textId="60693B62" w:rsidR="00313E2E" w:rsidRPr="00313E2E" w:rsidRDefault="00313E2E" w:rsidP="00313E2E">
      <w:pPr>
        <w:jc w:val="center"/>
        <w:outlineLvl w:val="0"/>
        <w:rPr>
          <w:b/>
          <w:bCs/>
          <w:color w:val="000000" w:themeColor="text1"/>
          <w:sz w:val="28"/>
          <w:szCs w:val="28"/>
        </w:rPr>
      </w:pPr>
      <w:r>
        <w:rPr>
          <w:b/>
          <w:bCs/>
          <w:color w:val="000000" w:themeColor="text1"/>
          <w:sz w:val="28"/>
          <w:szCs w:val="28"/>
        </w:rPr>
        <w:t>VII CONCLUSION</w:t>
      </w:r>
    </w:p>
    <w:p w14:paraId="36166B59" w14:textId="77777777" w:rsidR="00313E2E" w:rsidRPr="00313E2E" w:rsidRDefault="00313E2E" w:rsidP="00313E2E">
      <w:pPr>
        <w:spacing w:after="160"/>
        <w:rPr>
          <w:kern w:val="2"/>
          <w14:ligatures w14:val="standardContextual"/>
        </w:rPr>
      </w:pPr>
      <w:r w:rsidRPr="00313E2E">
        <w:rPr>
          <w:kern w:val="2"/>
          <w14:ligatures w14:val="standardContextual"/>
        </w:rPr>
        <w:t xml:space="preserve">Though SC </w:t>
      </w:r>
      <w:proofErr w:type="spellStart"/>
      <w:r w:rsidRPr="00313E2E">
        <w:rPr>
          <w:kern w:val="2"/>
          <w14:ligatures w14:val="standardContextual"/>
        </w:rPr>
        <w:t>Gen</w:t>
      </w:r>
      <w:proofErr w:type="spellEnd"/>
      <w:r w:rsidRPr="00313E2E">
        <w:rPr>
          <w:kern w:val="2"/>
          <w14:ligatures w14:val="standardContextual"/>
        </w:rPr>
        <w:t xml:space="preserve"> 23 may not have ‘solved’ the problem of generative AI in litigation, it could be argued that this was never its goal. With cases of not just self-represented litigants, but legal solicitors trusting its hallucinations, it was clear that there had to be some sort of framework to quickly address the use of </w:t>
      </w:r>
      <w:proofErr w:type="spellStart"/>
      <w:r w:rsidRPr="00313E2E">
        <w:rPr>
          <w:kern w:val="2"/>
          <w14:ligatures w14:val="standardContextual"/>
        </w:rPr>
        <w:t>Gen</w:t>
      </w:r>
      <w:proofErr w:type="spellEnd"/>
      <w:r w:rsidRPr="00313E2E">
        <w:rPr>
          <w:kern w:val="2"/>
          <w14:ligatures w14:val="standardContextual"/>
        </w:rPr>
        <w:t xml:space="preserve"> AI in legal practice. Its best achievement lies in how it has converted a vague professional anxiety into a regimented set of courtroom rules. It instructs lawyers as to what the court will tolerate, what it will scrutinise, and what it will not excuse. The FCA’s recent GPN-AI represents how this conversation has broadened from intervention by the courts to responsible management of </w:t>
      </w:r>
      <w:proofErr w:type="spellStart"/>
      <w:r w:rsidRPr="00313E2E">
        <w:rPr>
          <w:kern w:val="2"/>
          <w14:ligatures w14:val="standardContextual"/>
        </w:rPr>
        <w:t>Gen</w:t>
      </w:r>
      <w:proofErr w:type="spellEnd"/>
      <w:r w:rsidRPr="00313E2E">
        <w:rPr>
          <w:kern w:val="2"/>
          <w14:ligatures w14:val="standardContextual"/>
        </w:rPr>
        <w:t xml:space="preserve"> AI. This ultimately shows that SC </w:t>
      </w:r>
      <w:proofErr w:type="spellStart"/>
      <w:r w:rsidRPr="00313E2E">
        <w:rPr>
          <w:kern w:val="2"/>
          <w14:ligatures w14:val="standardContextual"/>
        </w:rPr>
        <w:t>Gen</w:t>
      </w:r>
      <w:proofErr w:type="spellEnd"/>
      <w:r w:rsidRPr="00313E2E">
        <w:rPr>
          <w:kern w:val="2"/>
          <w14:ligatures w14:val="standardContextual"/>
        </w:rPr>
        <w:t xml:space="preserve"> 23 was not a ‘knee-jerk reaction’, but a product of its time. It was an early attempt to impose discipline on a technology that legal practice could not ignore, but also could not trust blindly, especially with its imminent threat to miscarriage of justice.</w:t>
      </w:r>
    </w:p>
    <w:p w14:paraId="54B204E1" w14:textId="439C9867" w:rsidR="000F108B" w:rsidRDefault="000F108B" w:rsidP="00235853">
      <w:r>
        <w:br w:type="page"/>
      </w:r>
    </w:p>
    <w:p w14:paraId="698F75F1" w14:textId="1ED3DC73" w:rsidR="000F108B" w:rsidRDefault="001C6A9D" w:rsidP="00235853">
      <w:r>
        <w:rPr>
          <w:noProof/>
        </w:rPr>
        <w:lastRenderedPageBreak/>
        <mc:AlternateContent>
          <mc:Choice Requires="wpg">
            <w:drawing>
              <wp:anchor distT="0" distB="0" distL="114300" distR="114300" simplePos="0" relativeHeight="251681792" behindDoc="0" locked="0" layoutInCell="1" allowOverlap="1" wp14:anchorId="121B674F" wp14:editId="1C551674">
                <wp:simplePos x="0" y="0"/>
                <wp:positionH relativeFrom="column">
                  <wp:posOffset>-685800</wp:posOffset>
                </wp:positionH>
                <wp:positionV relativeFrom="paragraph">
                  <wp:posOffset>1902460</wp:posOffset>
                </wp:positionV>
                <wp:extent cx="7546340" cy="1084580"/>
                <wp:effectExtent l="0" t="12700" r="0" b="7620"/>
                <wp:wrapNone/>
                <wp:docPr id="168221322" name="Group 31"/>
                <wp:cNvGraphicFramePr/>
                <a:graphic xmlns:a="http://schemas.openxmlformats.org/drawingml/2006/main">
                  <a:graphicData uri="http://schemas.microsoft.com/office/word/2010/wordprocessingGroup">
                    <wpg:wgp>
                      <wpg:cNvGrpSpPr/>
                      <wpg:grpSpPr>
                        <a:xfrm>
                          <a:off x="0" y="0"/>
                          <a:ext cx="7546340" cy="1084580"/>
                          <a:chOff x="35306" y="1597660"/>
                          <a:chExt cx="7546340" cy="1085088"/>
                        </a:xfrm>
                      </wpg:grpSpPr>
                      <wps:wsp>
                        <wps:cNvPr id="1493187613" name="Text Box 27"/>
                        <wps:cNvSpPr txBox="1"/>
                        <wps:spPr>
                          <a:xfrm>
                            <a:off x="35306" y="1914008"/>
                            <a:ext cx="7546340" cy="488193"/>
                          </a:xfrm>
                          <a:prstGeom prst="rect">
                            <a:avLst/>
                          </a:prstGeom>
                          <a:noFill/>
                          <a:ln w="6350">
                            <a:noFill/>
                          </a:ln>
                        </wps:spPr>
                        <wps:txbx>
                          <w:txbxContent>
                            <w:p w14:paraId="2AEBA7A0" w14:textId="4F439EFE" w:rsidR="009470FA" w:rsidRPr="001C6A9D" w:rsidRDefault="009470FA" w:rsidP="001C6A9D">
                              <w:pPr>
                                <w:pStyle w:val="Title"/>
                                <w:rPr>
                                  <w:rStyle w:val="Strong"/>
                                </w:rPr>
                              </w:pPr>
                              <w:r w:rsidRPr="001C6A9D">
                                <w:rPr>
                                  <w:rStyle w:val="Strong"/>
                                </w:rPr>
                                <w:t>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6141420" name="Straight Connector 27"/>
                        <wps:cNvCnPr/>
                        <wps:spPr>
                          <a:xfrm>
                            <a:off x="256032" y="159766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089456829" name="Straight Connector 27"/>
                        <wps:cNvCnPr/>
                        <wps:spPr>
                          <a:xfrm>
                            <a:off x="256032" y="2682748"/>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1B674F" id="_x0000_s1034" style="position:absolute;margin-left:-54pt;margin-top:149.8pt;width:594.2pt;height:85.4pt;z-index:251681792;mso-width-relative:margin;mso-height-relative:margin" coordorigin="353,15976" coordsize="75463,10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">
                <v:shape id="_x0000_s1035" type="#_x0000_t202" style="position:absolute;left:353;top:19140;width:75463;height:4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" filled="f" stroked="f" strokeweight=".5pt">
                  <v:textbox>
                    <w:txbxContent>
                      <w:p w14:paraId="2AEBA7A0" w14:textId="4F439EFE" w:rsidR="009470FA" w:rsidRPr="001C6A9D" w:rsidRDefault="009470FA" w:rsidP="001C6A9D">
                        <w:pPr>
                          <w:pStyle w:val="Title"/>
                          <w:rPr>
                            <w:rStyle w:val="Strong"/>
                          </w:rPr>
                        </w:pPr>
                        <w:r w:rsidRPr="001C6A9D">
                          <w:rPr>
                            <w:rStyle w:val="Strong"/>
                          </w:rPr>
                          <w:t>LAW STUDENT REVIEW</w:t>
                        </w:r>
                      </w:p>
                    </w:txbxContent>
                  </v:textbox>
                </v:shape>
                <v:line id="Straight Connector 27" o:spid="_x0000_s1036" style="position:absolute;visibility:visible;mso-wrap-style:square" from="2560,15976" to="73634,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" strokecolor="white [3212]" strokeweight="2pt">
                  <v:stroke joinstyle="miter"/>
                </v:line>
                <v:line id="Straight Connector 27" o:spid="_x0000_s1037" style="position:absolute;visibility:visible;mso-wrap-style:square" from="2560,26827" to="73634,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" strokecolor="white [3212]" strokeweight="2pt">
                  <v:stroke joinstyle="miter"/>
                </v:line>
              </v:group>
            </w:pict>
          </mc:Fallback>
        </mc:AlternateContent>
      </w:r>
      <w:r w:rsidR="0095632F">
        <w:rPr>
          <w:noProof/>
        </w:rPr>
        <mc:AlternateContent>
          <mc:Choice Requires="wps">
            <w:drawing>
              <wp:anchor distT="0" distB="0" distL="114300" distR="114300" simplePos="0" relativeHeight="251683840" behindDoc="0" locked="0" layoutInCell="1" allowOverlap="1" wp14:anchorId="2BE59E55" wp14:editId="40BCEAFD">
                <wp:simplePos x="0" y="0"/>
                <wp:positionH relativeFrom="column">
                  <wp:posOffset>-161544</wp:posOffset>
                </wp:positionH>
                <wp:positionV relativeFrom="paragraph">
                  <wp:posOffset>3340608</wp:posOffset>
                </wp:positionV>
                <wp:extent cx="6449568" cy="560832"/>
                <wp:effectExtent l="0" t="0" r="0" b="0"/>
                <wp:wrapNone/>
                <wp:docPr id="1144751722" name="Text Box 27"/>
                <wp:cNvGraphicFramePr/>
                <a:graphic xmlns:a="http://schemas.openxmlformats.org/drawingml/2006/main">
                  <a:graphicData uri="http://schemas.microsoft.com/office/word/2010/wordprocessingShape">
                    <wps:wsp>
                      <wps:cNvSpPr txBox="1"/>
                      <wps:spPr>
                        <a:xfrm>
                          <a:off x="0" y="0"/>
                          <a:ext cx="6449568" cy="560832"/>
                        </a:xfrm>
                        <a:prstGeom prst="rect">
                          <a:avLst/>
                        </a:prstGeom>
                        <a:noFill/>
                        <a:ln w="6350">
                          <a:noFill/>
                        </a:ln>
                      </wps:spPr>
                      <wps:txb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59E55" id="Text Box 27" o:spid="_x0000_s1038" type="#_x0000_t202" style="position:absolute;margin-left:-12.7pt;margin-top:263.05pt;width:507.85pt;height:4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" filled="f" stroked="f" strokeweight=".5pt">
                <v:textbo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v:textbox>
              </v:shape>
            </w:pict>
          </mc:Fallback>
        </mc:AlternateContent>
      </w:r>
      <w:r w:rsidR="008A391C">
        <w:rPr>
          <w:noProof/>
        </w:rPr>
        <mc:AlternateContent>
          <mc:Choice Requires="wps">
            <w:drawing>
              <wp:anchor distT="0" distB="0" distL="114300" distR="114300" simplePos="0" relativeHeight="251646972" behindDoc="0" locked="0" layoutInCell="1" allowOverlap="1" wp14:anchorId="2CEEBA33" wp14:editId="685847FB">
                <wp:simplePos x="0" y="0"/>
                <wp:positionH relativeFrom="column">
                  <wp:posOffset>-685165</wp:posOffset>
                </wp:positionH>
                <wp:positionV relativeFrom="paragraph">
                  <wp:posOffset>-926465</wp:posOffset>
                </wp:positionV>
                <wp:extent cx="7545720" cy="10668000"/>
                <wp:effectExtent l="0" t="0" r="10795" b="12700"/>
                <wp:wrapNone/>
                <wp:docPr id="1958028090" name="Rectangle 32"/>
                <wp:cNvGraphicFramePr/>
                <a:graphic xmlns:a="http://schemas.openxmlformats.org/drawingml/2006/main">
                  <a:graphicData uri="http://schemas.microsoft.com/office/word/2010/wordprocessingShape">
                    <wps:wsp>
                      <wps:cNvSpPr/>
                      <wps:spPr>
                        <a:xfrm>
                          <a:off x="0" y="0"/>
                          <a:ext cx="7545720" cy="10668000"/>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D01373" id="Rectangle 32" o:spid="_x0000_s1026" style="position:absolute;margin-left:-53.95pt;margin-top:-72.95pt;width:594.15pt;height:840pt;z-index:2516469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" fillcolor="#0e2841 [3215]" strokecolor="#030e13 [484]" strokeweight="1pt"/>
            </w:pict>
          </mc:Fallback>
        </mc:AlternateContent>
      </w:r>
      <w:r w:rsidR="00EF6D7D">
        <w:rPr>
          <w:noProof/>
        </w:rPr>
        <mc:AlternateContent>
          <mc:Choice Requires="wps">
            <w:drawing>
              <wp:anchor distT="0" distB="0" distL="114300" distR="114300" simplePos="0" relativeHeight="251662336" behindDoc="0" locked="0" layoutInCell="1" allowOverlap="1" wp14:anchorId="0C3EA4BA" wp14:editId="6ACC2562">
                <wp:simplePos x="0" y="0"/>
                <wp:positionH relativeFrom="column">
                  <wp:posOffset>-685800</wp:posOffset>
                </wp:positionH>
                <wp:positionV relativeFrom="paragraph">
                  <wp:posOffset>-926592</wp:posOffset>
                </wp:positionV>
                <wp:extent cx="6668770" cy="0"/>
                <wp:effectExtent l="0" t="0" r="11430" b="12700"/>
                <wp:wrapNone/>
                <wp:docPr id="1913028425" name="Straight Connector 22"/>
                <wp:cNvGraphicFramePr/>
                <a:graphic xmlns:a="http://schemas.openxmlformats.org/drawingml/2006/main">
                  <a:graphicData uri="http://schemas.microsoft.com/office/word/2010/wordprocessingShape">
                    <wps:wsp>
                      <wps:cNvCnPr/>
                      <wps:spPr>
                        <a:xfrm>
                          <a:off x="0" y="0"/>
                          <a:ext cx="666877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82638F" id="Straight Connector 2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72.95pt" to="471.1pt,-7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" strokecolor="white [3212]" strokeweight=".5pt">
                <v:stroke joinstyle="miter"/>
              </v:line>
            </w:pict>
          </mc:Fallback>
        </mc:AlternateContent>
      </w:r>
    </w:p>
    <w:sectPr w:rsidR="000F108B" w:rsidSect="00334ADB">
      <w:footerReference w:type="even" r:id="rId8"/>
      <w:footerReference w:type="default" r:id="rId9"/>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0B672" w14:textId="77777777" w:rsidR="00F84D64" w:rsidRDefault="00F84D64" w:rsidP="00235853">
      <w:r>
        <w:separator/>
      </w:r>
    </w:p>
  </w:endnote>
  <w:endnote w:type="continuationSeparator" w:id="0">
    <w:p w14:paraId="29709E76" w14:textId="77777777" w:rsidR="00F84D64" w:rsidRDefault="00F84D64" w:rsidP="0023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1162930"/>
      <w:docPartObj>
        <w:docPartGallery w:val="Page Numbers (Bottom of Page)"/>
        <w:docPartUnique/>
      </w:docPartObj>
    </w:sdtPr>
    <w:sdtEndPr>
      <w:rPr>
        <w:rStyle w:val="PageNumber"/>
      </w:rPr>
    </w:sdtEndPr>
    <w:sdtContent>
      <w:p w14:paraId="4E6ABFC8" w14:textId="3653FED2" w:rsidR="00334ADB" w:rsidRDefault="00334ADB" w:rsidP="0023585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0A742B" w14:textId="77777777" w:rsidR="00334ADB" w:rsidRDefault="00334ADB" w:rsidP="00235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F5DF" w14:textId="32A2F460" w:rsidR="00334ADB" w:rsidRDefault="009B7BD8" w:rsidP="00235853">
    <w:pPr>
      <w:pStyle w:val="Footer"/>
      <w:jc w:val="right"/>
    </w:pPr>
    <w:sdt>
      <w:sdtPr>
        <w:rPr>
          <w:rStyle w:val="PageNumber"/>
        </w:rPr>
        <w:id w:val="1063142190"/>
        <w:docPartObj>
          <w:docPartGallery w:val="Page Numbers (Bottom of Page)"/>
          <w:docPartUnique/>
        </w:docPartObj>
      </w:sdtPr>
      <w:sdtEndPr>
        <w:rPr>
          <w:rStyle w:val="PageNumber"/>
        </w:rPr>
      </w:sdtEndPr>
      <w:sdtContent>
        <w:r w:rsidR="00334ADB">
          <w:rPr>
            <w:rStyle w:val="PageNumber"/>
          </w:rPr>
          <w:fldChar w:fldCharType="begin"/>
        </w:r>
        <w:r w:rsidR="00334ADB">
          <w:rPr>
            <w:rStyle w:val="PageNumber"/>
          </w:rPr>
          <w:instrText xml:space="preserve"> PAGE </w:instrText>
        </w:r>
        <w:r w:rsidR="00334ADB">
          <w:rPr>
            <w:rStyle w:val="PageNumber"/>
          </w:rPr>
          <w:fldChar w:fldCharType="separate"/>
        </w:r>
        <w:r w:rsidR="00334ADB">
          <w:rPr>
            <w:rStyle w:val="PageNumber"/>
            <w:noProof/>
          </w:rPr>
          <w:t>3</w:t>
        </w:r>
        <w:r w:rsidR="00334ADB">
          <w:rPr>
            <w:rStyle w:val="PageNumber"/>
          </w:rPr>
          <w:fldChar w:fldCharType="end"/>
        </w:r>
      </w:sdtContent>
    </w:sdt>
    <w:r w:rsidR="00235853">
      <w:rPr>
        <w:rStyle w:val="PageNumber"/>
      </w:rPr>
      <w:t xml:space="preserve"> </w:t>
    </w:r>
    <w:r w:rsidR="00334ADB">
      <w: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91E31" w14:textId="77777777" w:rsidR="00F84D64" w:rsidRDefault="00F84D64" w:rsidP="00235853">
      <w:r>
        <w:separator/>
      </w:r>
    </w:p>
  </w:footnote>
  <w:footnote w:type="continuationSeparator" w:id="0">
    <w:p w14:paraId="2FE43037" w14:textId="77777777" w:rsidR="00F84D64" w:rsidRDefault="00F84D64" w:rsidP="00235853">
      <w:r>
        <w:continuationSeparator/>
      </w:r>
    </w:p>
  </w:footnote>
  <w:footnote w:id="1">
    <w:p w14:paraId="152113BF"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Federal Court of Australia, Use of Generative Artificial Intelligence Practice Note (GPN-AI), 16 April 2026.</w:t>
      </w:r>
    </w:p>
  </w:footnote>
  <w:footnote w:id="2">
    <w:p w14:paraId="30FF34C5"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w:t>
      </w:r>
      <w:r w:rsidRPr="00664736">
        <w:rPr>
          <w:color w:val="000000" w:themeColor="text1"/>
          <w:sz w:val="20"/>
          <w:szCs w:val="20"/>
        </w:rPr>
        <w:t xml:space="preserve">Supreme Court of New South Wales, </w:t>
      </w:r>
      <w:r w:rsidRPr="00664736">
        <w:rPr>
          <w:rStyle w:val="Emphasis"/>
          <w:color w:val="000000" w:themeColor="text1"/>
          <w:sz w:val="20"/>
          <w:szCs w:val="20"/>
        </w:rPr>
        <w:t xml:space="preserve">Practice Note SC </w:t>
      </w:r>
      <w:proofErr w:type="spellStart"/>
      <w:r w:rsidRPr="00664736">
        <w:rPr>
          <w:rStyle w:val="Emphasis"/>
          <w:color w:val="000000" w:themeColor="text1"/>
          <w:sz w:val="20"/>
          <w:szCs w:val="20"/>
        </w:rPr>
        <w:t>Gen</w:t>
      </w:r>
      <w:proofErr w:type="spellEnd"/>
      <w:r w:rsidRPr="00664736">
        <w:rPr>
          <w:rStyle w:val="Emphasis"/>
          <w:color w:val="000000" w:themeColor="text1"/>
          <w:sz w:val="20"/>
          <w:szCs w:val="20"/>
        </w:rPr>
        <w:t xml:space="preserve"> 23 – Use of Generative Artificial Intelligence</w:t>
      </w:r>
      <w:r w:rsidRPr="00664736">
        <w:rPr>
          <w:color w:val="000000" w:themeColor="text1"/>
          <w:sz w:val="20"/>
          <w:szCs w:val="20"/>
        </w:rPr>
        <w:t xml:space="preserve">, 21 November 2024 (commenced 3 February 2025) </w:t>
      </w:r>
      <w:r w:rsidRPr="00664736">
        <w:rPr>
          <w:sz w:val="20"/>
          <w:szCs w:val="20"/>
        </w:rPr>
        <w:t>para 9B.</w:t>
      </w:r>
    </w:p>
  </w:footnote>
  <w:footnote w:id="3">
    <w:p w14:paraId="49982DC0"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Ibid para 4.</w:t>
      </w:r>
    </w:p>
  </w:footnote>
  <w:footnote w:id="4">
    <w:p w14:paraId="6E2003D3"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Ibid para 6 (a-b).</w:t>
      </w:r>
    </w:p>
  </w:footnote>
  <w:footnote w:id="5">
    <w:p w14:paraId="5D3FB721"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Ibid para 10-13.</w:t>
      </w:r>
    </w:p>
  </w:footnote>
  <w:footnote w:id="6">
    <w:p w14:paraId="70614207"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Ibid para 16.</w:t>
      </w:r>
    </w:p>
  </w:footnote>
  <w:footnote w:id="7">
    <w:p w14:paraId="5E2F0CF6"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Practice Note SC </w:t>
      </w:r>
      <w:proofErr w:type="spellStart"/>
      <w:r w:rsidRPr="00664736">
        <w:rPr>
          <w:sz w:val="20"/>
          <w:szCs w:val="20"/>
        </w:rPr>
        <w:t>Gen</w:t>
      </w:r>
      <w:proofErr w:type="spellEnd"/>
      <w:r w:rsidRPr="00664736">
        <w:rPr>
          <w:sz w:val="20"/>
          <w:szCs w:val="20"/>
        </w:rPr>
        <w:t xml:space="preserve"> 23 (n 2) para 19-22.</w:t>
      </w:r>
    </w:p>
  </w:footnote>
  <w:footnote w:id="8">
    <w:p w14:paraId="4E113453"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w:t>
      </w:r>
      <w:r w:rsidRPr="00664736">
        <w:rPr>
          <w:sz w:val="20"/>
          <w:szCs w:val="20"/>
        </w:rPr>
        <w:fldChar w:fldCharType="begin"/>
      </w:r>
      <w:r w:rsidRPr="00664736">
        <w:rPr>
          <w:sz w:val="20"/>
          <w:szCs w:val="20"/>
        </w:rPr>
        <w:instrText xml:space="preserve"> ADDIN ZOTERO_ITEM CSL_CITATION {"citationID":"MzRMw6MB","properties":{"formattedCitation":"&lt;a href=\"/authors/Grace%20Robbie\" title=\"PLG_CONTENT_AUTHORLIST_TITLE_VIEW_AUTHOR\"&gt;Grace Robbie&lt;/a&gt; and Grace Robbie, \\uc0\\u8216{}Barristers Weigh in on NSW Supreme Court\\uc0\\u8217{}s AI Practice Note\\uc0\\u8217{} (5 December 2024) &lt;https://www.lawyersweekly.com.au/biglaw/41107-barristers-weigh-in-on-nsw-supreme-court-s-ai-practice-note&gt;.","plainCitation":"&lt;a href=\"/authors/Grace%20Robbie\" title=\"PLG_CONTENT_AUTHORLIST_TITLE_VIEW_AUTHOR\"&gt;Grace Robbie&lt;/a&gt; and Grace Robbie, ‘Barristers Weigh in on NSW Supreme Court’s AI Practice Note’ (5 December 2024) &lt;https://www.lawyersweekly.com.au/biglaw/41107-barristers-weigh-in-on-nsw-supreme-court-s-ai-practice-note&gt;.","noteIndex":8},"citationItems":[{"id":454,"uris":["http://zotero.org/users/local/npAZtiUi/items/VHXKG9L8"],"itemData":{"id":454,"type":"webpage","abstract":"Following the Supreme Court of NSW’s issue of Practice Note SC Gen 23, three barristers have offered their perspectives on how this new guideline will shape the role of AI within the legal profession.","language":"en-gb","note":"section: Big Law","title":"Barristers weigh in on NSW Supreme Court’s AI practice note","URL":"https://www.lawyersweekly.com.au/biglaw/41107-barristers-weigh-in-on-nsw-supreme-court-s-ai-practice-note","author":[{"family":"Robbie&lt;/a&gt;","given":"&lt;a","dropping-particle":"href=\"/authors/Grace%20Robbie\" title=\"PLG_CONTENT_AUTHORLIST_TITLE_VIEW_AUTHOR\"&gt;Grace"},{"family":"Robbie","given":"Grace"}],"accessed":{"date-parts":[["2026",5,7]]},"issued":{"date-parts":[["2024",12,5]]}}}],"schema":"https://github.com/citation-style-language/schema/raw/master/csl-citation.json"} </w:instrText>
      </w:r>
      <w:r w:rsidRPr="00664736">
        <w:rPr>
          <w:sz w:val="20"/>
          <w:szCs w:val="20"/>
        </w:rPr>
        <w:fldChar w:fldCharType="separate"/>
      </w:r>
      <w:r w:rsidRPr="00664736">
        <w:rPr>
          <w:sz w:val="20"/>
          <w:szCs w:val="20"/>
        </w:rPr>
        <w:t xml:space="preserve"> Grace Robbie, ‘Barristers Weigh in on NSW Supreme Court’s AI Practice Note’ (5 December 2024) &lt;https://www.lawyersweekly.com.au/biglaw/41107-barristers-weigh-in-on-nsw-supreme-court-s-ai-practice-note&gt; [12].</w:t>
      </w:r>
      <w:r w:rsidRPr="00664736">
        <w:rPr>
          <w:sz w:val="20"/>
          <w:szCs w:val="20"/>
        </w:rPr>
        <w:fldChar w:fldCharType="end"/>
      </w:r>
    </w:p>
  </w:footnote>
  <w:footnote w:id="9">
    <w:p w14:paraId="051130C5"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Ibid [33].</w:t>
      </w:r>
    </w:p>
  </w:footnote>
  <w:footnote w:id="10">
    <w:p w14:paraId="7F889628"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Henry Ea, </w:t>
      </w:r>
      <w:r w:rsidRPr="00664736">
        <w:rPr>
          <w:sz w:val="20"/>
          <w:szCs w:val="20"/>
        </w:rPr>
        <w:fldChar w:fldCharType="begin"/>
      </w:r>
      <w:r w:rsidRPr="00664736">
        <w:rPr>
          <w:sz w:val="20"/>
          <w:szCs w:val="20"/>
        </w:rPr>
        <w:instrText xml:space="preserve"> ADDIN ZOTERO_ITEM CSL_CITATION {"citationID":"eb4GcggH","properties":{"formattedCitation":"\\uc0\\u8216{}NSW Supreme Court\\uc0\\u8217{}s Gen AI Practice Note Sparks Debate\\uc0\\u8217{}, {\\i{}Law Society Journal} (16 December 2024) &lt;https://lsj.com.au/articles/nsw-supreme-courts-gen-ai-practice-note-sparks-debate/&gt;.","plainCitation":"‘NSW Supreme Court’s Gen AI Practice Note Sparks Debate’, Law Society Journal (16 December 2024) &lt;https://lsj.com.au/articles/nsw-supreme-courts-gen-ai-practice-note-sparks-debate/&gt;.","dontUpdate":true,"noteIndex":10},"citationItems":[{"id":452,"uris":["http://zotero.org/users/local/npAZtiUi/items/364ZD7H8"],"itemData":{"id":452,"type":"post-weblog","abstract":"While intended to provide clarity and safeguard the integrity of the legal process, the practice note has ignited controversy within the legal tech community.","container-title":"Law Society Journal","language":"en-AU","title":"NSW Supreme Court's Gen AI practice note sparks debate","URL":"https://lsj.com.au/articles/nsw-supreme-courts-gen-ai-practice-note-sparks-debate/","accessed":{"date-parts":[["2026",5,6]]},"issued":{"date-parts":[["2024",12,16]]}}}],"schema":"https://github.com/citation-style-language/schema/raw/master/csl-citation.json"} </w:instrText>
      </w:r>
      <w:r w:rsidRPr="00664736">
        <w:rPr>
          <w:sz w:val="20"/>
          <w:szCs w:val="20"/>
        </w:rPr>
        <w:fldChar w:fldCharType="separate"/>
      </w:r>
      <w:r w:rsidRPr="00664736">
        <w:rPr>
          <w:sz w:val="20"/>
          <w:szCs w:val="20"/>
        </w:rPr>
        <w:t xml:space="preserve">‘NSW Supreme Court’s </w:t>
      </w:r>
      <w:proofErr w:type="spellStart"/>
      <w:r w:rsidRPr="00664736">
        <w:rPr>
          <w:sz w:val="20"/>
          <w:szCs w:val="20"/>
        </w:rPr>
        <w:t>Gen</w:t>
      </w:r>
      <w:proofErr w:type="spellEnd"/>
      <w:r w:rsidRPr="00664736">
        <w:rPr>
          <w:sz w:val="20"/>
          <w:szCs w:val="20"/>
        </w:rPr>
        <w:t xml:space="preserve"> AI Practice Note Sparks Debate’, Law Society Journal (16 December 2024) [2] &lt;https://lsj.com.au/articles/nsw-supreme-courts-gen-ai-practice-note-sparks-debate/&gt;.</w:t>
      </w:r>
      <w:r w:rsidRPr="00664736">
        <w:rPr>
          <w:sz w:val="20"/>
          <w:szCs w:val="20"/>
        </w:rPr>
        <w:fldChar w:fldCharType="end"/>
      </w:r>
      <w:r w:rsidRPr="00664736">
        <w:rPr>
          <w:sz w:val="20"/>
          <w:szCs w:val="20"/>
        </w:rPr>
        <w:t xml:space="preserve"> </w:t>
      </w:r>
    </w:p>
  </w:footnote>
  <w:footnote w:id="11">
    <w:p w14:paraId="35F57D42"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Ibid [3].</w:t>
      </w:r>
    </w:p>
  </w:footnote>
  <w:footnote w:id="12">
    <w:p w14:paraId="25D32911"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Ibid [7].</w:t>
      </w:r>
    </w:p>
  </w:footnote>
  <w:footnote w:id="13">
    <w:p w14:paraId="30DB2DB8"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Centre for the Future of the Legal Profession, </w:t>
      </w:r>
      <w:proofErr w:type="spellStart"/>
      <w:r w:rsidRPr="00664736">
        <w:rPr>
          <w:sz w:val="20"/>
          <w:szCs w:val="20"/>
        </w:rPr>
        <w:t>GenAI</w:t>
      </w:r>
      <w:proofErr w:type="spellEnd"/>
      <w:r w:rsidRPr="00664736">
        <w:rPr>
          <w:sz w:val="20"/>
          <w:szCs w:val="20"/>
        </w:rPr>
        <w:t>, Fake Law &amp; Fallout: A review of the misuse of generative artificial intelligence in legal proceedings, Report (November 2025) 7.</w:t>
      </w:r>
    </w:p>
  </w:footnote>
  <w:footnote w:id="14">
    <w:p w14:paraId="6375BCB1"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Dayal [2024] FedCFamC2F 1166.</w:t>
      </w:r>
    </w:p>
  </w:footnote>
  <w:footnote w:id="15">
    <w:p w14:paraId="36D4ABC4"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JNE v Minister for Immigration and Citizenship [2025] FedCFamC2G 1314.</w:t>
      </w:r>
    </w:p>
  </w:footnote>
  <w:footnote w:id="16">
    <w:p w14:paraId="17CE5366"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w:t>
      </w:r>
      <w:r w:rsidRPr="00664736">
        <w:rPr>
          <w:sz w:val="20"/>
          <w:szCs w:val="20"/>
        </w:rPr>
        <w:fldChar w:fldCharType="begin"/>
      </w:r>
      <w:r w:rsidRPr="00664736">
        <w:rPr>
          <w:sz w:val="20"/>
          <w:szCs w:val="20"/>
        </w:rPr>
        <w:instrText xml:space="preserve"> ADDIN ZOTERO_ITEM CSL_CITATION {"citationID":"k9sMykXw","properties":{"formattedCitation":"\\uc0\\u8216{}NSW Supreme Court\\uc0\\u8217{}s Gen AI Practice Note Sparks Debate\\uc0\\u8217{} (n 10).","plainCitation":"‘NSW Supreme Court’s Gen AI Practice Note Sparks Debate’ (n 10).","noteIndex":16},"citationItems":[{"id":452,"uris":["http://zotero.org/users/local/npAZtiUi/items/364ZD7H8"],"itemData":{"id":452,"type":"post-weblog","abstract":"While intended to provide clarity and safeguard the integrity of the legal process, the practice note has ignited controversy within the legal tech community.","container-title":"Law Society Journal","language":"en-AU","title":"NSW Supreme Court's Gen AI practice note sparks debate","URL":"https://lsj.com.au/articles/nsw-supreme-courts-gen-ai-practice-note-sparks-debate/","accessed":{"date-parts":[["2026",5,6]]},"issued":{"date-parts":[["2024",12,16]]}}}],"schema":"https://github.com/citation-style-language/schema/raw/master/csl-citation.json"} </w:instrText>
      </w:r>
      <w:r w:rsidRPr="00664736">
        <w:rPr>
          <w:sz w:val="20"/>
          <w:szCs w:val="20"/>
        </w:rPr>
        <w:fldChar w:fldCharType="separate"/>
      </w:r>
      <w:r w:rsidRPr="00664736">
        <w:rPr>
          <w:sz w:val="20"/>
          <w:szCs w:val="20"/>
        </w:rPr>
        <w:t xml:space="preserve">‘NSW Supreme Court’s </w:t>
      </w:r>
      <w:proofErr w:type="spellStart"/>
      <w:r w:rsidRPr="00664736">
        <w:rPr>
          <w:sz w:val="20"/>
          <w:szCs w:val="20"/>
        </w:rPr>
        <w:t>Gen</w:t>
      </w:r>
      <w:proofErr w:type="spellEnd"/>
      <w:r w:rsidRPr="00664736">
        <w:rPr>
          <w:sz w:val="20"/>
          <w:szCs w:val="20"/>
        </w:rPr>
        <w:t xml:space="preserve"> AI Practice Note Sparks Debate’ (n 10).</w:t>
      </w:r>
      <w:r w:rsidRPr="00664736">
        <w:rPr>
          <w:sz w:val="20"/>
          <w:szCs w:val="20"/>
        </w:rPr>
        <w:fldChar w:fldCharType="end"/>
      </w:r>
    </w:p>
  </w:footnote>
  <w:footnote w:id="17">
    <w:p w14:paraId="616237AF"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May v </w:t>
      </w:r>
      <w:proofErr w:type="spellStart"/>
      <w:r w:rsidRPr="00664736">
        <w:rPr>
          <w:sz w:val="20"/>
          <w:szCs w:val="20"/>
        </w:rPr>
        <w:t>Costaras</w:t>
      </w:r>
      <w:proofErr w:type="spellEnd"/>
      <w:r w:rsidRPr="00664736">
        <w:rPr>
          <w:sz w:val="20"/>
          <w:szCs w:val="20"/>
        </w:rPr>
        <w:t xml:space="preserve"> [2025] NSWCA 178.</w:t>
      </w:r>
    </w:p>
  </w:footnote>
  <w:footnote w:id="18">
    <w:p w14:paraId="0FFF274B" w14:textId="77777777" w:rsidR="00313E2E" w:rsidRPr="00664736" w:rsidRDefault="00313E2E" w:rsidP="00664736">
      <w:pPr>
        <w:pStyle w:val="Footer"/>
        <w:rPr>
          <w:sz w:val="20"/>
          <w:szCs w:val="20"/>
        </w:rPr>
      </w:pPr>
      <w:r w:rsidRPr="00664736">
        <w:rPr>
          <w:rStyle w:val="FootnoteReference"/>
          <w:sz w:val="20"/>
          <w:szCs w:val="20"/>
        </w:rPr>
        <w:footnoteRef/>
      </w:r>
      <w:r w:rsidRPr="00664736">
        <w:rPr>
          <w:sz w:val="20"/>
          <w:szCs w:val="20"/>
        </w:rPr>
        <w:t xml:space="preserve"> </w:t>
      </w:r>
      <w:proofErr w:type="spellStart"/>
      <w:r w:rsidRPr="00664736">
        <w:rPr>
          <w:sz w:val="20"/>
          <w:szCs w:val="20"/>
        </w:rPr>
        <w:t>Bottrill</w:t>
      </w:r>
      <w:proofErr w:type="spellEnd"/>
      <w:r w:rsidRPr="00664736">
        <w:rPr>
          <w:sz w:val="20"/>
          <w:szCs w:val="20"/>
        </w:rPr>
        <w:t xml:space="preserve"> v Graham &amp; Anor (No 2) [2025] NSWDC 221 68.</w:t>
      </w:r>
    </w:p>
  </w:footnote>
  <w:footnote w:id="19">
    <w:p w14:paraId="4A931F3E" w14:textId="77777777" w:rsidR="00313E2E" w:rsidRPr="00892CBC" w:rsidRDefault="00313E2E" w:rsidP="00892CBC">
      <w:pPr>
        <w:pStyle w:val="Footer"/>
        <w:rPr>
          <w:sz w:val="20"/>
          <w:szCs w:val="20"/>
        </w:rPr>
      </w:pPr>
      <w:r w:rsidRPr="00892CBC">
        <w:rPr>
          <w:rStyle w:val="FootnoteReference"/>
          <w:sz w:val="20"/>
          <w:szCs w:val="20"/>
        </w:rPr>
        <w:footnoteRef/>
      </w:r>
      <w:r w:rsidRPr="00892CBC">
        <w:rPr>
          <w:sz w:val="20"/>
          <w:szCs w:val="20"/>
        </w:rPr>
        <w:t xml:space="preserve"> </w:t>
      </w:r>
      <w:r w:rsidRPr="00892CBC">
        <w:rPr>
          <w:sz w:val="20"/>
          <w:szCs w:val="20"/>
        </w:rPr>
        <w:fldChar w:fldCharType="begin"/>
      </w:r>
      <w:r w:rsidRPr="00892CBC">
        <w:rPr>
          <w:sz w:val="20"/>
          <w:szCs w:val="20"/>
        </w:rPr>
        <w:instrText xml:space="preserve"> ADDIN ZOTERO_ITEM CSL_CITATION {"citationID":"ojmkZ8ei","properties":{"formattedCitation":"Michael Legg, Vicki McNamara and Armin Alimardani, \\uc0\\u8216{}The Promise and the Peril of the Use of Generative Artificial Intelligence in Litigation\\uc0\\u8217{} (2025) 48(4) {\\i{}University of New South Wales Law Journal} 34 &lt;https://www.unsw.edu.au/content/dam/pdfs/law/unsw-law-journal/2020-2029/2025/48(4)-article3-Legg-et-al.pdf&gt;.","plainCitation":"Michael Legg, Vicki McNamara and Armin Alimardani, ‘The Promise and the Peril of the Use of Generative Artificial Intelligence in Litigation’ (2025) 48(4) University of New South Wales Law Journal 34 &lt;https://www.unsw.edu.au/content/dam/pdfs/law/unsw-law-journal/2020-2029/2025/48(4)-article3-Legg-et-al.pdf&gt;.","noteIndex":19},"citationItems":[{"id":456,"uris":["http://zotero.org/users/local/npAZtiUi/items/8ZFWQUB9"],"itemData":{"id":456,"type":"article-journal","abstract":"Generative artificial intelligence (‘GenAI’) has been employed by lawyers and parties to litigation in courts and tribunals around the world. While GenAI holds out the promise of more accessible legal services, GenAI also creates risks, such as the production of non-existent or inaccurate case citations and statements of law. Both lawyers and self-represented litigants (‘SRLs’) have failed to verify this ‘fake’ law and have used the outputs in litigation. This article examines why lawyers and SRLs are prone to misuse GenAI in litigation, including by reference to aspects of human psychology, such as automation bias and verification drift. The article then explores potential solutions to address this misuse: education, certification, sanctions and/or prohibition. Attention to solutions is crucial if the justice system and its users are to reap the benefits of GenAI without the risk of a hallucinated body of precedent eroding public trust in legal processes and the courts.","container-title":"University of New South Wales Law Journal","DOI":"10.53637/CJXX1348","ISSN":"03130096","issue":"4","journalAbbreviation":"UNSWLJ","source":"DOI.org (Crossref)","title":"The Promise and the Peril of the Use of Generative Artificial Intelligence in Litigation","URL":"https://www.unsw.edu.au/content/dam/pdfs/law/unsw-law-journal/2020-2029/2025/48(4)-article3-Legg-et-al.pdf","volume":"48","author":[{"family":"Legg","given":"Michael"},{"family":"McNamara","given":"Vicki"},{"family":"Alimardani","given":"Armin"}],"accessed":{"date-parts":[["2026",5,7]]},"issued":{"date-parts":[["2025",12]]}},"locator":"34"}],"schema":"https://github.com/citation-style-language/schema/raw/master/csl-citation.json"} </w:instrText>
      </w:r>
      <w:r w:rsidRPr="00892CBC">
        <w:rPr>
          <w:sz w:val="20"/>
          <w:szCs w:val="20"/>
        </w:rPr>
        <w:fldChar w:fldCharType="separate"/>
      </w:r>
      <w:r w:rsidRPr="00892CBC">
        <w:rPr>
          <w:sz w:val="20"/>
          <w:szCs w:val="20"/>
        </w:rPr>
        <w:t xml:space="preserve">Michael </w:t>
      </w:r>
      <w:proofErr w:type="spellStart"/>
      <w:r w:rsidRPr="00892CBC">
        <w:rPr>
          <w:sz w:val="20"/>
          <w:szCs w:val="20"/>
        </w:rPr>
        <w:t>Legg</w:t>
      </w:r>
      <w:proofErr w:type="spellEnd"/>
      <w:r w:rsidRPr="00892CBC">
        <w:rPr>
          <w:sz w:val="20"/>
          <w:szCs w:val="20"/>
        </w:rPr>
        <w:t xml:space="preserve">, Vicki McNamara and </w:t>
      </w:r>
      <w:proofErr w:type="spellStart"/>
      <w:r w:rsidRPr="00892CBC">
        <w:rPr>
          <w:sz w:val="20"/>
          <w:szCs w:val="20"/>
        </w:rPr>
        <w:t>Armin</w:t>
      </w:r>
      <w:proofErr w:type="spellEnd"/>
      <w:r w:rsidRPr="00892CBC">
        <w:rPr>
          <w:sz w:val="20"/>
          <w:szCs w:val="20"/>
        </w:rPr>
        <w:t xml:space="preserve"> </w:t>
      </w:r>
      <w:proofErr w:type="spellStart"/>
      <w:r w:rsidRPr="00892CBC">
        <w:rPr>
          <w:sz w:val="20"/>
          <w:szCs w:val="20"/>
        </w:rPr>
        <w:t>Alimardani</w:t>
      </w:r>
      <w:proofErr w:type="spellEnd"/>
      <w:r w:rsidRPr="00892CBC">
        <w:rPr>
          <w:sz w:val="20"/>
          <w:szCs w:val="20"/>
        </w:rPr>
        <w:t xml:space="preserve">, ‘The Promise and the Peril of the Use of Generative Artificial Intelligence in Litigation’ (2025) 48(4) </w:t>
      </w:r>
      <w:r w:rsidRPr="00892CBC">
        <w:rPr>
          <w:i/>
          <w:iCs/>
          <w:sz w:val="20"/>
          <w:szCs w:val="20"/>
        </w:rPr>
        <w:t>University of New South Wales Law Journal</w:t>
      </w:r>
      <w:r w:rsidRPr="00892CBC">
        <w:rPr>
          <w:sz w:val="20"/>
          <w:szCs w:val="20"/>
        </w:rPr>
        <w:t xml:space="preserve"> 34 &lt;https://www.unsw.edu.au/content/dam/pdfs/law/unsw-law-journal/2020-2029/2025/48(4)-article3-Legg-et-al.pdf&gt;.</w:t>
      </w:r>
      <w:r w:rsidRPr="00892CBC">
        <w:rPr>
          <w:sz w:val="20"/>
          <w:szCs w:val="20"/>
        </w:rPr>
        <w:fldChar w:fldCharType="end"/>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B"/>
    <w:rsid w:val="0007301A"/>
    <w:rsid w:val="0008172E"/>
    <w:rsid w:val="000A4193"/>
    <w:rsid w:val="000A7F76"/>
    <w:rsid w:val="000B2023"/>
    <w:rsid w:val="000D128E"/>
    <w:rsid w:val="000F108B"/>
    <w:rsid w:val="00111C95"/>
    <w:rsid w:val="00134090"/>
    <w:rsid w:val="00137E3E"/>
    <w:rsid w:val="00147DC9"/>
    <w:rsid w:val="00166E10"/>
    <w:rsid w:val="001729B6"/>
    <w:rsid w:val="00175486"/>
    <w:rsid w:val="001A3BD0"/>
    <w:rsid w:val="001B7DFD"/>
    <w:rsid w:val="001C6A9D"/>
    <w:rsid w:val="001F059D"/>
    <w:rsid w:val="001F21E4"/>
    <w:rsid w:val="001F7F8C"/>
    <w:rsid w:val="0021596B"/>
    <w:rsid w:val="00220042"/>
    <w:rsid w:val="0023078B"/>
    <w:rsid w:val="00235853"/>
    <w:rsid w:val="00240E95"/>
    <w:rsid w:val="00262BED"/>
    <w:rsid w:val="0027444B"/>
    <w:rsid w:val="00285268"/>
    <w:rsid w:val="00294CA4"/>
    <w:rsid w:val="002D6AA4"/>
    <w:rsid w:val="002F23C0"/>
    <w:rsid w:val="00300E0C"/>
    <w:rsid w:val="00313E2E"/>
    <w:rsid w:val="0032017D"/>
    <w:rsid w:val="00334ADB"/>
    <w:rsid w:val="00341B1E"/>
    <w:rsid w:val="00344A17"/>
    <w:rsid w:val="00356093"/>
    <w:rsid w:val="003A02E1"/>
    <w:rsid w:val="003A1CFB"/>
    <w:rsid w:val="003B7C76"/>
    <w:rsid w:val="003C2E5F"/>
    <w:rsid w:val="003E43B4"/>
    <w:rsid w:val="003E7BC4"/>
    <w:rsid w:val="00404131"/>
    <w:rsid w:val="00405FCE"/>
    <w:rsid w:val="004428B7"/>
    <w:rsid w:val="00454AE5"/>
    <w:rsid w:val="0046317F"/>
    <w:rsid w:val="00464656"/>
    <w:rsid w:val="0046610A"/>
    <w:rsid w:val="00480B5D"/>
    <w:rsid w:val="00482078"/>
    <w:rsid w:val="00483774"/>
    <w:rsid w:val="00483FDC"/>
    <w:rsid w:val="004D2AC4"/>
    <w:rsid w:val="004D4240"/>
    <w:rsid w:val="004E3D64"/>
    <w:rsid w:val="004E66C5"/>
    <w:rsid w:val="004F4891"/>
    <w:rsid w:val="00531BB6"/>
    <w:rsid w:val="00553DD0"/>
    <w:rsid w:val="00564DFA"/>
    <w:rsid w:val="00571DCD"/>
    <w:rsid w:val="00580005"/>
    <w:rsid w:val="00580B86"/>
    <w:rsid w:val="0058507A"/>
    <w:rsid w:val="00596E11"/>
    <w:rsid w:val="005A2FB7"/>
    <w:rsid w:val="005A6F4D"/>
    <w:rsid w:val="005D092F"/>
    <w:rsid w:val="005E1FFE"/>
    <w:rsid w:val="00601F4E"/>
    <w:rsid w:val="00602F53"/>
    <w:rsid w:val="006059CA"/>
    <w:rsid w:val="00610E85"/>
    <w:rsid w:val="00613015"/>
    <w:rsid w:val="006137B4"/>
    <w:rsid w:val="00621706"/>
    <w:rsid w:val="00630EB4"/>
    <w:rsid w:val="00634D86"/>
    <w:rsid w:val="00664736"/>
    <w:rsid w:val="00691C4F"/>
    <w:rsid w:val="006B0791"/>
    <w:rsid w:val="006B7BEF"/>
    <w:rsid w:val="006C0C11"/>
    <w:rsid w:val="006C458F"/>
    <w:rsid w:val="006D6FFC"/>
    <w:rsid w:val="006F60E7"/>
    <w:rsid w:val="006F651C"/>
    <w:rsid w:val="006F70AE"/>
    <w:rsid w:val="00702CEF"/>
    <w:rsid w:val="00714231"/>
    <w:rsid w:val="00723F0F"/>
    <w:rsid w:val="00727A61"/>
    <w:rsid w:val="0076135F"/>
    <w:rsid w:val="0076785F"/>
    <w:rsid w:val="007769FF"/>
    <w:rsid w:val="007969BD"/>
    <w:rsid w:val="007A4BF8"/>
    <w:rsid w:val="007B1D20"/>
    <w:rsid w:val="007B71B0"/>
    <w:rsid w:val="007C4F96"/>
    <w:rsid w:val="007D2217"/>
    <w:rsid w:val="007F17E8"/>
    <w:rsid w:val="00805941"/>
    <w:rsid w:val="00806120"/>
    <w:rsid w:val="0080654C"/>
    <w:rsid w:val="00811C62"/>
    <w:rsid w:val="008132C3"/>
    <w:rsid w:val="008215DC"/>
    <w:rsid w:val="00840943"/>
    <w:rsid w:val="00843BE6"/>
    <w:rsid w:val="0085433B"/>
    <w:rsid w:val="00892CBC"/>
    <w:rsid w:val="00893441"/>
    <w:rsid w:val="008A391C"/>
    <w:rsid w:val="008B0CF6"/>
    <w:rsid w:val="008B7194"/>
    <w:rsid w:val="008B7902"/>
    <w:rsid w:val="008F57CF"/>
    <w:rsid w:val="009035F2"/>
    <w:rsid w:val="009142C9"/>
    <w:rsid w:val="00924A66"/>
    <w:rsid w:val="00930211"/>
    <w:rsid w:val="0093046D"/>
    <w:rsid w:val="00944B71"/>
    <w:rsid w:val="009470FA"/>
    <w:rsid w:val="0095632F"/>
    <w:rsid w:val="00962EBB"/>
    <w:rsid w:val="009929D2"/>
    <w:rsid w:val="00997C34"/>
    <w:rsid w:val="009B7BD8"/>
    <w:rsid w:val="009C531C"/>
    <w:rsid w:val="009D06C6"/>
    <w:rsid w:val="009E1A7D"/>
    <w:rsid w:val="00A01517"/>
    <w:rsid w:val="00A03A12"/>
    <w:rsid w:val="00A0638E"/>
    <w:rsid w:val="00A502FB"/>
    <w:rsid w:val="00A540EA"/>
    <w:rsid w:val="00A830C0"/>
    <w:rsid w:val="00A97FC9"/>
    <w:rsid w:val="00AA3760"/>
    <w:rsid w:val="00AA67FB"/>
    <w:rsid w:val="00AD2504"/>
    <w:rsid w:val="00B02D14"/>
    <w:rsid w:val="00B15DDE"/>
    <w:rsid w:val="00B33213"/>
    <w:rsid w:val="00B46C49"/>
    <w:rsid w:val="00B832BA"/>
    <w:rsid w:val="00B868C3"/>
    <w:rsid w:val="00B97C02"/>
    <w:rsid w:val="00BA00F7"/>
    <w:rsid w:val="00BB66EB"/>
    <w:rsid w:val="00BC443F"/>
    <w:rsid w:val="00BC6547"/>
    <w:rsid w:val="00BD62C4"/>
    <w:rsid w:val="00BE5553"/>
    <w:rsid w:val="00C00C1E"/>
    <w:rsid w:val="00C41993"/>
    <w:rsid w:val="00C63EA7"/>
    <w:rsid w:val="00C65049"/>
    <w:rsid w:val="00C8782D"/>
    <w:rsid w:val="00C94C21"/>
    <w:rsid w:val="00CB7B0F"/>
    <w:rsid w:val="00CE2659"/>
    <w:rsid w:val="00D1061C"/>
    <w:rsid w:val="00D10C45"/>
    <w:rsid w:val="00D30760"/>
    <w:rsid w:val="00D5782C"/>
    <w:rsid w:val="00D67988"/>
    <w:rsid w:val="00D74462"/>
    <w:rsid w:val="00D75D0F"/>
    <w:rsid w:val="00D774EF"/>
    <w:rsid w:val="00D94C07"/>
    <w:rsid w:val="00DC1F28"/>
    <w:rsid w:val="00DE365C"/>
    <w:rsid w:val="00DE7698"/>
    <w:rsid w:val="00DF314C"/>
    <w:rsid w:val="00E00CF1"/>
    <w:rsid w:val="00E0218D"/>
    <w:rsid w:val="00E0232C"/>
    <w:rsid w:val="00E030D6"/>
    <w:rsid w:val="00E160C6"/>
    <w:rsid w:val="00E179B4"/>
    <w:rsid w:val="00E23ACE"/>
    <w:rsid w:val="00E35F81"/>
    <w:rsid w:val="00E45958"/>
    <w:rsid w:val="00E6116E"/>
    <w:rsid w:val="00E6236F"/>
    <w:rsid w:val="00E660C7"/>
    <w:rsid w:val="00E80566"/>
    <w:rsid w:val="00E95486"/>
    <w:rsid w:val="00EC40F3"/>
    <w:rsid w:val="00EF6D7D"/>
    <w:rsid w:val="00EF7F99"/>
    <w:rsid w:val="00F05EA0"/>
    <w:rsid w:val="00F1081F"/>
    <w:rsid w:val="00F15FF2"/>
    <w:rsid w:val="00F166DC"/>
    <w:rsid w:val="00F22977"/>
    <w:rsid w:val="00F3602A"/>
    <w:rsid w:val="00F52A96"/>
    <w:rsid w:val="00F6794E"/>
    <w:rsid w:val="00F73151"/>
    <w:rsid w:val="00F74AD5"/>
    <w:rsid w:val="00F76D99"/>
    <w:rsid w:val="00F772BB"/>
    <w:rsid w:val="00F81255"/>
    <w:rsid w:val="00F84D64"/>
    <w:rsid w:val="00F972AD"/>
    <w:rsid w:val="00FA4988"/>
    <w:rsid w:val="00FA4E12"/>
    <w:rsid w:val="00FB2581"/>
    <w:rsid w:val="00FB5B18"/>
    <w:rsid w:val="00FD42E0"/>
    <w:rsid w:val="00FD531E"/>
    <w:rsid w:val="00FE034A"/>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7C0F"/>
  <w15:chartTrackingRefBased/>
  <w15:docId w15:val="{5B7C685B-599E-F249-9F2E-FA1E023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53"/>
    <w:pPr>
      <w:spacing w:after="240" w:line="360" w:lineRule="auto"/>
    </w:pPr>
    <w:rPr>
      <w:rFonts w:ascii="Times New Roman" w:hAnsi="Times New Roman" w:cs="Times New Roman"/>
    </w:rPr>
  </w:style>
  <w:style w:type="paragraph" w:styleId="Heading1">
    <w:name w:val="heading 1"/>
    <w:basedOn w:val="Normal"/>
    <w:next w:val="Normal"/>
    <w:link w:val="Heading1Char"/>
    <w:uiPriority w:val="9"/>
    <w:qFormat/>
    <w:rsid w:val="00E23ACE"/>
    <w:pPr>
      <w:jc w:val="center"/>
      <w:outlineLvl w:val="0"/>
    </w:pPr>
    <w:rPr>
      <w:b/>
      <w:bCs/>
      <w:color w:val="000000" w:themeColor="text1"/>
      <w:sz w:val="28"/>
      <w:szCs w:val="28"/>
    </w:rPr>
  </w:style>
  <w:style w:type="paragraph" w:styleId="Heading2">
    <w:name w:val="heading 2"/>
    <w:basedOn w:val="Normal"/>
    <w:next w:val="Normal"/>
    <w:link w:val="Heading2Char"/>
    <w:uiPriority w:val="9"/>
    <w:unhideWhenUsed/>
    <w:qFormat/>
    <w:rsid w:val="00235853"/>
    <w:pPr>
      <w:outlineLvl w:val="1"/>
    </w:pPr>
    <w:rPr>
      <w:u w:val="single"/>
    </w:rPr>
  </w:style>
  <w:style w:type="paragraph" w:styleId="Heading3">
    <w:name w:val="heading 3"/>
    <w:basedOn w:val="Normal"/>
    <w:next w:val="Normal"/>
    <w:link w:val="Heading3Char"/>
    <w:uiPriority w:val="9"/>
    <w:semiHidden/>
    <w:unhideWhenUsed/>
    <w:qFormat/>
    <w:rsid w:val="000F1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CE"/>
    <w:rPr>
      <w:rFonts w:ascii="Times New Roman"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235853"/>
    <w:rPr>
      <w:rFonts w:ascii="Times New Roman" w:hAnsi="Times New Roman" w:cs="Times New Roman"/>
      <w:u w:val="single"/>
    </w:rPr>
  </w:style>
  <w:style w:type="character" w:customStyle="1" w:styleId="Heading3Char">
    <w:name w:val="Heading 3 Char"/>
    <w:basedOn w:val="DefaultParagraphFont"/>
    <w:link w:val="Heading3"/>
    <w:uiPriority w:val="9"/>
    <w:semiHidden/>
    <w:rsid w:val="000F1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8B"/>
    <w:rPr>
      <w:rFonts w:eastAsiaTheme="majorEastAsia" w:cstheme="majorBidi"/>
      <w:color w:val="272727" w:themeColor="text1" w:themeTint="D8"/>
    </w:rPr>
  </w:style>
  <w:style w:type="paragraph" w:styleId="Title">
    <w:name w:val="Title"/>
    <w:basedOn w:val="Normal"/>
    <w:next w:val="Normal"/>
    <w:link w:val="TitleChar"/>
    <w:uiPriority w:val="10"/>
    <w:qFormat/>
    <w:rsid w:val="001C6A9D"/>
    <w:pPr>
      <w:jc w:val="center"/>
    </w:pPr>
    <w:rPr>
      <w:color w:val="FFFFFF" w:themeColor="background1"/>
      <w:sz w:val="48"/>
      <w:szCs w:val="48"/>
    </w:rPr>
  </w:style>
  <w:style w:type="character" w:customStyle="1" w:styleId="TitleChar">
    <w:name w:val="Title Char"/>
    <w:basedOn w:val="DefaultParagraphFont"/>
    <w:link w:val="Title"/>
    <w:uiPriority w:val="10"/>
    <w:rsid w:val="001C6A9D"/>
    <w:rPr>
      <w:rFonts w:ascii="Times New Roman" w:hAnsi="Times New Roman" w:cs="Times New Roman"/>
      <w:color w:val="FFFFFF" w:themeColor="background1"/>
      <w:sz w:val="48"/>
      <w:szCs w:val="48"/>
    </w:rPr>
  </w:style>
  <w:style w:type="paragraph" w:styleId="Subtitle">
    <w:name w:val="Subtitle"/>
    <w:basedOn w:val="Normal"/>
    <w:next w:val="Normal"/>
    <w:link w:val="SubtitleChar"/>
    <w:uiPriority w:val="11"/>
    <w:qFormat/>
    <w:rsid w:val="00262BED"/>
    <w:pPr>
      <w:spacing w:after="0"/>
      <w:jc w:val="center"/>
    </w:pPr>
    <w:rPr>
      <w:i/>
      <w:iCs/>
      <w:color w:val="FFFFFF" w:themeColor="background1"/>
      <w:sz w:val="36"/>
      <w:szCs w:val="36"/>
    </w:rPr>
  </w:style>
  <w:style w:type="character" w:customStyle="1" w:styleId="SubtitleChar">
    <w:name w:val="Subtitle Char"/>
    <w:basedOn w:val="DefaultParagraphFont"/>
    <w:link w:val="Subtitle"/>
    <w:uiPriority w:val="11"/>
    <w:rsid w:val="00262BED"/>
    <w:rPr>
      <w:rFonts w:ascii="Times New Roman" w:hAnsi="Times New Roman" w:cs="Times New Roman"/>
      <w:i/>
      <w:iCs/>
      <w:color w:val="FFFFFF" w:themeColor="background1"/>
      <w:sz w:val="36"/>
      <w:szCs w:val="36"/>
    </w:rPr>
  </w:style>
  <w:style w:type="paragraph" w:styleId="Quote">
    <w:name w:val="Quote"/>
    <w:basedOn w:val="Normal"/>
    <w:next w:val="Normal"/>
    <w:link w:val="QuoteChar"/>
    <w:uiPriority w:val="29"/>
    <w:qFormat/>
    <w:rsid w:val="000F10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08B"/>
    <w:rPr>
      <w:i/>
      <w:iCs/>
      <w:color w:val="404040" w:themeColor="text1" w:themeTint="BF"/>
    </w:rPr>
  </w:style>
  <w:style w:type="paragraph" w:styleId="ListParagraph">
    <w:name w:val="List Paragraph"/>
    <w:basedOn w:val="Normal"/>
    <w:uiPriority w:val="34"/>
    <w:qFormat/>
    <w:rsid w:val="000F108B"/>
    <w:pPr>
      <w:ind w:left="720"/>
      <w:contextualSpacing/>
    </w:pPr>
  </w:style>
  <w:style w:type="character" w:styleId="IntenseEmphasis">
    <w:name w:val="Intense Emphasis"/>
    <w:basedOn w:val="DefaultParagraphFont"/>
    <w:uiPriority w:val="21"/>
    <w:qFormat/>
    <w:rsid w:val="000F108B"/>
    <w:rPr>
      <w:i/>
      <w:iCs/>
      <w:color w:val="0F4761" w:themeColor="accent1" w:themeShade="BF"/>
    </w:rPr>
  </w:style>
  <w:style w:type="paragraph" w:styleId="IntenseQuote">
    <w:name w:val="Intense Quote"/>
    <w:basedOn w:val="Normal"/>
    <w:next w:val="Normal"/>
    <w:link w:val="IntenseQuoteChar"/>
    <w:uiPriority w:val="30"/>
    <w:qFormat/>
    <w:rsid w:val="000F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8B"/>
    <w:rPr>
      <w:i/>
      <w:iCs/>
      <w:color w:val="0F4761" w:themeColor="accent1" w:themeShade="BF"/>
    </w:rPr>
  </w:style>
  <w:style w:type="character" w:styleId="IntenseReference">
    <w:name w:val="Intense Reference"/>
    <w:basedOn w:val="DefaultParagraphFont"/>
    <w:uiPriority w:val="32"/>
    <w:qFormat/>
    <w:rsid w:val="000F108B"/>
    <w:rPr>
      <w:b/>
      <w:bCs/>
      <w:smallCaps/>
      <w:color w:val="0F4761" w:themeColor="accent1" w:themeShade="BF"/>
      <w:spacing w:val="5"/>
    </w:rPr>
  </w:style>
  <w:style w:type="paragraph" w:styleId="Header">
    <w:name w:val="header"/>
    <w:basedOn w:val="Normal"/>
    <w:link w:val="HeaderChar"/>
    <w:uiPriority w:val="99"/>
    <w:unhideWhenUsed/>
    <w:rsid w:val="00334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ADB"/>
    <w:rPr>
      <w:rFonts w:ascii="Times New Roman" w:hAnsi="Times New Roman" w:cs="Times New Roman"/>
      <w:sz w:val="22"/>
      <w:szCs w:val="22"/>
    </w:rPr>
  </w:style>
  <w:style w:type="paragraph" w:styleId="Footer">
    <w:name w:val="footer"/>
    <w:basedOn w:val="Normal"/>
    <w:link w:val="FooterChar"/>
    <w:uiPriority w:val="99"/>
    <w:unhideWhenUsed/>
    <w:rsid w:val="00334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ADB"/>
    <w:rPr>
      <w:rFonts w:ascii="Times New Roman" w:hAnsi="Times New Roman" w:cs="Times New Roman"/>
      <w:sz w:val="22"/>
      <w:szCs w:val="22"/>
    </w:rPr>
  </w:style>
  <w:style w:type="character" w:styleId="PageNumber">
    <w:name w:val="page number"/>
    <w:basedOn w:val="DefaultParagraphFont"/>
    <w:uiPriority w:val="99"/>
    <w:semiHidden/>
    <w:unhideWhenUsed/>
    <w:rsid w:val="00334ADB"/>
  </w:style>
  <w:style w:type="character" w:styleId="SubtleEmphasis">
    <w:name w:val="Subtle Emphasis"/>
    <w:uiPriority w:val="19"/>
    <w:qFormat/>
    <w:rsid w:val="00E23ACE"/>
    <w:rPr>
      <w:sz w:val="24"/>
      <w:szCs w:val="24"/>
    </w:rPr>
  </w:style>
  <w:style w:type="character" w:styleId="Strong">
    <w:name w:val="Strong"/>
    <w:uiPriority w:val="22"/>
    <w:qFormat/>
    <w:rsid w:val="001C6A9D"/>
  </w:style>
  <w:style w:type="paragraph" w:styleId="FootnoteText">
    <w:name w:val="footnote text"/>
    <w:basedOn w:val="Normal"/>
    <w:link w:val="FootnoteTextChar"/>
    <w:uiPriority w:val="99"/>
    <w:semiHidden/>
    <w:unhideWhenUsed/>
    <w:rsid w:val="00313E2E"/>
    <w:pPr>
      <w:spacing w:after="0" w:line="240" w:lineRule="auto"/>
    </w:pPr>
    <w:rPr>
      <w:rFonts w:ascii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313E2E"/>
    <w:rPr>
      <w:kern w:val="2"/>
      <w:sz w:val="20"/>
      <w:szCs w:val="20"/>
      <w14:ligatures w14:val="standardContextual"/>
    </w:rPr>
  </w:style>
  <w:style w:type="character" w:styleId="FootnoteReference">
    <w:name w:val="footnote reference"/>
    <w:basedOn w:val="DefaultParagraphFont"/>
    <w:uiPriority w:val="99"/>
    <w:semiHidden/>
    <w:unhideWhenUsed/>
    <w:rsid w:val="00313E2E"/>
    <w:rPr>
      <w:vertAlign w:val="superscript"/>
    </w:rPr>
  </w:style>
  <w:style w:type="character" w:styleId="Emphasis">
    <w:name w:val="Emphasis"/>
    <w:basedOn w:val="DefaultParagraphFont"/>
    <w:uiPriority w:val="20"/>
    <w:qFormat/>
    <w:rsid w:val="00313E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C12E-0CC6-9048-B462-92C22EB8911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1596</Words>
  <Characters>9099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Macvean</dc:creator>
  <cp:keywords/>
  <dc:description/>
  <cp:lastModifiedBy>Deirdre Veneracion</cp:lastModifiedBy>
  <cp:revision>2</cp:revision>
  <dcterms:created xsi:type="dcterms:W3CDTF">2026-05-16T07:02:00Z</dcterms:created>
  <dcterms:modified xsi:type="dcterms:W3CDTF">2026-05-16T07:02:00Z</dcterms:modified>
</cp:coreProperties>
</file>