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64E3F6" w14:textId="34C6B8BD" w:rsidR="007B464E" w:rsidRDefault="007B464E" w:rsidP="007B464E">
      <w:pPr>
        <w:spacing w:before="720" w:after="80"/>
      </w:pPr>
      <w:r>
        <w:rPr>
          <w:rFonts w:ascii="Georgia" w:eastAsia="Georgia" w:hAnsi="Georgia" w:cs="Georgia"/>
          <w:color w:val="6C9EAB"/>
          <w:sz w:val="36"/>
          <w:szCs w:val="36"/>
          <w:i/>
          <w:iCs/>
        </w:rPr>
        <w:t xml:space="preserve">Finiti Legal Technologies, Inc.</w:t>
      </w:r>
    </w:p>
    <w:p w14:paraId="31DA2908" w14:textId="79476756" w:rsidR="00DF197E" w:rsidRDefault="007B464E" w:rsidP="007B464E">
      <w:pPr>
        <w:spacing w:after="80"/>
        <w:rPr>
          <w:rFonts w:ascii="Georgia" w:eastAsia="Georgia" w:hAnsi="Georgia" w:cs="Georgia"/>
          <w:b/>
          <w:bCs/>
          <w:sz w:val="56"/>
          <w:szCs w:val="56"/>
        </w:rPr>
      </w:pPr>
      <w:r>
        <w:rPr>
          <w:rFonts w:ascii="Georgia" w:eastAsia="Georgia" w:hAnsi="Georgia" w:cs="Georgia"/>
          <w:sz w:val="56"/>
          <w:szCs w:val="56"/>
          <w:b/>
          <w:bCs/>
        </w:rPr>
        <w:t xml:space="preserve">Data Processing Agreement</w:t>
      </w:r>
    </w:p>
    <w:p w14:paraId="5FE9C247" w14:textId="77777777" w:rsidR="007B464E" w:rsidRPr="007B464E" w:rsidRDefault="007B464E" w:rsidP="007B464E">
      <w:pPr>
        <w:spacing w:after="120"/>
        <w:rPr>
          <w:sz w:val="11"/>
          <w:szCs w:val="8"/>
        </w:rPr>
      </w:pPr>
      <w:r>
        <w:rPr>
          <w:rFonts w:cs="Satoshi Variable"/>
          <w:sz w:val="11"/>
          <w:szCs w:val="8"/>
          <w:i/>
          <w:iCs/>
        </w:rPr>
        <w:t xml:space="preserve">Version: August 2026. This document is published at </w:t>
      </w:r>
      <w:r>
        <w:rPr>
          <w:rFonts w:cs="Satoshi Variable"/>
          <w:sz w:val="11"/>
          <w:szCs w:val="8"/>
          <w:i/>
          <w:iCs/>
        </w:rPr>
        <w:t xml:space="preserve">www.finiti.legal/dpa</w:t>
      </w:r>
      <w:r>
        <w:rPr>
          <w:rFonts w:cs="Satoshi Variable"/>
          <w:sz w:val="11"/>
          <w:szCs w:val="8"/>
          <w:i/>
          <w:iCs/>
        </w:rPr>
        <w:t xml:space="preserve"> and is the current version of the Finiti Data Processing Agreement.</w:t>
      </w:r>
    </w:p>
    <w:p w14:paraId="5FE9C247" w14:textId="77777777" w:rsidR="007B464E" w:rsidRPr="007B464E" w:rsidRDefault="007B464E" w:rsidP="007B464E">
      <w:pPr>
        <w:spacing w:after="120"/>
        <w:rPr>
          <w:sz w:val="11"/>
          <w:szCs w:val="8"/>
        </w:rPr>
      </w:pPr>
      <w:r>
        <w:rPr>
          <w:rFonts w:cs="Satoshi Variable"/>
          <w:sz w:val="11"/>
          <w:szCs w:val="8"/>
        </w:rPr>
        <w:t xml:space="preserve">This Data Processing Agreement (this "DPA") forms part of, and is incorporated by reference into, the agreement between Finiti Legal Technologies, Inc. ("Finiti") and the customer identified in that agreement ("Customer") governing Customer's access to and use of the Finiti Services (the "Agreement"). This DPA applies where and to the extent that Finiti Processes Customer Personal Data on Customer's behalf in connection with the Services. Capitalised terms used but not defined in this DPA have the meanings given in the Agreement.</w:t>
      </w:r>
    </w:p>
    <w:p w14:paraId="60BAE444"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Processor and Subprocessor Relationships</w:t>
      </w:r>
    </w:p>
    <w:p w14:paraId="7CD3DF10"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Finiti as Processor. </w:t>
      </w:r>
      <w:r>
        <w:rPr>
          <w:rFonts w:cs="Satoshi Variable"/>
          <w:sz w:val="11"/>
          <w:szCs w:val="8"/>
        </w:rPr>
        <w:t>When Finiti Processes Customer Personal Data on Customer’s behalf in connection with the Services, Finiti is a Processor and Customer is the Controller (or, where Customer is itself acting as a Processor for an end-client of Customer, Finiti is a Sub-processor and Customer is a Processor). Finiti will Process Customer Personal Data only in accordance with this DPA, the Agreement, and Customer’s documented lawful instructions. Schedule 1 sets out the categories of data subjects, categories of Personal Data, nature and purpose of Processing, and duration. Finiti will notify Customer without undue delay if Finiti believes any Customer instruction violates Applicable Data Protection Laws, and Finiti may suspend the affected instruction until Customer modifies, confirms, or withdraws it.</w:t>
      </w:r>
    </w:p>
    <w:p w14:paraId="67216B43"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Finiti as Controller. </w:t>
      </w:r>
      <w:r>
        <w:rPr>
          <w:rFonts w:cs="Satoshi Variable"/>
          <w:sz w:val="11"/>
          <w:szCs w:val="8"/>
        </w:rPr>
        <w:t>Finiti acts as an independent Controller for limited categories of data Finiti collects in operating the Services, including account-administration data, billing data, usage telemetry and audit logs, and security-monitoring data (collectively, “Service-Operations Data”). Finiti Processes Service-Operations Data to provide, secure, monitor, support, and improve the Services, to bill Customer, to comply with law, and to exercise and defend legal claims. Finiti’s Processing of Service-Operations Data is governed by the Finiti Privacy Notice and not by this DPA.</w:t>
      </w:r>
    </w:p>
    <w:p w14:paraId="081CCC53"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Customer’s Role. </w:t>
      </w:r>
      <w:r>
        <w:rPr>
          <w:rFonts w:cs="Satoshi Variable"/>
          <w:sz w:val="11"/>
          <w:szCs w:val="8"/>
        </w:rPr>
        <w:t>As between Customer and Finiti, Customer is solely responsible for the accuracy, quality, legality, and provenance of Customer Personal Data and for Customer’s decisions about how to use the Services. Customer represents and warrants that it has provided all notices and obtained all consents, authorizations, and lawful bases required by Applicable Data Protection Laws to enable Finiti to Process Customer Personal Data as contemplated by the Agreement and this DPA, including with respect to end-client data Customer submits.</w:t>
      </w:r>
    </w:p>
    <w:p w14:paraId="53D73D9B" w14:textId="77777777" w:rsidR="007B464E" w:rsidRPr="007B464E" w:rsidRDefault="007B464E" w:rsidP="007B464E">
      <w:pPr>
        <w:pStyle w:val="ListParagraph"/>
        <w:spacing w:after="120"/>
        <w:ind w:left="792"/>
        <w:rPr>
          <w:sz w:val="11"/>
          <w:szCs w:val="8"/>
        </w:rPr>
      </w:pPr>
    </w:p>
    <w:p w14:paraId="036338A8"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Processing</w:t>
      </w:r>
    </w:p>
    <w:p w14:paraId="1081343D" w14:textId="77777777" w:rsidR="007B464E" w:rsidRPr="007B464E" w:rsidRDefault="007B464E" w:rsidP="007B464E">
      <w:pPr>
        <w:pStyle w:val="ListParagraph"/>
        <w:numPr>
          <w:ilvl w:val="1"/>
          <w:numId w:val="10"/>
        </w:numPr>
        <w:snapToGrid w:val="0"/>
        <w:spacing w:after="120" w:line="300" w:lineRule="auto"/>
        <w:contextualSpacing/>
        <w:rPr>
          <w:sz w:val="11"/>
          <w:szCs w:val="8"/>
          <w:u w:val="single"/>
        </w:rPr>
      </w:pPr>
      <w:r>
        <w:rPr>
          <w:rFonts w:eastAsia="Satoshi Variable" w:cs="Satoshi Variable"/>
          <w:b/>
          <w:bCs/>
          <w:sz w:val="11"/>
          <w:szCs w:val="8"/>
        </w:rPr>
        <w:t>Documented Instructions.</w:t>
      </w:r>
      <w:r>
        <w:rPr>
          <w:rFonts w:eastAsia="Satoshi Variable" w:cs="Satoshi Variable"/>
          <w:sz w:val="11"/>
          <w:szCs w:val="8"/>
        </w:rPr>
        <w:t xml:space="preserve"> Customer instructs Finiti to Process Customer Personal Data: (a) to provide, operate, secure, and support the Services; (b) as further described in this DPA, the Agreement, any order form, and Customer’s configuration of the Services; (c) as required by Applicable Laws to which Finiti is subject; and (d) as Customer may otherwise instruct in writing and Finiti acknowledges. Customer warrants that its instructions will comply with Applicable Data Protection Laws.</w:t>
      </w:r>
    </w:p>
    <w:p w14:paraId="47BDCC45" w14:textId="77777777" w:rsidR="007B464E" w:rsidRPr="007B464E" w:rsidRDefault="007B464E" w:rsidP="007B464E">
      <w:pPr>
        <w:pStyle w:val="ListParagraph"/>
        <w:numPr>
          <w:ilvl w:val="1"/>
          <w:numId w:val="10"/>
        </w:numPr>
        <w:snapToGrid w:val="0"/>
        <w:spacing w:after="120" w:line="300" w:lineRule="auto"/>
        <w:rPr>
          <w:sz w:val="11"/>
          <w:szCs w:val="8"/>
        </w:rPr>
      </w:pPr>
      <w:r>
        <w:rPr>
          <w:rFonts w:eastAsia="Satoshi Variable" w:cs="Satoshi Variable"/>
          <w:b/>
          <w:bCs/>
          <w:sz w:val="11"/>
          <w:szCs w:val="8"/>
        </w:rPr>
        <w:t>Scope.</w:t>
      </w:r>
      <w:r>
        <w:rPr>
          <w:rFonts w:eastAsia="Satoshi Variable" w:cs="Satoshi Variable"/>
          <w:sz w:val="11"/>
          <w:szCs w:val="8"/>
        </w:rPr>
        <w:t xml:space="preserve"> Finiti will not Process Customer Personal Data for any purpose other than performance of the Services or as otherwise instructed by Customer in accordance with this DPA. Without limiting the foregoing, Finiti will not (i) “sell” or “share” Customer Personal Data within the meaning of U.S. state privacy laws, (ii) retain, use, or disclose Customer Personal Data outside the direct business relationship with Customer, or (iii) combine Customer Personal Data with Personal Data Finiti receives from other sources, except as permitted by Applicable Data Protection Laws.</w:t>
      </w:r>
    </w:p>
    <w:p w14:paraId="5752512D"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Inputs and Outputs</w:t>
      </w:r>
    </w:p>
    <w:p w14:paraId="0C010A96"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Customer Ownership. </w:t>
      </w:r>
      <w:r>
        <w:rPr>
          <w:rFonts w:cs="Satoshi Variable"/>
          <w:sz w:val="11"/>
          <w:szCs w:val="8"/>
        </w:rPr>
        <w:t>As between the parties, Customer retains all right, title, and interest in and to Inputs and Outputs, subject to Finiti’s rights in the underlying Services and Finiti’s intellectual property. Finiti claims no ownership of Inputs or Outputs.</w:t>
      </w:r>
    </w:p>
    <w:p w14:paraId="0C010A96"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sz w:val="11"/>
          <w:szCs w:val="8"/>
          <w:b/>
          <w:bCs/>
        </w:rPr>
        <w:t xml:space="preserve">No Model Training on Customer Personal Data. </w:t>
      </w:r>
      <w:r>
        <w:rPr>
          <w:rFonts w:cs="Satoshi Variable"/>
          <w:sz w:val="11"/>
          <w:szCs w:val="8"/>
        </w:rPr>
        <w:t xml:space="preserve">Finiti will not use Inputs, Outputs, or other Customer Personal Data to train, fine-tune, or evaluate any artificial-intelligence or machine-learning model, whether Finiti's own or a third party's. Finiti contracts with each Model Provider on terms that prohibit the use of Inputs and Outputs to train, fine-tune, or improve that Model Provider's models, and that provide for zero data retention (ZDR) or an equivalent restriction, such that Inputs and Outputs are processed only in volatile memory during inference and are not retained or persisted by the Model Provider after the inference call completes. Finiti will not enable any optional logging, prompt-caching, or training-data-sharing feature of a Model Provider that would result in retention of Customer Personal Data. This Section applies to Inputs and Outputs Processed by Model Providers; the treatment of data disclosed to other Sub-processors is as set out in Schedule 2.</w:t>
      </w:r>
    </w:p>
    <w:p w14:paraId="5613D7B0"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Aggregate and De-Identified Data. </w:t>
      </w:r>
      <w:r>
        <w:rPr>
          <w:rFonts w:cs="Satoshi Variable"/>
          <w:sz w:val="11"/>
          <w:szCs w:val="8"/>
        </w:rPr>
        <w:t>Finiti may generate aggregate, statistical, or de-identified data derived from operation of the Services (e.g., counts of documents processed, latency, error rates) and may use such data to operate, secure, benchmark, and improve the Services, provided the data does not identify Customer, any Authorized User, any data subject, or any end-client of Customer, and Finiti does not attempt to re-identify it.</w:t>
      </w:r>
    </w:p>
    <w:p w14:paraId="52466423"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Deployment Models. </w:t>
      </w:r>
      <w:r>
        <w:rPr>
          <w:rFonts w:cs="Satoshi Variable"/>
          <w:sz w:val="11"/>
          <w:szCs w:val="8"/>
        </w:rPr>
        <w:t>The flow of Inputs and Outputs depends on the deployment model selected by Customer in the Agreement or applicable order form: (a) Managed Saas, where Inputs are transmitted to Finiti’s hosted environment and to Model Providers under ZDR; (b) Managed Deployment in Customer’s Cloud Tenant, where Inputs remain within Customer’s cloud tenant and only the prompt/response payload exits the tenant to the Model Provider under ZDR; (c) Full On-Premise / Air-Gapped, where Inputs and Outputs remain entirely within Customer’s infrastructure and no Sub-processors process Customer Personal Data. The current deployment, hosting region, and Model Providers in use are recorded in the applicable order form or Schedule 2.</w:t>
      </w:r>
    </w:p>
    <w:p w14:paraId="717C6D73"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Output Limitations; Verification. </w:t>
      </w:r>
      <w:r>
        <w:rPr>
          <w:rFonts w:cs="Satoshi Variable"/>
          <w:sz w:val="11"/>
          <w:szCs w:val="8"/>
        </w:rPr>
        <w:t>Customer acknowledges that Outputs are generated by probabilistic machine-learning models and may contain inaccuracies, omissions, or fabricated citations. Customer is solely responsible for reviewing Outputs by a qualified human reviewer before relying on them for any legal, regulatory, or client-facing purpose, and for ensuring that any use of Outputs complies with Customer’s professional-responsibility obligations and Applicable Laws. Outputs do not constitute legal advice from Finiti.</w:t>
      </w:r>
    </w:p>
    <w:p w14:paraId="4D7FD3B5" w14:textId="77777777" w:rsidR="007B464E" w:rsidRPr="007B464E" w:rsidRDefault="007B464E" w:rsidP="007B464E">
      <w:pPr>
        <w:pStyle w:val="ListParagraph"/>
        <w:numPr>
          <w:ilvl w:val="1"/>
          <w:numId w:val="10"/>
        </w:numPr>
        <w:spacing w:before="240" w:after="240" w:line="300" w:lineRule="auto"/>
        <w:contextualSpacing/>
        <w:rPr>
          <w:sz w:val="11"/>
          <w:szCs w:val="8"/>
        </w:rPr>
      </w:pPr>
      <w:r>
        <w:rPr>
          <w:rFonts w:cs="Satoshi Variable"/>
          <w:b/>
          <w:sz w:val="11"/>
          <w:szCs w:val="8"/>
        </w:rPr>
        <w:t xml:space="preserve">Prohibited Inputs. </w:t>
      </w:r>
      <w:r>
        <w:rPr>
          <w:rFonts w:cs="Satoshi Variable"/>
          <w:sz w:val="11"/>
          <w:szCs w:val="8"/>
        </w:rPr>
        <w:t>Customer will not submit as Inputs any (i) Personal Data of categories that Customer is not authorized to disclose to Finiti or its Sub-processors under Applicable Laws; (ii) information subject to the Health Insurance Portability and Accountability Act (HIPAA) unless the parties have separately executed a business-associate agreement; (iii) U.S. federal classified information or controlled unclassified information unless the deployment has been specifically configured and authorized for such use; or (iv) data subject to a contractual or legal restriction that prohibits its disclosure to the Model Providers and Sub-processors listed in Schedule 2.</w:t>
      </w:r>
    </w:p>
    <w:p w14:paraId="3BE9950E" w14:textId="77777777" w:rsidR="007B464E" w:rsidRPr="007B464E" w:rsidRDefault="007B464E" w:rsidP="007B464E">
      <w:pPr>
        <w:pStyle w:val="ListParagraph"/>
        <w:spacing w:before="240" w:after="240"/>
        <w:ind w:left="792"/>
        <w:rPr>
          <w:sz w:val="11"/>
          <w:szCs w:val="8"/>
        </w:rPr>
      </w:pPr>
    </w:p>
    <w:p w14:paraId="0B080CCF"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Customer Obligations</w:t>
      </w:r>
    </w:p>
    <w:p w14:paraId="4EE0290E"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Lawful Basis and Notices. </w:t>
      </w:r>
      <w:r>
        <w:rPr>
          <w:rFonts w:cs="Satoshi Variable"/>
          <w:sz w:val="11"/>
          <w:szCs w:val="8"/>
        </w:rPr>
        <w:t>Customer will (a) establish and maintain a valid lawful basis under Applicable Data Protection Laws for each Processing activity Customer instructs Finiti to perform; (b) provide all notices required by Applicable Data Protection Laws to data subjects (including Customer’s end-clients) regarding the use of the Services; and (c) obtain and maintain all consents, authorizations, and approvals from data subjects, end-clients, regulators, and other third parties required for Finiti to Process Customer Personal Data.</w:t>
      </w:r>
    </w:p>
    <w:p w14:paraId="0893DF59"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lastRenderedPageBreak/>
        <w:t xml:space="preserve">Authorized Users; Access Controls. </w:t>
      </w:r>
      <w:r>
        <w:rPr>
          <w:rFonts w:cs="Satoshi Variable"/>
          <w:sz w:val="11"/>
          <w:szCs w:val="8"/>
        </w:rPr>
        <w:t>Customer is responsible for (a) provisioning and de-provisioning Authorized Users; (b) configuring access controls, role-based permissions, single sign-on, and multi-factor authentication features made available by the Services; (c) keeping credentials confidential; and (d) the acts and omissions of its Authorized Users as if they were Customer’s own. Customer will promptly notify Finiti of any actual or suspected unauthorized use of the Services.</w:t>
      </w:r>
    </w:p>
    <w:p w14:paraId="2BEC03F8"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Data Minimization. </w:t>
      </w:r>
      <w:r>
        <w:rPr>
          <w:rFonts w:cs="Satoshi Variable"/>
          <w:sz w:val="11"/>
          <w:szCs w:val="8"/>
        </w:rPr>
        <w:t>Customer will submit only such Personal Data as is necessary for the purposes of the Services Customer has selected. Customer will not submit special categories of Personal Data (as defined in Article 9 GDPR) or comparable sensitive Personal Data under other Applicable Data Protection Laws unless (i) submission of that data is necessary for the intended use of the Services and (ii) Customer has obtained any explicit consent or other lawful basis required for such Processing.</w:t>
      </w:r>
    </w:p>
    <w:p w14:paraId="18610222"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Cross-Border and Sectoral Restrictions. </w:t>
      </w:r>
      <w:r>
        <w:rPr>
          <w:rFonts w:cs="Satoshi Variable"/>
          <w:sz w:val="11"/>
          <w:szCs w:val="8"/>
        </w:rPr>
        <w:t>Customer is responsible for determining whether its end-client confidentiality obligations, outside-counsel guidelines, professional-responsibility rules, or applicable cross-border data-transfer restrictions (including the PRC Personal Information Protection Law, the Hong Kong Personal Data (Privacy) Ordinance, and similar regimes) permit Customer to submit particular Personal Data to the deployment of the Services that Customer is using. Where required, Customer must select a deployment configuration (Managed Cloud Tenant or On-Premise) that satisfies those restrictions.</w:t>
      </w:r>
    </w:p>
    <w:p w14:paraId="5C9B9F4D"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Output Use. </w:t>
      </w:r>
      <w:r>
        <w:rPr>
          <w:rFonts w:cs="Satoshi Variable"/>
          <w:sz w:val="11"/>
          <w:szCs w:val="8"/>
        </w:rPr>
        <w:t>Customer will not use Outputs in any manner that violates Applicable Laws or any third party’s rights, and will not represent Outputs as Finiti’s legal advice. Customer is responsible for any decisions, communications, filings, or work product produced based on Outputs.</w:t>
      </w:r>
    </w:p>
    <w:p w14:paraId="593B3BB7"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Cooperation. </w:t>
      </w:r>
      <w:r>
        <w:rPr>
          <w:rFonts w:cs="Satoshi Variable"/>
          <w:sz w:val="11"/>
          <w:szCs w:val="8"/>
        </w:rPr>
        <w:t>Customer will reasonably cooperate with Finiti as needed for Finiti to comply with this DPA and Applicable Data Protection Laws, including in responding to data-subject requests and regulatory inquiries.</w:t>
      </w:r>
    </w:p>
    <w:p w14:paraId="506EC727" w14:textId="77777777" w:rsidR="007B464E" w:rsidRPr="007B464E" w:rsidRDefault="007B464E" w:rsidP="007B464E">
      <w:pPr>
        <w:pStyle w:val="ListParagraph"/>
        <w:spacing w:after="120"/>
        <w:ind w:left="792"/>
        <w:rPr>
          <w:sz w:val="11"/>
          <w:szCs w:val="8"/>
        </w:rPr>
      </w:pPr>
    </w:p>
    <w:p w14:paraId="44DAFDAE"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Security and Security Incident Response</w:t>
      </w:r>
    </w:p>
    <w:p w14:paraId="2042E63D"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sz w:val="11"/>
          <w:szCs w:val="8"/>
          <w:b/>
          <w:bCs/>
        </w:rPr>
        <w:t xml:space="preserve">Security Measures. </w:t>
      </w:r>
      <w:r>
        <w:rPr>
          <w:rFonts w:cs="Satoshi Variable"/>
          <w:sz w:val="11"/>
          <w:szCs w:val="8"/>
        </w:rPr>
        <w:t xml:space="preserve">Finiti has implemented, and will maintain, appropriate technical and organizational measures designed to protect the security, confidentiality, integrity, and availability of Customer Personal Data, including those measures described in Schedule 4. Finiti's information security program is independently certified against ISO/IEC 27001. Finiti's SOC 2 Type II audit is in its observation period, and the report will be made available to Customer under NDA on completion. </w:t>
      </w:r>
    </w:p>
    <w:p w14:paraId="41876676"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Personnel. </w:t>
      </w:r>
      <w:r>
        <w:rPr>
          <w:rFonts w:cs="Satoshi Variable"/>
          <w:sz w:val="11"/>
          <w:szCs w:val="8"/>
        </w:rPr>
        <w:t>Finiti will ensure that any personnel authorized to Process Customer Personal Data are subject to written confidentiality obligations and receive regular security and privacy training.</w:t>
      </w:r>
    </w:p>
    <w:p w14:paraId="02728E78"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Customer Security Responsibilities. </w:t>
      </w:r>
      <w:r>
        <w:rPr>
          <w:rFonts w:cs="Satoshi Variable"/>
          <w:sz w:val="11"/>
          <w:szCs w:val="8"/>
        </w:rPr>
        <w:t>Customer is responsible for implementing and maintaining appropriate security measures within its own systems and configurations, including its identity-provider integration, access policies, network controls (where the deployment is in Customer’s tenant or on-premise), and the security of devices used by Authorized Users to access the Services.</w:t>
      </w:r>
    </w:p>
    <w:p w14:paraId="7FD03DA6"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Notification. </w:t>
      </w:r>
      <w:r>
        <w:rPr>
          <w:rFonts w:cs="Satoshi Variable"/>
          <w:sz w:val="11"/>
          <w:szCs w:val="8"/>
        </w:rPr>
        <w:t>Finiti will notify Customer without undue delay, and in any event no later than 72 hours after becoming aware of a Security Incident affecting Customer Personal Data. Finiti will provide information reasonably available about the Security Incident, including (where known) its nature, the categories and approximate number of data subjects and records concerned, likely consequences, and measures taken or proposed to address and mitigate the Security Incident.</w:t>
      </w:r>
    </w:p>
    <w:p w14:paraId="72DA0204"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Investigation and Mitigation. </w:t>
      </w:r>
      <w:r>
        <w:rPr>
          <w:rFonts w:cs="Satoshi Variable"/>
          <w:sz w:val="11"/>
          <w:szCs w:val="8"/>
        </w:rPr>
        <w:t>Finiti will investigate the Security Incident, use reasonable efforts to identify and mitigate its cause, and provide Customer with timely updates as new information becomes available or as Customer reasonably requests. Finiti’s notification of, or response to, a Security Incident is not an acknowledgment of fault or liability.</w:t>
      </w:r>
    </w:p>
    <w:p w14:paraId="308C35D6" w14:textId="77777777" w:rsidR="007B464E" w:rsidRPr="007B464E" w:rsidRDefault="007B464E" w:rsidP="007B464E">
      <w:pPr>
        <w:pStyle w:val="ListParagraph"/>
        <w:spacing w:after="120"/>
        <w:ind w:left="360"/>
        <w:rPr>
          <w:sz w:val="11"/>
          <w:szCs w:val="8"/>
        </w:rPr>
      </w:pPr>
    </w:p>
    <w:p w14:paraId="0DFA1941"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Sub-Processing</w:t>
      </w:r>
    </w:p>
    <w:p w14:paraId="4EA7832B"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General Authorization. </w:t>
      </w:r>
      <w:r>
        <w:rPr>
          <w:rFonts w:cs="Satoshi Variable"/>
          <w:sz w:val="11"/>
          <w:szCs w:val="8"/>
        </w:rPr>
        <w:t>Customer provides a general authorization for Finiti to engage Sub-processors to Process Customer Personal Data on Finiti’s behalf. The current list of approved Sub-processors is set out in Schedule 2 (Sub-processors). Finiti will (a) enter into a written agreement with each Sub-processor that imposes data-protection obligations no less protective than those in this DPA, including the obligations described in Article 28(3) GDPR where applicable; and (b) remain liable for the acts and omissions of its Sub-processors to the same extent as for its own acts and omissions under this DPA.</w:t>
      </w:r>
    </w:p>
    <w:p w14:paraId="0B5FD713"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Notice of Changes. </w:t>
      </w:r>
      <w:r>
        <w:rPr>
          <w:rFonts w:cs="Satoshi Variable"/>
          <w:sz w:val="11"/>
          <w:szCs w:val="8"/>
        </w:rPr>
        <w:t>Finiti will give Customer at least ten (10) business days’ prior written notice (which may be by email or via the Finiti trust center) of any intended addition or replacement of a Sub-processor that will Process Customer Personal Data. The notice will identify the Sub-processor, its country of Processing, and the anticipated Processing activities.</w:t>
      </w:r>
    </w:p>
    <w:p w14:paraId="76CAAE32"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Objection Right. </w:t>
      </w:r>
      <w:r>
        <w:rPr>
          <w:rFonts w:cs="Satoshi Variable"/>
          <w:sz w:val="11"/>
          <w:szCs w:val="8"/>
        </w:rPr>
        <w:t>Customer may object to the addition or replacement of a Sub-processor by giving Finiti written notice of the objection within thirty (30) days after the notice described in Section 8.2, stating the reasonable grounds for the objection. The parties will work together in good faith to resolve the objection. If the parties cannot resolve the objection within thirty (30) days after Finiti’s receipt of the objection, Customer may, as its sole and exclusive remedy, terminate the portion of the Services that cannot be provided without the objected-to Sub-processor on written notice to Finiti, with a pro-rata refund of prepaid fees for the terminated portion.</w:t>
      </w:r>
    </w:p>
    <w:p w14:paraId="58899A24"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Restricted Sub-processing. </w:t>
      </w:r>
      <w:r>
        <w:rPr>
          <w:rFonts w:cs="Satoshi Variable"/>
          <w:sz w:val="11"/>
          <w:szCs w:val="8"/>
        </w:rPr>
        <w:t>Where the deployment selected by Customer is Full On-Premise / Air-Gapped, Finiti will not transfer Customer Personal Data to any Sub-processor; Customer is responsible for any third parties (e.g., its own cloud provider) Customer engages to host or support the on-premise deployment.</w:t>
      </w:r>
    </w:p>
    <w:p w14:paraId="31EB3929" w14:textId="77777777" w:rsidR="007B464E" w:rsidRPr="007B464E" w:rsidRDefault="007B464E" w:rsidP="007B464E">
      <w:pPr>
        <w:pStyle w:val="ListParagraph"/>
        <w:spacing w:after="120"/>
        <w:ind w:left="792"/>
        <w:rPr>
          <w:sz w:val="11"/>
          <w:szCs w:val="8"/>
        </w:rPr>
      </w:pPr>
    </w:p>
    <w:p w14:paraId="27FCAAD2"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Data Subject and Third-Party Requests</w:t>
      </w:r>
    </w:p>
    <w:p w14:paraId="2331F45C"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Data Subject Requests. </w:t>
      </w:r>
      <w:r>
        <w:rPr>
          <w:rFonts w:cs="Satoshi Variable"/>
          <w:sz w:val="11"/>
          <w:szCs w:val="8"/>
        </w:rPr>
        <w:t>To the extent Customer cannot independently address data-subject requests using the functionality of the Services, Finiti will provide reasonable assistance to enable Customer to respond to requests from data subjects to exercise their rights under Applicable Data Protection Laws (including rights of access, rectification, erasure, restriction, portability, and objection). If Finiti receives a data-subject request relating to Customer Personal Data, Finiti will not respond except to acknowledge receipt and to direct the requester to Customer, unless required to respond by Applicable Law.</w:t>
      </w:r>
    </w:p>
    <w:p w14:paraId="4E783E7E"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Government and Third-Party Requests. </w:t>
      </w:r>
      <w:r>
        <w:rPr>
          <w:rFonts w:cs="Satoshi Variable"/>
          <w:sz w:val="11"/>
          <w:szCs w:val="8"/>
        </w:rPr>
        <w:t>Unless prohibited by Applicable Law, Finiti will promptly notify Customer of any legally binding request from a government authority or other third party for disclosure of Customer Personal Data, so that Customer may seek a protective order or other remedy. If Finiti is legally prohibited from notifying Customer and, in Finiti’s reasonable assessment, has grounds to believe the request is unlawful, Finiti will take commercially reasonable steps to challenge it. Finiti will disclose only the minimum Customer Personal Data necessary to comply.</w:t>
      </w:r>
    </w:p>
    <w:p w14:paraId="76025624"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DPIAs and Consultations. </w:t>
      </w:r>
      <w:r>
        <w:rPr>
          <w:rFonts w:cs="Satoshi Variable"/>
          <w:sz w:val="11"/>
          <w:szCs w:val="8"/>
        </w:rPr>
        <w:t>Finiti will provide reasonable assistance to Customer in carrying out data-protection impact assessments and data-transfer impact assessments, and in consultations with supervisory authorities, in each case to the extent required by Applicable Data Protection Laws and taking into account the nature of the Processing and the information available to Finiti.</w:t>
      </w:r>
    </w:p>
    <w:p w14:paraId="52AF9245" w14:textId="77777777" w:rsidR="007B464E" w:rsidRPr="007B464E" w:rsidRDefault="007B464E" w:rsidP="007B464E">
      <w:pPr>
        <w:pStyle w:val="ListParagraph"/>
        <w:spacing w:after="120"/>
        <w:ind w:left="792"/>
        <w:rPr>
          <w:sz w:val="11"/>
          <w:szCs w:val="8"/>
        </w:rPr>
      </w:pPr>
    </w:p>
    <w:p w14:paraId="348B5030"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Cross-Border Transfers</w:t>
      </w:r>
    </w:p>
    <w:p w14:paraId="5F900339"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Authorization. </w:t>
      </w:r>
      <w:r>
        <w:rPr>
          <w:rFonts w:cs="Satoshi Variable"/>
          <w:sz w:val="11"/>
          <w:szCs w:val="8"/>
        </w:rPr>
        <w:t>Customer authorizes Finiti to transfer Customer Personal Data outside the European Economic Area, the United Kingdom, Switzerland, or other relevant territory as necessary to provide the Services, subject to the safeguards in this Section 10 and the deployment configuration selected by Customer.</w:t>
      </w:r>
    </w:p>
    <w:p w14:paraId="32D88DFB"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EEA Transfers. </w:t>
      </w:r>
      <w:r>
        <w:rPr>
          <w:rFonts w:cs="Satoshi Variable"/>
          <w:sz w:val="11"/>
          <w:szCs w:val="8"/>
        </w:rPr>
        <w:t>Where the transfer is from the EEA to a country not subject to an adequacy decision of the European Commission, the EEA SCCs are incorporated by reference and apply on the terms set out in Schedule 3, Section 1.</w:t>
      </w:r>
    </w:p>
    <w:p w14:paraId="38CB9BB8"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lastRenderedPageBreak/>
        <w:t xml:space="preserve">UK Transfers. </w:t>
      </w:r>
      <w:r>
        <w:rPr>
          <w:rFonts w:cs="Satoshi Variable"/>
          <w:sz w:val="11"/>
          <w:szCs w:val="8"/>
        </w:rPr>
        <w:t>Where the transfer is from the United Kingdom to a country not subject to UK adequacy regulations, the UK Addendum is incorporated by reference and applies on the terms set out in Schedule 3, Section 2.</w:t>
      </w:r>
    </w:p>
    <w:p w14:paraId="7621AAE5"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Swiss Transfers. </w:t>
      </w:r>
      <w:r>
        <w:rPr>
          <w:rFonts w:cs="Satoshi Variable"/>
          <w:sz w:val="11"/>
          <w:szCs w:val="8"/>
        </w:rPr>
        <w:t>Where the Swiss FADP applies, the EEA SCCs apply with the modifications set out in Schedule 3, Section 3.</w:t>
      </w:r>
    </w:p>
    <w:p w14:paraId="04A61738"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Alternative Mechanisms. </w:t>
      </w:r>
      <w:r>
        <w:rPr>
          <w:rFonts w:cs="Satoshi Variable"/>
          <w:sz w:val="11"/>
          <w:szCs w:val="8"/>
        </w:rPr>
        <w:t>If a supervisory authority approves a new or modified transfer mechanism that supersedes a mechanism in this Section 10, Finiti may adopt that mechanism on written notice to Customer, and it will apply in lieu of the prior mechanism to the extent it complies with Applicable Data Protection Laws.</w:t>
      </w:r>
    </w:p>
    <w:p w14:paraId="72D574C4" w14:textId="77777777" w:rsidR="007B464E" w:rsidRPr="007B464E" w:rsidRDefault="007B464E" w:rsidP="007B464E">
      <w:pPr>
        <w:pStyle w:val="ListParagraph"/>
        <w:spacing w:after="120"/>
        <w:ind w:left="792"/>
        <w:rPr>
          <w:sz w:val="11"/>
          <w:szCs w:val="8"/>
        </w:rPr>
      </w:pPr>
    </w:p>
    <w:p w14:paraId="01ED709A"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Deletion and Return of Customer Personal Data</w:t>
      </w:r>
    </w:p>
    <w:p w14:paraId="0D057EEB"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During the Term. </w:t>
      </w:r>
      <w:r>
        <w:rPr>
          <w:rFonts w:cs="Satoshi Variable"/>
          <w:sz w:val="11"/>
          <w:szCs w:val="8"/>
        </w:rPr>
        <w:t>Customer may access, export, or delete Inputs, Outputs, and other Customer Personal Data at any time during the term of the Agreement using the functionality of the Services.</w:t>
      </w:r>
    </w:p>
    <w:p w14:paraId="26E2AEFA"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After Termination. </w:t>
      </w:r>
      <w:r>
        <w:rPr>
          <w:rFonts w:cs="Satoshi Variable"/>
          <w:sz w:val="11"/>
          <w:szCs w:val="8"/>
        </w:rPr>
        <w:t>Within thirty (30) days after termination or expiration of the Agreement, Finiti will, at Customer’s election, return or delete all Customer Personal Data in Finiti’s possession or control, except to the extent retention is required by Applicable Law or routine backups, in which case Finiti will continue to protect such retained data in accordance with this DPA and will Process it only as required by Applicable Law. Backup copies will be overwritten or deleted on Finiti’s standard backup-retention cycle. Upon Customer’s written request, Finiti will provide written certification of deletion.</w:t>
      </w:r>
    </w:p>
    <w:p w14:paraId="615F80BB" w14:textId="77777777" w:rsidR="007B464E" w:rsidRPr="007B464E" w:rsidRDefault="007B464E" w:rsidP="007B464E">
      <w:pPr>
        <w:pStyle w:val="ListParagraph"/>
        <w:spacing w:after="120"/>
        <w:ind w:left="792"/>
        <w:rPr>
          <w:sz w:val="11"/>
          <w:szCs w:val="8"/>
        </w:rPr>
      </w:pPr>
    </w:p>
    <w:p w14:paraId="27DA614F"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 xml:space="preserve">Audit and Reports </w:t>
      </w:r>
    </w:p>
    <w:p w14:paraId="7FD3EDFC"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Audit Reports. </w:t>
      </w:r>
      <w:r>
        <w:rPr>
          <w:sz w:val="11"/>
          <w:szCs w:val="11"/>
        </w:rPr>
        <w:t xml:space="preserve">Upon obtaining its SOC 2 Type II attestation, </w:t>
      </w:r>
      <w:r>
        <w:rPr>
          <w:rFonts w:cs="Satoshi Variable"/>
          <w:sz w:val="11"/>
          <w:szCs w:val="8"/>
        </w:rPr>
        <w:t>Finiti will make available, on a confidential basis and subject to an applicable nondisclosure agreement, its then-current ISO/IEC 27001 certificate and SOC 2 Type II report (each, a “Report”), no more frequently than once per twelve-month period (or more frequently following a Security Incident).</w:t>
      </w:r>
      <w:r>
        <w:rPr>
          <w:sz w:val="11"/>
          <w:szCs w:val="11"/>
        </w:rPr>
        <w:t xml:space="preserve"> Finiti will make its ISO/IEC 27001 certificate available to Customer upon request prior to obtaining SOC 2 Type II attestation.</w:t>
      </w:r>
    </w:p>
    <w:p w14:paraId="005DD808"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Information Requests. </w:t>
      </w:r>
      <w:r>
        <w:rPr>
          <w:rFonts w:cs="Satoshi Variable"/>
          <w:sz w:val="11"/>
          <w:szCs w:val="8"/>
        </w:rPr>
        <w:t>Where the Reports do not reasonably enable Customer to verify Finiti’s compliance with this DPA, Finiti will respond in writing, on a confidential basis, to reasonable security-due-diligence questionnaires from Customer, no more frequently than once per twelve-month period.</w:t>
      </w:r>
    </w:p>
    <w:p w14:paraId="2B356B92"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On-Site Audits. </w:t>
      </w:r>
      <w:r>
        <w:rPr>
          <w:rFonts w:cs="Satoshi Variable"/>
          <w:sz w:val="11"/>
          <w:szCs w:val="8"/>
        </w:rPr>
        <w:t>Where Customer cannot reasonably satisfy its audit obligations under Applicable Data Protection Laws through the means described in Sections 12.1 and 12.2, or where required by a supervisory authority, Customer may conduct an on-site audit subject to: (a) at least sixty (60) days’ prior written notice (unless a shorter period is required by Applicable Law); (b) conduct during Finiti’s ordinary business hours and in a manner that minimizes disruption to Finiti’s operations; (c) no more than one audit in any twelve-month period (except following a Security Incident); (d) execution of an audit-specific nondisclosure agreement; (e) the audit being limited to controls relevant to Customer Personal Data; and (f) Customer’s reimbursement of Finiti’s reasonable out-of-pocket costs (unless the audit reveals a material breach by Finiti).</w:t>
      </w:r>
    </w:p>
    <w:p w14:paraId="3B6C9084"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Records. </w:t>
      </w:r>
      <w:r>
        <w:rPr>
          <w:rFonts w:cs="Satoshi Variable"/>
          <w:sz w:val="11"/>
          <w:szCs w:val="8"/>
        </w:rPr>
        <w:t>Finiti will maintain records of its compliance with this DPA for three (3) years following termination of the Agreement.</w:t>
      </w:r>
    </w:p>
    <w:p w14:paraId="4EF0DCF6" w14:textId="77777777" w:rsidR="007B464E" w:rsidRPr="007B464E" w:rsidRDefault="007B464E" w:rsidP="007B464E">
      <w:pPr>
        <w:pStyle w:val="ListParagraph"/>
        <w:spacing w:after="120"/>
        <w:ind w:left="792"/>
        <w:rPr>
          <w:sz w:val="11"/>
          <w:szCs w:val="8"/>
        </w:rPr>
      </w:pPr>
    </w:p>
    <w:p w14:paraId="0959AE60"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Indemnification</w:t>
      </w:r>
    </w:p>
    <w:p w14:paraId="508346A8"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Customer Indemnification. </w:t>
      </w:r>
      <w:r>
        <w:rPr>
          <w:rFonts w:cs="Satoshi Variable"/>
          <w:sz w:val="11"/>
          <w:szCs w:val="8"/>
        </w:rPr>
        <w:t>Customer will defend, indemnify, and hold harmless Finiti and its affiliates, and their respective officers, directors, employees, and agents (collectively, the “Finiti Indemnified Parties”) from and against any third-party claims, demands, suits, or proceedings, and any associated damages, fines, penalties, settlement amounts, costs, and reasonable attorneys’ fees, in each case to the extent arising out of or relating to: (a) Customer’s or any Authorized User’s breach of Sections 4.5, 4.6, or 5 of this DPA; (b) Customer’s submission of Inputs that Customer did not have the right or lawful basis to submit; (c) Customer’s use, distribution, or reliance on Outputs in violation of Applicable Laws, professional-responsibility rules, or third-party rights; (d) Customer’s failure to provide notices or obtain consents required by Applicable Data Protection Laws; or (e) any claim by an Authorized User, an end-client of Customer, or a data subject arising from Customer’s configuration or use of the Services, except in each case to the extent the claim is caused by a Finiti Indemnified Party’s breach of this DPA.</w:t>
      </w:r>
    </w:p>
    <w:p w14:paraId="573A7432"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Finiti Indemnification. </w:t>
      </w:r>
      <w:r>
        <w:rPr>
          <w:rFonts w:cs="Satoshi Variable"/>
          <w:sz w:val="11"/>
          <w:szCs w:val="8"/>
        </w:rPr>
        <w:t>Finiti will defend, indemnify, and hold harmless Customer and its affiliates, and their respective officers, directors, employees, and agents (collectively, the “Customer Indemnified Parties”) from and against any third-party claims, demands, suits, or proceedings, and any associated damages, fines, penalties, settlement amounts, costs, and reasonable attorneys’ fees, in each case to the extent arising out of or relating to: (a) Finiti’s material breach of its data-protection obligations under this DPA or under Applicable Data Protection Laws; or (b) a Security Incident caused by Finiti’s or a Sub-processor’s negligence or willful misconduct, except in each case to the extent the claim is caused by a Customer Indemnified Party’s breach of this DPA or the Agreement, by Customer’s violation of Applicable Laws, or by Inputs that Customer was not entitled to submit.</w:t>
      </w:r>
    </w:p>
    <w:p w14:paraId="788881D8"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Procedure. </w:t>
      </w:r>
      <w:r>
        <w:rPr>
          <w:rFonts w:cs="Satoshi Variable"/>
          <w:sz w:val="11"/>
          <w:szCs w:val="8"/>
        </w:rPr>
        <w:t>The party seeking indemnification (“Indemnitee”) will: (a) promptly notify the indemnifying party (“Indemnitor”) in writing of the claim (provided that any delay will reduce the Indemnitor’s obligations only to the extent the Indemnitor is materially prejudiced); (b) give the Indemnitor sole control over the defense and settlement of the claim (provided that the Indemnitor may not settle any claim in a manner that imposes any non-monetary obligation on the Indemnitee or admits liability on behalf of the Indemnitee without the Indemnitee’s prior written consent, not to be unreasonably withheld); and (c) provide reasonable cooperation in the defense at the Indemnitor’s expense. The Indemnitee may participate in the defense with counsel of its own choosing at its own expense.</w:t>
      </w:r>
    </w:p>
    <w:p w14:paraId="27EA39F3"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Sole and Exclusive Remedy. </w:t>
      </w:r>
      <w:r>
        <w:rPr>
          <w:rFonts w:cs="Satoshi Variable"/>
          <w:sz w:val="11"/>
          <w:szCs w:val="8"/>
        </w:rPr>
        <w:t>This Section 13 states each party’s sole and exclusive remedy, and the indemnifying party’s sole and exclusive liability, for the third-party claims described in this Section 13, subject to the limitations of liability in Section 14 and the Agreement.</w:t>
      </w:r>
    </w:p>
    <w:p w14:paraId="5FBDEA21" w14:textId="77777777" w:rsidR="007B464E" w:rsidRPr="007B464E" w:rsidRDefault="007B464E" w:rsidP="007B464E">
      <w:pPr>
        <w:pStyle w:val="ListParagraph"/>
        <w:spacing w:after="120"/>
        <w:ind w:left="792"/>
        <w:rPr>
          <w:sz w:val="11"/>
          <w:szCs w:val="8"/>
        </w:rPr>
      </w:pPr>
    </w:p>
    <w:p w14:paraId="13CBDF70"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Limitation of Liability</w:t>
      </w:r>
    </w:p>
    <w:p w14:paraId="0F47914D"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Liability Caps. </w:t>
      </w:r>
      <w:r>
        <w:rPr>
          <w:rFonts w:cs="Satoshi Variable"/>
          <w:sz w:val="11"/>
          <w:szCs w:val="8"/>
        </w:rPr>
        <w:t>To the maximum extent permitted by Applicable Data Protection Laws, each party’s aggregate liability arising out of or relating to this DPA is subject to the exclusions and limitations of liability set out in the Agreement, and the parties’ aggregate liability across the Agreement and this DPA, taken together, will not exceed the cap stated in the Agreement.</w:t>
      </w:r>
    </w:p>
    <w:p w14:paraId="479DE0A2"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Indemnification Carve-Outs. </w:t>
      </w:r>
      <w:r>
        <w:rPr>
          <w:rFonts w:cs="Satoshi Variable"/>
          <w:sz w:val="11"/>
          <w:szCs w:val="8"/>
        </w:rPr>
        <w:t>The parties acknowledge that the indemnification obligations in Section 13 are subject to the liability cap in the Agreement, except that indemnification obligations arising out of (a) a Security Incident caused by Finiti’s gross negligence or willful misconduct, or (b) a party’s breach of its confidentiality obligations under the Agreement, are subject to the enhanced cap (if any) stated in the Agreement.</w:t>
      </w:r>
    </w:p>
    <w:p w14:paraId="0EBF8065"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Statutory Rights. </w:t>
      </w:r>
      <w:r>
        <w:rPr>
          <w:rFonts w:cs="Satoshi Variable"/>
          <w:sz w:val="11"/>
          <w:szCs w:val="8"/>
        </w:rPr>
        <w:t>Nothing in this DPA limits any liability owed to a data subject under Applicable Data Protection Laws or any liability between the parties under the EEA SCCs or UK Addendum.</w:t>
      </w:r>
    </w:p>
    <w:p w14:paraId="63AD587D" w14:textId="77777777" w:rsidR="007B464E" w:rsidRPr="007B464E" w:rsidRDefault="007B464E" w:rsidP="007B464E">
      <w:pPr>
        <w:pStyle w:val="ListParagraph"/>
        <w:numPr>
          <w:ilvl w:val="1"/>
          <w:numId w:val="10"/>
        </w:numPr>
        <w:spacing w:after="120" w:line="300" w:lineRule="auto"/>
        <w:contextualSpacing/>
        <w:rPr>
          <w:sz w:val="11"/>
          <w:szCs w:val="8"/>
        </w:rPr>
      </w:pPr>
      <w:r>
        <w:rPr>
          <w:rFonts w:cs="Satoshi Variable"/>
          <w:b/>
          <w:sz w:val="11"/>
          <w:szCs w:val="8"/>
        </w:rPr>
        <w:t xml:space="preserve">Claims Channeling. </w:t>
      </w:r>
      <w:r>
        <w:rPr>
          <w:rFonts w:cs="Satoshi Variable"/>
          <w:sz w:val="11"/>
          <w:szCs w:val="8"/>
        </w:rPr>
        <w:t>Any claim arising out of or relating to this DPA may be brought only by the Customer entity that is party to the Agreement, and only against the Finiti entity that is party to the Agreement; affiliates of either party are intended third-party beneficiaries only for purposes of indemnification under Section 13.</w:t>
      </w:r>
    </w:p>
    <w:p w14:paraId="0C289D4A" w14:textId="77777777" w:rsidR="007B464E" w:rsidRPr="007B464E" w:rsidRDefault="007B464E" w:rsidP="007B464E">
      <w:pPr>
        <w:pStyle w:val="ListParagraph"/>
        <w:spacing w:after="120"/>
        <w:ind w:left="792"/>
        <w:rPr>
          <w:sz w:val="11"/>
          <w:szCs w:val="8"/>
        </w:rPr>
      </w:pPr>
    </w:p>
    <w:p w14:paraId="0D26C640"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lastRenderedPageBreak/>
        <w:t>General</w:t>
      </w:r>
    </w:p>
    <w:p w14:paraId="239038BA" w14:textId="77777777" w:rsidR="007B464E" w:rsidRPr="007B464E" w:rsidRDefault="007B464E" w:rsidP="007B464E">
      <w:pPr>
        <w:pStyle w:val="ListParagraph"/>
        <w:numPr>
          <w:ilvl w:val="1"/>
          <w:numId w:val="10"/>
        </w:numPr>
        <w:snapToGrid w:val="0"/>
        <w:spacing w:after="120" w:line="300" w:lineRule="auto"/>
        <w:rPr>
          <w:b/>
          <w:sz w:val="11"/>
          <w:szCs w:val="8"/>
        </w:rPr>
      </w:pPr>
      <w:r>
        <w:rPr>
          <w:rFonts w:eastAsia="Satoshi Variable" w:cs="Satoshi Variable"/>
          <w:sz w:val="11"/>
          <w:szCs w:val="8"/>
        </w:rPr>
        <w:t xml:space="preserve"> </w:t>
      </w:r>
      <w:r>
        <w:rPr>
          <w:rFonts w:eastAsia="Satoshi Variable" w:cs="Satoshi Variable"/>
          <w:b/>
          <w:bCs/>
          <w:sz w:val="11"/>
          <w:szCs w:val="8"/>
        </w:rPr>
        <w:t>Order of Precedence.</w:t>
      </w:r>
      <w:r>
        <w:rPr>
          <w:rFonts w:eastAsia="Satoshi Variable" w:cs="Satoshi Variable"/>
          <w:sz w:val="11"/>
          <w:szCs w:val="8"/>
        </w:rPr>
        <w:t xml:space="preserve"> If there is any conflict among the documents that govern Customer’s use of the Services, the following order of precedence applies (highest to lowest): (a) the EEA SCCs and the UK Addendum (where applicable); (b) this DPA; and (c) the Agreement. Any ambiguity will be resolved to permit the parties to comply with Applicable Data Protection Laws.</w:t>
      </w:r>
    </w:p>
    <w:p w14:paraId="6EDD093D" w14:textId="77777777" w:rsidR="007B464E" w:rsidRPr="007B464E" w:rsidRDefault="007B464E" w:rsidP="007B464E">
      <w:pPr>
        <w:pStyle w:val="ListParagraph"/>
        <w:numPr>
          <w:ilvl w:val="1"/>
          <w:numId w:val="10"/>
        </w:numPr>
        <w:snapToGrid w:val="0"/>
        <w:spacing w:after="120" w:line="300" w:lineRule="auto"/>
        <w:rPr>
          <w:b/>
          <w:sz w:val="11"/>
          <w:szCs w:val="8"/>
        </w:rPr>
      </w:pPr>
      <w:r>
        <w:rPr>
          <w:rFonts w:eastAsia="Satoshi Variable" w:cs="Satoshi Variable"/>
          <w:b/>
          <w:bCs/>
          <w:sz w:val="11"/>
          <w:szCs w:val="8"/>
        </w:rPr>
        <w:t>Governing Law.</w:t>
      </w:r>
      <w:r>
        <w:rPr>
          <w:rFonts w:eastAsia="Satoshi Variable" w:cs="Satoshi Variable"/>
          <w:sz w:val="11"/>
          <w:szCs w:val="8"/>
        </w:rPr>
        <w:t xml:space="preserve"> This DPA is governed by the law and exclusive jurisdiction stated in the Agreement, except where Applicable Data Protection Laws require otherwise (and then only for purposes of compliance with those laws).</w:t>
      </w:r>
    </w:p>
    <w:p w14:paraId="30B868EA" w14:textId="77777777" w:rsidR="007B464E" w:rsidRPr="007B464E" w:rsidRDefault="007B464E" w:rsidP="007B464E">
      <w:pPr>
        <w:pStyle w:val="ListParagraph"/>
        <w:numPr>
          <w:ilvl w:val="1"/>
          <w:numId w:val="10"/>
        </w:numPr>
        <w:snapToGrid w:val="0"/>
        <w:spacing w:after="120" w:line="300" w:lineRule="auto"/>
        <w:rPr>
          <w:b/>
          <w:sz w:val="11"/>
          <w:szCs w:val="8"/>
        </w:rPr>
      </w:pPr>
      <w:r>
        <w:rPr>
          <w:rFonts w:eastAsia="Satoshi Variable" w:cs="Satoshi Variable"/>
          <w:b/>
          <w:bCs/>
          <w:sz w:val="11"/>
          <w:szCs w:val="8"/>
        </w:rPr>
        <w:t>Term.</w:t>
      </w:r>
      <w:r>
        <w:rPr>
          <w:rFonts w:eastAsia="Satoshi Variable" w:cs="Satoshi Variable"/>
          <w:sz w:val="11"/>
          <w:szCs w:val="8"/>
        </w:rPr>
        <w:t xml:space="preserve"> This DPA takes effect on the effective date of the Agreement and continues for as long as Finiti Processes Customer Personal Data. Provisions that by their nature should survive termination will survive.</w:t>
      </w:r>
    </w:p>
    <w:p w14:paraId="2D9DA74F" w14:textId="77777777" w:rsidR="007B464E" w:rsidRPr="007B464E" w:rsidRDefault="007B464E" w:rsidP="007B464E">
      <w:pPr>
        <w:pStyle w:val="ListParagraph"/>
        <w:numPr>
          <w:ilvl w:val="1"/>
          <w:numId w:val="10"/>
        </w:numPr>
        <w:snapToGrid w:val="0"/>
        <w:spacing w:after="120" w:line="300" w:lineRule="auto"/>
        <w:rPr>
          <w:b/>
          <w:sz w:val="11"/>
          <w:szCs w:val="8"/>
        </w:rPr>
      </w:pPr>
      <w:r>
        <w:rPr>
          <w:rFonts w:eastAsia="Satoshi Variable" w:cs="Satoshi Variable"/>
          <w:b/>
          <w:bCs/>
          <w:sz w:val="11"/>
          <w:szCs w:val="8"/>
        </w:rPr>
        <w:t>Amendments.</w:t>
      </w:r>
      <w:r>
        <w:rPr>
          <w:rFonts w:eastAsia="Satoshi Variable" w:cs="Satoshi Variable"/>
          <w:sz w:val="11"/>
          <w:szCs w:val="8"/>
        </w:rPr>
        <w:t xml:space="preserve"> Finiti may update this DPA from time to time as necessary to reflect changes in Applicable Data Protection Laws, updates to transfer mechanisms, or changes to the Services, provided that any update will not materially reduce the overall protections in this DPA. Finiti will give Customer at least thirty (30) days’ written notice of any such update; the updated DPA will take effect at the end of that period unless Customer terminates the affected portion of the Services before then.</w:t>
      </w:r>
    </w:p>
    <w:p w14:paraId="1428546C" w14:textId="77777777" w:rsidR="007B464E" w:rsidRPr="007B464E" w:rsidRDefault="007B464E" w:rsidP="007B464E">
      <w:pPr>
        <w:pStyle w:val="ListParagraph"/>
        <w:numPr>
          <w:ilvl w:val="0"/>
          <w:numId w:val="10"/>
        </w:numPr>
        <w:pBdr>
          <w:bottom w:val="single" w:sz="6" w:space="4" w:color="6C9EAB"/>
        </w:pBdr>
        <w:snapToGrid w:val="0"/>
        <w:spacing w:before="320" w:after="160" w:line="300" w:lineRule="auto"/>
        <w:ind w:left="0" w:firstLine="0"/>
        <w:rPr>
          <w:rFonts w:ascii="Erode" w:eastAsia="Erode" w:hAnsi="Erode" w:cs="Erode"/>
          <w:b/>
          <w:bCs/>
          <w:sz w:val="18"/>
          <w:szCs w:val="18"/>
        </w:rPr>
      </w:pPr>
      <w:r>
        <w:rPr>
          <w:rFonts w:ascii="Erode" w:eastAsia="Erode" w:hAnsi="Erode" w:cs="Erode"/>
          <w:b/>
          <w:bCs/>
          <w:sz w:val="18"/>
          <w:szCs w:val="18"/>
        </w:rPr>
        <w:t>Definitions.</w:t>
      </w:r>
    </w:p>
    <w:p w14:paraId="6A3B7B17" w14:textId="77777777" w:rsidR="007B464E" w:rsidRPr="007B464E" w:rsidRDefault="007B464E" w:rsidP="007B464E">
      <w:pPr>
        <w:pStyle w:val="ListParagraph"/>
        <w:spacing w:after="120"/>
        <w:ind w:left="792"/>
        <w:rPr>
          <w:sz w:val="11"/>
          <w:szCs w:val="8"/>
        </w:rPr>
      </w:pPr>
      <w:r>
        <w:rPr>
          <w:rFonts w:cs="Satoshi Variable"/>
          <w:sz w:val="11"/>
          <w:szCs w:val="8"/>
        </w:rPr>
        <w:t>Capitalized terms used in this DPA have the meanings given below or, if not defined below, in the Agreement.</w:t>
      </w:r>
    </w:p>
    <w:p w14:paraId="06EE029E"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“Applicable Data Protection Laws” </w:t>
      </w:r>
      <w:r>
        <w:rPr>
          <w:rFonts w:cs="Satoshi Variable"/>
          <w:sz w:val="11"/>
          <w:szCs w:val="8"/>
        </w:rPr>
        <w:t>means the data protection, privacy, and information-security laws that apply to the Processing of Customer Personal Data under the Agreement, including, as applicable, European Data Protection Laws, UK Data Protection Laws, the Swiss FADP, the California Consumer Privacy Act (as amended by the CPRA), and other U.S. state privacy laws, in each case as amended, superseded, or replaced from time to time.</w:t>
      </w:r>
    </w:p>
    <w:p w14:paraId="73E71208"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“Authorized User” </w:t>
      </w:r>
      <w:r>
        <w:rPr>
          <w:rFonts w:cs="Satoshi Variable"/>
          <w:sz w:val="11"/>
          <w:szCs w:val="8"/>
        </w:rPr>
        <w:t>means an individual (such as a Customer attorney, paralegal, knowledge-management professional, or IT administrator) whom Customer has authorized to access and use the Services on Customer’s behalf.</w:t>
      </w:r>
    </w:p>
    <w:p w14:paraId="02ABA450"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“Controller” </w:t>
      </w:r>
      <w:r>
        <w:rPr>
          <w:rFonts w:cs="Satoshi Variable"/>
          <w:sz w:val="11"/>
          <w:szCs w:val="8"/>
        </w:rPr>
        <w:t>means the entity that, alone or jointly with others, determines the purposes and means of the Processing of Personal Data. References to “Controller” include “business” for purposes of U.S. state privacy laws.</w:t>
      </w:r>
    </w:p>
    <w:p w14:paraId="0DCB37A7"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“Customer Personal Data” </w:t>
      </w:r>
      <w:r>
        <w:rPr>
          <w:rFonts w:cs="Satoshi Variable"/>
          <w:sz w:val="11"/>
          <w:szCs w:val="8"/>
        </w:rPr>
        <w:t>means Personal Data contained in Inputs or Outputs that Finiti Processes on behalf of Customer in connection with the Services, including Personal Data contained in attachments, prompts, support requests, and other materials Customer submits to the Services.</w:t>
      </w:r>
    </w:p>
    <w:p w14:paraId="4822CA0D"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“EEA SCCs” </w:t>
      </w:r>
      <w:r>
        <w:rPr>
          <w:rFonts w:cs="Satoshi Variable"/>
          <w:sz w:val="11"/>
          <w:szCs w:val="8"/>
        </w:rPr>
        <w:t>means the Standard Contractual Clauses approved by the European Commission in its Implementing Decision (EU) 2021/914 of 4 June 2021.</w:t>
      </w:r>
    </w:p>
    <w:p w14:paraId="79AE3108"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“European Data Protection Laws” </w:t>
      </w:r>
      <w:r>
        <w:rPr>
          <w:rFonts w:cs="Satoshi Variable"/>
          <w:sz w:val="11"/>
          <w:szCs w:val="8"/>
        </w:rPr>
        <w:t>means the EU General Data Protection Regulation 2016/679 (“GDPR”), the EU e-Privacy Directive 2002/58/EC, and the national implementing laws of EU/EEA member states.</w:t>
      </w:r>
    </w:p>
    <w:p w14:paraId="2A9BF7B8"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“Inputs” </w:t>
      </w:r>
      <w:r>
        <w:rPr>
          <w:rFonts w:cs="Satoshi Variable"/>
          <w:sz w:val="11"/>
          <w:szCs w:val="8"/>
        </w:rPr>
        <w:t>means any text, documents, data, files, prompts, instructions, or other materials that Customer or its Authorized Users submit to, upload to, or generate within the Services.</w:t>
      </w:r>
    </w:p>
    <w:p w14:paraId="3C7B1267"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sz w:val="11"/>
          <w:szCs w:val="8"/>
          <w:b/>
          <w:bCs/>
        </w:rPr>
        <w:t xml:space="preserve">"Model Provider" </w:t>
      </w:r>
      <w:r>
        <w:rPr>
          <w:rFonts w:cs="Satoshi Variable"/>
          <w:sz w:val="11"/>
          <w:szCs w:val="8"/>
        </w:rPr>
        <w:t xml:space="preserve">means a third party that hosts or provides access to a large-language model or other machine-learning model used by Finiti to generate Outputs (e.g., Anthropic via the direct Anthropic API, or Microsoft as operator of models sold by Azure).</w:t>
      </w:r>
    </w:p>
    <w:p w14:paraId="587DDAF9"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“Outputs” </w:t>
      </w:r>
      <w:r>
        <w:rPr>
          <w:rFonts w:cs="Satoshi Variable"/>
          <w:sz w:val="11"/>
          <w:szCs w:val="8"/>
        </w:rPr>
        <w:t>means the text, analyses, drafts, citations, summaries, classifications, or other content generated by the Services in response to Inputs.</w:t>
      </w:r>
    </w:p>
    <w:p w14:paraId="6F466F53"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“Personal Data” </w:t>
      </w:r>
      <w:r>
        <w:rPr>
          <w:rFonts w:cs="Satoshi Variable"/>
          <w:sz w:val="11"/>
          <w:szCs w:val="8"/>
        </w:rPr>
        <w:t>means any information relating to an identified or identifiable natural person, or that otherwise constitutes “personal data,” “personal information,” “personally identifiable information,” or a similar term under Applicable Data Protection Laws.</w:t>
      </w:r>
    </w:p>
    <w:p w14:paraId="7C29C06E"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“Processor” </w:t>
      </w:r>
      <w:r>
        <w:rPr>
          <w:rFonts w:cs="Satoshi Variable"/>
          <w:sz w:val="11"/>
          <w:szCs w:val="8"/>
        </w:rPr>
        <w:t>means the entity that Processes Personal Data on behalf of the Controller. References to “Processor” include “service provider” for purposes of U.S. state privacy laws.</w:t>
      </w:r>
    </w:p>
    <w:p w14:paraId="68C830C6"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“Processing” </w:t>
      </w:r>
      <w:r>
        <w:rPr>
          <w:rFonts w:cs="Satoshi Variable"/>
          <w:sz w:val="11"/>
          <w:szCs w:val="8"/>
        </w:rPr>
        <w:t>means any operation or set of operations performed on Personal Data, whether or not by automated means, including collection, recording, storage, use, disclosure, transmission, erasure, or destruction. “Process” and “Processed” have correlative meanings.</w:t>
      </w:r>
    </w:p>
    <w:p w14:paraId="6303FCA9"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“Security Incident” </w:t>
      </w:r>
      <w:r>
        <w:rPr>
          <w:rFonts w:cs="Satoshi Variable"/>
          <w:sz w:val="11"/>
          <w:szCs w:val="8"/>
        </w:rPr>
        <w:t>means a breach of security leading to the accidental or unlawful destruction, loss, alteration, or unauthorized disclosure of, or access to, Customer Personal Data Processed by Finiti or its Sub-processors. “Security Incident” does not include unsuccessful attempts that do not result in unauthorized access (e.g., pings, port scans, denied log-ins).</w:t>
      </w:r>
    </w:p>
    <w:p w14:paraId="2B00CC58"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“Services” </w:t>
      </w:r>
      <w:r>
        <w:rPr>
          <w:rFonts w:cs="Satoshi Variable"/>
          <w:sz w:val="11"/>
          <w:szCs w:val="8"/>
        </w:rPr>
        <w:t>means the Finiti-branded software-as-a-service platform and related professional services described in the Agreement, including any deployment of the platform configured for Customer (whether managed by Finiti, deployed in Customer’s cloud tenant, or installed on Customer’s on-premise infrastructure).</w:t>
      </w:r>
    </w:p>
    <w:p w14:paraId="58AC037D"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“Sub-processor” </w:t>
      </w:r>
      <w:r>
        <w:rPr>
          <w:rFonts w:cs="Satoshi Variable"/>
          <w:sz w:val="11"/>
          <w:szCs w:val="8"/>
        </w:rPr>
        <w:t>means any Processor engaged by Finiti to Process Customer Personal Data on Finiti’s behalf in connection with the Services.</w:t>
      </w:r>
    </w:p>
    <w:p w14:paraId="5A0EC31A"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“UK Addendum” </w:t>
      </w:r>
      <w:r>
        <w:rPr>
          <w:rFonts w:cs="Satoshi Variable"/>
          <w:sz w:val="11"/>
          <w:szCs w:val="8"/>
        </w:rPr>
        <w:t>means the international data-transfer addendum to the EEA SCCs issued by the United Kingdom Information Commissioner’s Office under section 119A of the UK Data Protection Act 2018.</w:t>
      </w:r>
    </w:p>
    <w:p w14:paraId="035F9D7B"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b/>
          <w:sz w:val="11"/>
          <w:szCs w:val="8"/>
        </w:rPr>
        <w:t xml:space="preserve">“UK Data Protection Laws” </w:t>
      </w:r>
      <w:r>
        <w:rPr>
          <w:rFonts w:cs="Satoshi Variable"/>
          <w:sz w:val="11"/>
          <w:szCs w:val="8"/>
        </w:rPr>
        <w:t>means the UK Data Protection Act 2018 and the GDPR as it forms part of UK law by virtue of section 3 of the European Union (Withdrawal) Act 2018 (the “UK GDPR”).</w:t>
      </w:r>
    </w:p>
    <w:p w14:paraId="062933C8" w14:textId="77777777" w:rsidR="007B464E" w:rsidRPr="007B464E" w:rsidRDefault="007B464E" w:rsidP="007B464E">
      <w:pPr>
        <w:pStyle w:val="ListParagraph"/>
        <w:numPr>
          <w:ilvl w:val="1"/>
          <w:numId w:val="10"/>
        </w:numPr>
        <w:spacing w:after="80" w:line="300" w:lineRule="auto"/>
        <w:contextualSpacing/>
        <w:rPr>
          <w:sz w:val="11"/>
          <w:szCs w:val="8"/>
        </w:rPr>
      </w:pPr>
      <w:r>
        <w:rPr>
          <w:rFonts w:cs="Satoshi Variable"/>
          <w:sz w:val="11"/>
          <w:szCs w:val="8"/>
          <w:b/>
          <w:bCs/>
        </w:rPr>
        <w:t xml:space="preserve">"ZDR"</w:t>
      </w:r>
      <w:r>
        <w:rPr>
          <w:rFonts w:cs="Satoshi Variable"/>
          <w:sz w:val="11"/>
          <w:szCs w:val="8"/>
        </w:rPr>
        <w:t xml:space="preserve"> means "zero data retention" — a contractual commitment from a Model Provider that prompts and outputs are processed only in volatile memory and are not retained or otherwise persisted by the Model Provider after the inference call completes.</w:t>
      </w:r>
    </w:p>
    <w:p w14:paraId="75B426B1" w14:textId="77777777" w:rsidR="007B464E" w:rsidRPr="007B464E" w:rsidRDefault="007B464E" w:rsidP="007B464E">
      <w:pPr>
        <w:rPr>
          <w:sz w:val="11"/>
          <w:szCs w:val="8"/>
        </w:rPr>
      </w:pPr>
      <w:r>
        <w:rPr>
          <w:rFonts w:eastAsia="Satoshi Variable" w:cs="Satoshi Variable"/>
          <w:sz w:val="11"/>
          <w:szCs w:val="8"/>
        </w:rPr>
        <w:br w:type="page"/>
      </w:r>
    </w:p>
    <w:p w14:paraId="1B3D467E" w14:textId="77777777" w:rsidR="007B464E" w:rsidRPr="007B464E" w:rsidRDefault="007B464E" w:rsidP="007B464E">
      <w:pPr>
        <w:pBdr>
          <w:bottom w:val="single" w:sz="6" w:space="4" w:color="6C9EAB"/>
        </w:pBdr>
        <w:spacing w:before="360" w:after="160"/>
        <w:rPr>
          <w:rFonts w:ascii="Erode" w:eastAsia="Erode" w:hAnsi="Erode" w:cs="Erode"/>
          <w:b/>
          <w:bCs/>
          <w:sz w:val="18"/>
          <w:szCs w:val="18"/>
        </w:rPr>
      </w:pPr>
      <w:r>
        <w:rPr>
          <w:rFonts w:ascii="Erode" w:eastAsia="Erode" w:hAnsi="Erode" w:cs="Erode"/>
          <w:b/>
          <w:bCs/>
          <w:sz w:val="18"/>
          <w:szCs w:val="18"/>
        </w:rPr>
        <w:lastRenderedPageBreak/>
        <w:t>Schedules</w:t>
      </w:r>
    </w:p>
    <w:p w14:paraId="18C622B9" w14:textId="77777777" w:rsidR="007B464E" w:rsidRPr="007B464E" w:rsidRDefault="007B464E" w:rsidP="007B464E">
      <w:pPr>
        <w:pBdr>
          <w:bottom w:val="single" w:sz="6" w:space="4" w:color="6C9EAB"/>
        </w:pBdr>
        <w:spacing w:before="360" w:after="160"/>
        <w:rPr>
          <w:rFonts w:ascii="Erode" w:eastAsia="Erode" w:hAnsi="Erode" w:cs="Erode"/>
          <w:b/>
          <w:bCs/>
          <w:sz w:val="18"/>
          <w:szCs w:val="18"/>
        </w:rPr>
      </w:pPr>
      <w:r>
        <w:rPr>
          <w:rFonts w:ascii="Erode" w:eastAsia="Erode" w:hAnsi="Erode" w:cs="Erode"/>
          <w:b/>
          <w:bCs/>
          <w:sz w:val="18"/>
          <w:szCs w:val="18"/>
        </w:rPr>
        <w:t>Schedule 1 — Description of Processing</w:t>
      </w:r>
    </w:p>
    <w:tbl>
      <w:tblPr>
        <w:tblStyle w:val="LightGrid-Accent1"/>
        <w:tblW w:w="0" w:type="auto"/>
        <w:tblLayout w:type="fixed"/>
        <w:tblLook w:val="04A0" w:firstRow="1" w:lastRow="0" w:firstColumn="1" w:lastColumn="0" w:noHBand="0" w:noVBand="1"/>
      </w:tblPr>
      <w:tblGrid>
        <w:gridCol w:w="3168"/>
        <w:gridCol w:w="6192"/>
      </w:tblGrid>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rPr>
              <w:t>Categories of data subjects</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Authorized Users of Customer; current and former clients of Customer and personnel of those clients; counterparties, witnesses, and other natural persons identified in matter materials Customer submits as Inputs.</w:t>
            </w:r>
          </w:p>
        </w:tc>
      </w:tr>
      <w:tr w:rsidR="007B464E" w:rsidRPr="007B464E" w14:paraId="18189A5F" w14:textId="77777777" w:rsidTr="000F3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6D2D0CEC" w14:textId="77777777" w:rsidR="007B464E" w:rsidRPr="007B464E" w:rsidRDefault="007B464E" w:rsidP="000F3B01">
            <w:pPr>
              <w:rPr>
                <w:rFonts w:cs="Satoshi Variable"/>
                <w:sz w:val="15"/>
                <w:szCs w:val="8"/>
              </w:rPr>
            </w:pPr>
            <w:r>
              <w:rPr>
                <w:rFonts w:cs="Satoshi Variable"/>
                <w:sz w:val="15"/>
                <w:szCs w:val="8"/>
              </w:rPr>
              <w:t>Categories of Personal Data</w:t>
            </w:r>
          </w:p>
        </w:tc>
        <w:tc>
          <w:tcPr>
            <w:tcW w:w="6192" w:type="dxa"/>
          </w:tcPr>
          <w:p w14:paraId="7455BBF5"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rFonts w:cs="Satoshi Variable"/>
                <w:sz w:val="15"/>
                <w:szCs w:val="8"/>
              </w:rPr>
            </w:pPr>
            <w:r>
              <w:rPr>
                <w:rFonts w:cs="Satoshi Variable"/>
                <w:sz w:val="15"/>
                <w:szCs w:val="8"/>
              </w:rPr>
              <w:t>Identifiers (names, business contact details, identification numbers); employment data; matter and transaction data; content of legal documents and communications submitted by Customer; account credentials and authentication identifiers for Authorized Users; usage data and audit logs.</w:t>
            </w:r>
          </w:p>
        </w:tc>
      </w:tr>
      <w:tr w:rsidR="007B464E" w:rsidRPr="007B464E" w14:paraId="6F5DCC7D" w14:textId="77777777" w:rsidTr="000F3B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2E6E570" w14:textId="77777777" w:rsidR="007B464E" w:rsidRPr="007B464E" w:rsidRDefault="007B464E" w:rsidP="000F3B01">
            <w:pPr>
              <w:rPr>
                <w:rFonts w:cs="Satoshi Variable"/>
                <w:sz w:val="15"/>
                <w:szCs w:val="8"/>
              </w:rPr>
            </w:pPr>
            <w:r>
              <w:rPr>
                <w:rFonts w:cs="Satoshi Variable"/>
                <w:sz w:val="15"/>
                <w:szCs w:val="8"/>
              </w:rPr>
              <w:t>Special categories of Personal Data</w:t>
            </w:r>
          </w:p>
        </w:tc>
        <w:tc>
          <w:tcPr>
            <w:tcW w:w="6192" w:type="dxa"/>
          </w:tcPr>
          <w:p w14:paraId="6EFCB2A1"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Customer may, at Customer’s discretion and subject to Section 5.3, submit Inputs containing special-category Personal Data (e.g., information revealing health, ethnicity, political opinions, or trade-union membership) where necessary for legal-services purposes. Finiti applies the security measures in Schedule 4 to all Customer Personal Data, including special-category data.</w:t>
            </w:r>
          </w:p>
        </w:tc>
      </w:tr>
      <w:tr w:rsidR="007B464E" w:rsidRPr="007B464E" w14:paraId="32DADA4E" w14:textId="77777777" w:rsidTr="000F3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7C7ACDDE" w14:textId="77777777" w:rsidR="007B464E" w:rsidRPr="007B464E" w:rsidRDefault="007B464E" w:rsidP="000F3B01">
            <w:pPr>
              <w:rPr>
                <w:rFonts w:cs="Satoshi Variable"/>
                <w:sz w:val="15"/>
                <w:szCs w:val="8"/>
              </w:rPr>
            </w:pPr>
            <w:r>
              <w:rPr>
                <w:rFonts w:cs="Satoshi Variable"/>
                <w:sz w:val="15"/>
                <w:szCs w:val="8"/>
              </w:rPr>
              <w:t>Subject matter of Processing</w:t>
            </w:r>
          </w:p>
        </w:tc>
        <w:tc>
          <w:tcPr>
            <w:tcW w:w="6192" w:type="dxa"/>
          </w:tcPr>
          <w:p w14:paraId="0E38C499"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rFonts w:cs="Satoshi Variable"/>
                <w:sz w:val="15"/>
                <w:szCs w:val="8"/>
              </w:rPr>
            </w:pPr>
            <w:r>
              <w:rPr>
                <w:rFonts w:cs="Satoshi Variable"/>
                <w:sz w:val="15"/>
                <w:szCs w:val="8"/>
              </w:rPr>
              <w:t>Provision of the Finiti Services to Customer, including ingestion of Inputs, model-based generation of Outputs, document analysis and drafting assistance, and related security, support, and administrative functions.</w:t>
            </w:r>
          </w:p>
        </w:tc>
      </w:tr>
      <w:tr w:rsidR="007B464E" w:rsidRPr="007B464E" w14:paraId="01220B17" w14:textId="77777777" w:rsidTr="000F3B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10F5A912" w14:textId="77777777" w:rsidR="007B464E" w:rsidRPr="007B464E" w:rsidRDefault="007B464E" w:rsidP="000F3B01">
            <w:pPr>
              <w:rPr>
                <w:rFonts w:cs="Satoshi Variable"/>
                <w:sz w:val="15"/>
                <w:szCs w:val="8"/>
              </w:rPr>
            </w:pPr>
            <w:r>
              <w:rPr>
                <w:rFonts w:cs="Satoshi Variable"/>
                <w:sz w:val="15"/>
                <w:szCs w:val="8"/>
              </w:rPr>
              <w:t>Nature of Processing</w:t>
            </w:r>
          </w:p>
        </w:tc>
        <w:tc>
          <w:tcPr>
            <w:tcW w:w="6192" w:type="dxa"/>
          </w:tcPr>
          <w:p w14:paraId="3B63DD00"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Storage; structured indexing; retrieval; transmission to Model Providers and other Sub-processors for inference; in-memory processing by Model Providers under ZDR; generation of Outputs; logging for security; deletion at Customer’s instruction.</w:t>
            </w:r>
          </w:p>
        </w:tc>
      </w:tr>
      <w:tr w:rsidR="007B464E" w:rsidRPr="007B464E" w14:paraId="3CC59D06" w14:textId="77777777" w:rsidTr="000F3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12102CC7" w14:textId="77777777" w:rsidR="007B464E" w:rsidRPr="007B464E" w:rsidRDefault="007B464E" w:rsidP="000F3B01">
            <w:pPr>
              <w:rPr>
                <w:rFonts w:cs="Satoshi Variable"/>
                <w:sz w:val="15"/>
                <w:szCs w:val="8"/>
              </w:rPr>
            </w:pPr>
            <w:r>
              <w:rPr>
                <w:rFonts w:cs="Satoshi Variable"/>
                <w:sz w:val="15"/>
                <w:szCs w:val="8"/>
              </w:rPr>
              <w:t>Purposes of Processing</w:t>
            </w:r>
          </w:p>
        </w:tc>
        <w:tc>
          <w:tcPr>
            <w:tcW w:w="6192" w:type="dxa"/>
          </w:tcPr>
          <w:p w14:paraId="11928359"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rFonts w:cs="Satoshi Variable"/>
                <w:sz w:val="15"/>
                <w:szCs w:val="8"/>
              </w:rPr>
            </w:pPr>
            <w:r>
              <w:rPr>
                <w:rFonts w:cs="Satoshi Variable"/>
                <w:sz w:val="15"/>
                <w:szCs w:val="8"/>
              </w:rPr>
              <w:t>To provide, secure, support, and improve the Services and to comply with Applicable Laws.</w:t>
            </w:r>
          </w:p>
        </w:tc>
      </w:tr>
      <w:tr w:rsidR="007B464E" w:rsidRPr="007B464E" w14:paraId="43BBB557" w14:textId="77777777" w:rsidTr="000F3B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5CD68" w14:textId="77777777" w:rsidR="007B464E" w:rsidRPr="007B464E" w:rsidRDefault="007B464E" w:rsidP="000F3B01">
            <w:pPr>
              <w:rPr>
                <w:rFonts w:cs="Satoshi Variable"/>
                <w:sz w:val="15"/>
                <w:szCs w:val="8"/>
              </w:rPr>
            </w:pPr>
            <w:r>
              <w:rPr>
                <w:rFonts w:cs="Satoshi Variable"/>
                <w:sz w:val="15"/>
                <w:szCs w:val="8"/>
              </w:rPr>
              <w:t>Duration and frequency</w:t>
            </w:r>
          </w:p>
        </w:tc>
        <w:tc>
          <w:tcPr>
            <w:tcW w:w="6192" w:type="dxa"/>
          </w:tcPr>
          <w:p w14:paraId="3945BEF6"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Continuous during the term of the Agreement, and thereafter only as required by Section 11.</w:t>
            </w:r>
          </w:p>
        </w:tc>
      </w:tr>
      <w:tr w:rsidR="007B464E" w:rsidRPr="007B464E" w14:paraId="690B7058" w14:textId="77777777" w:rsidTr="000F3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13289982" w14:textId="77777777" w:rsidR="007B464E" w:rsidRPr="007B464E" w:rsidRDefault="007B464E" w:rsidP="000F3B01">
            <w:pPr>
              <w:rPr>
                <w:rFonts w:cs="Satoshi Variable"/>
                <w:sz w:val="15"/>
                <w:szCs w:val="8"/>
              </w:rPr>
            </w:pPr>
            <w:r>
              <w:rPr>
                <w:rFonts w:cs="Satoshi Variable"/>
                <w:sz w:val="15"/>
                <w:szCs w:val="8"/>
              </w:rPr>
              <w:t>Retention period</w:t>
            </w:r>
          </w:p>
        </w:tc>
        <w:tc>
          <w:tcPr>
            <w:tcW w:w="6192" w:type="dxa"/>
          </w:tcPr>
          <w:p w14:paraId="1795CDF8"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rFonts w:cs="Satoshi Variable"/>
                <w:sz w:val="15"/>
                <w:szCs w:val="8"/>
              </w:rPr>
            </w:pPr>
            <w:r>
              <w:rPr>
                <w:rFonts w:cs="Satoshi Variable"/>
                <w:sz w:val="15"/>
                <w:szCs w:val="8"/>
              </w:rPr>
              <w:t>Inputs and Outputs are retained for so long as Customer maintains them in the Services. Following termination, Section 11.2 applies.</w:t>
            </w:r>
          </w:p>
        </w:tc>
      </w:tr>
    </w:tbl>
    <w:p w14:paraId="76E1C438" w14:textId="77777777" w:rsidR="007B464E" w:rsidRPr="007B464E" w:rsidRDefault="007B464E" w:rsidP="007B464E">
      <w:pPr>
        <w:rPr>
          <w:sz w:val="11"/>
          <w:szCs w:val="8"/>
        </w:rPr>
      </w:pPr>
    </w:p>
    <w:p w14:paraId="4E3199E5" w14:textId="77777777" w:rsidR="007B464E" w:rsidRPr="007B464E" w:rsidRDefault="007B464E" w:rsidP="007B464E">
      <w:pPr>
        <w:pBdr>
          <w:bottom w:val="single" w:sz="6" w:space="4" w:color="6C9EAB"/>
        </w:pBdr>
        <w:spacing w:before="360" w:after="160"/>
        <w:rPr>
          <w:rFonts w:ascii="Erode" w:eastAsia="Erode" w:hAnsi="Erode" w:cs="Erode"/>
          <w:b/>
          <w:bCs/>
          <w:sz w:val="18"/>
          <w:szCs w:val="18"/>
        </w:rPr>
      </w:pPr>
      <w:r>
        <w:rPr>
          <w:rFonts w:ascii="Erode" w:eastAsia="Erode" w:hAnsi="Erode" w:cs="Erode"/>
          <w:b/>
          <w:bCs/>
          <w:sz w:val="18"/>
          <w:szCs w:val="18"/>
        </w:rPr>
        <w:t>Schedule 2 — Sub-processors</w:t>
      </w:r>
    </w:p>
    <w:p w14:paraId="5FE9C247" w14:textId="77777777" w:rsidR="007B464E" w:rsidRPr="007B464E" w:rsidRDefault="007B464E" w:rsidP="007B464E">
      <w:pPr>
        <w:spacing w:after="120"/>
        <w:rPr>
          <w:sz w:val="11"/>
          <w:szCs w:val="8"/>
        </w:rPr>
      </w:pPr>
      <w:r>
        <w:rPr>
          <w:rFonts w:cs="Satoshi Variable"/>
          <w:sz w:val="11"/>
          <w:szCs w:val="8"/>
        </w:rPr>
        <w:t>The following Sub-processors are approved to Process Customer Personal Data as of the effective date of this DPA. The specific Sub-processors used for Customer’s deployment, and the regions in which they Process Customer Personal Data, are recorded in the applicable order form.</w:t>
      </w:r>
    </w:p>
    <w:tbl>
      <w:tblPr>
        <w:tblStyle w:val="LightGrid-Accent1"/>
        <w:tblW w:w="10080" w:type="dxa"/>
        <w:tblLayout w:type="fixed"/>
        <w:tblLook w:val="04A0" w:firstRow="1" w:lastRow="0" w:firstColumn="1" w:lastColumn="0" w:noHBand="0" w:noVBand="1"/>
      </w:tblPr>
      <w:tblGrid>
        <w:gridCol w:w="1584"/>
        <w:gridCol w:w="1872"/>
        <w:gridCol w:w="1728"/>
        <w:gridCol w:w="2736"/>
        <w:gridCol w:w="2160"/>
      </w:tblGrid>
      <w:tr w:rsidR="007B464E" w:rsidRPr="007B464E" w14:paraId="0643CDAA"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shd w:val="clear" w:color="auto" w:fill="1F4E78"/>
          </w:tcPr>
          <w:p w14:paraId="25CF00B3" w14:textId="77777777" w:rsidR="007B464E" w:rsidRPr="007B464E" w:rsidRDefault="007B464E" w:rsidP="000F3B01">
            <w:pPr>
              <w:rPr>
                <w:rFonts w:cs="Satoshi Variable"/>
                <w:sz w:val="15"/>
                <w:szCs w:val="8"/>
              </w:rPr>
            </w:pPr>
            <w:r>
              <w:rPr>
                <w:rFonts w:cs="Satoshi Variable"/>
                <w:color w:val="FFFFFF"/>
                <w:sz w:val="15"/>
                <w:szCs w:val="8"/>
              </w:rPr>
              <w:t>Sub-processor</w:t>
            </w:r>
          </w:p>
        </w:tc>
        <w:tc>
          <w:tcPr>
            <w:tcW w:w="1872" w:type="dxa"/>
            <w:shd w:val="clear" w:color="auto" w:fill="1F4E78"/>
          </w:tcPr>
          <w:p w14:paraId="115AA3E1"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color w:val="FFFFFF"/>
                <w:sz w:val="15"/>
                <w:szCs w:val="8"/>
              </w:rPr>
              <w:t>Legal Entity</w:t>
            </w:r>
          </w:p>
        </w:tc>
        <w:tc>
          <w:tcPr>
            <w:tcW w:w="1728" w:type="dxa"/>
            <w:shd w:val="clear" w:color="auto" w:fill="1F4E78"/>
          </w:tcPr>
          <w:p w14:paraId="5D4DA1D7"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color w:val="FFFFFF"/>
                <w:sz w:val="15"/>
                <w:szCs w:val="8"/>
              </w:rPr>
              <w:t>Country / Region</w:t>
            </w:r>
          </w:p>
        </w:tc>
        <w:tc>
          <w:tcPr>
            <w:tcW w:w="2736" w:type="dxa"/>
            <w:shd w:val="clear" w:color="auto" w:fill="1F4E78"/>
          </w:tcPr>
          <w:p w14:paraId="06468A4E"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color w:val="FFFFFF"/>
                <w:sz w:val="15"/>
                <w:szCs w:val="8"/>
              </w:rPr>
              <w:t>Processing Activity</w:t>
            </w:r>
          </w:p>
        </w:tc>
        <w:tc>
          <w:tcPr>
            <w:tcW w:w="2160" w:type="dxa"/>
            <w:shd w:val="clear" w:color="auto" w:fill="1F4E78"/>
          </w:tcPr>
          <w:p w14:paraId="5B34739A"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color w:val="FFFFFF"/>
                <w:sz w:val="15"/>
                <w:szCs w:val="8"/>
              </w:rPr>
              <w:t>Applicable Deployments</w:t>
            </w:r>
          </w:p>
        </w:tc>
      </w:tr>
      <w:tr w:rsidR="007B464E" w:rsidRPr="007B464E" w14:paraId="05F5835C" w14:textId="77777777" w:rsidTr="000F3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tcPr>
          <w:p w14:paraId="7235A9C1" w14:textId="77777777" w:rsidR="007B464E" w:rsidRPr="007B464E" w:rsidRDefault="007B464E" w:rsidP="000F3B01">
            <w:pPr>
              <w:rPr>
                <w:rFonts w:cs="Satoshi Variable"/>
                <w:sz w:val="15"/>
                <w:szCs w:val="8"/>
              </w:rPr>
            </w:pPr>
            <w:r>
              <w:rPr>
                <w:rFonts w:cs="Satoshi Variable"/>
                <w:sz w:val="15"/>
                <w:szCs w:val="8"/>
              </w:rPr>
              <w:t>Microsoft Azure</w:t>
            </w:r>
          </w:p>
        </w:tc>
        <w:tc>
          <w:tcPr>
            <w:tcW w:w="1872" w:type="dxa"/>
          </w:tcPr>
          <w:p w14:paraId="0FBE3765"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rFonts w:cs="Satoshi Variable"/>
                <w:sz w:val="15"/>
                <w:szCs w:val="8"/>
              </w:rPr>
            </w:pPr>
            <w:r>
              <w:rPr>
                <w:rFonts w:cs="Satoshi Variable"/>
                <w:sz w:val="15"/>
                <w:szCs w:val="8"/>
              </w:rPr>
              <w:t>Microsoft Corporation</w:t>
            </w:r>
          </w:p>
        </w:tc>
        <w:tc>
          <w:tcPr>
            <w:tcW w:w="1728" w:type="dxa"/>
          </w:tcPr>
          <w:p w14:paraId="0F5FCEEC"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rFonts w:cs="Satoshi Variable"/>
                <w:sz w:val="15"/>
                <w:szCs w:val="8"/>
              </w:rPr>
            </w:pPr>
            <w:r>
              <w:rPr>
                <w:rFonts w:cs="Satoshi Variable"/>
                <w:sz w:val="15"/>
                <w:szCs w:val="8"/>
              </w:rPr>
              <w:t>United States (or EU / East Asia regions, per order form)</w:t>
            </w:r>
          </w:p>
        </w:tc>
        <w:tc>
          <w:tcPr>
            <w:tcW w:w="2736" w:type="dxa"/>
          </w:tcPr>
          <w:p w14:paraId="6991F42C"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rFonts w:cs="Satoshi Variable"/>
                <w:sz w:val="15"/>
                <w:szCs w:val="8"/>
              </w:rPr>
            </w:pPr>
            <w:r>
              <w:rPr>
                <w:rFonts w:cs="Satoshi Variable"/>
                <w:sz w:val="15"/>
                <w:szCs w:val="8"/>
              </w:rPr>
              <w:t xml:space="preserve">Cloud infrastructure, storage, and model hosting (Microsoft Foundry / Azure OpenAI models are hosted and operated by Microsoft within Azure)</w:t>
            </w:r>
          </w:p>
        </w:tc>
        <w:tc>
          <w:tcPr>
            <w:tcW w:w="2160" w:type="dxa"/>
          </w:tcPr>
          <w:p w14:paraId="1F511DEB"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rFonts w:cs="Satoshi Variable"/>
                <w:sz w:val="15"/>
                <w:szCs w:val="8"/>
              </w:rPr>
            </w:pPr>
            <w:r>
              <w:rPr>
                <w:rFonts w:cs="Satoshi Variable"/>
                <w:sz w:val="15"/>
                <w:szCs w:val="8"/>
              </w:rPr>
              <w:t>Managed SaaS; Managed Cloud Tenant (where Customer’s tenant is on Azure)</w:t>
            </w:r>
          </w:p>
        </w:tc>
      </w:tr>
      <w:tr w:rsidR="007B464E" w:rsidRPr="007B464E" w14:paraId="50700869" w14:textId="77777777" w:rsidTr="000F3B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tcPr>
          <w:p w14:paraId="36BD22BC" w14:textId="77777777" w:rsidR="007B464E" w:rsidRPr="007B464E" w:rsidRDefault="007B464E" w:rsidP="000F3B01">
            <w:pPr>
              <w:rPr>
                <w:rFonts w:cs="Satoshi Variable"/>
                <w:sz w:val="15"/>
                <w:szCs w:val="8"/>
              </w:rPr>
            </w:pPr>
            <w:r>
              <w:rPr>
                <w:rFonts w:cs="Satoshi Variable"/>
                <w:sz w:val="15"/>
                <w:szCs w:val="8"/>
              </w:rPr>
              <w:t>Anthropic</w:t>
            </w:r>
          </w:p>
        </w:tc>
        <w:tc>
          <w:tcPr>
            <w:tcW w:w="1872" w:type="dxa"/>
          </w:tcPr>
          <w:p w14:paraId="10EA56A0"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 xml:space="preserve">Anthropic, PBC</w:t>
            </w:r>
          </w:p>
        </w:tc>
        <w:tc>
          <w:tcPr>
            <w:tcW w:w="1728" w:type="dxa"/>
          </w:tcPr>
          <w:p w14:paraId="0909E0D1"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United States</w:t>
            </w:r>
          </w:p>
        </w:tc>
        <w:tc>
          <w:tcPr>
            <w:tcW w:w="2736" w:type="dxa"/>
          </w:tcPr>
          <w:p w14:paraId="5B02573D"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 xml:space="preserve">Large-language-model inference for Outputs via the direct Anthropic API, under zero-data-retention contract</w:t>
            </w:r>
          </w:p>
        </w:tc>
        <w:tc>
          <w:tcPr>
            <w:tcW w:w="2160" w:type="dxa"/>
          </w:tcPr>
          <w:p w14:paraId="03D9AA89"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Managed SaaS; Managed Cloud Tenant (where Customer authorizes Anthropic API access)</w:t>
            </w:r>
          </w:p>
        </w:tc>
      </w:tr>
      <w:tr w:rsidR="007B464E" w:rsidRPr="007B464E" w14:paraId="77D43CBA" w14:textId="77777777" w:rsidTr="000F3B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tcPr>
          <w:p w14:paraId="40AB07C9" w14:textId="77777777" w:rsidR="007B464E" w:rsidRPr="007B464E" w:rsidRDefault="007B464E" w:rsidP="000F3B01">
            <w:pPr>
              <w:rPr>
                <w:rFonts w:cs="Satoshi Variable"/>
                <w:sz w:val="15"/>
                <w:szCs w:val="8"/>
              </w:rPr>
            </w:pPr>
            <w:r>
              <w:rPr>
                <w:rFonts w:cs="Satoshi Variable"/>
                <w:sz w:val="15"/>
                <w:szCs w:val="8"/>
              </w:rPr>
              <w:t>Reducto</w:t>
            </w:r>
          </w:p>
        </w:tc>
        <w:tc>
          <w:tcPr>
            <w:tcW w:w="1872" w:type="dxa"/>
          </w:tcPr>
          <w:p w14:paraId="7C568B0C"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Reducto AI, Inc.</w:t>
            </w:r>
          </w:p>
        </w:tc>
        <w:tc>
          <w:tcPr>
            <w:tcW w:w="1728" w:type="dxa"/>
          </w:tcPr>
          <w:p w14:paraId="1F21542E"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United States</w:t>
            </w:r>
          </w:p>
        </w:tc>
        <w:tc>
          <w:tcPr>
            <w:tcW w:w="2736" w:type="dxa"/>
          </w:tcPr>
          <w:p w14:paraId="5CA7361C"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Document parsing and structured-data extraction from Inputs</w:t>
            </w:r>
          </w:p>
        </w:tc>
        <w:tc>
          <w:tcPr>
            <w:tcW w:w="2160" w:type="dxa"/>
          </w:tcPr>
          <w:p w14:paraId="15D3C25E"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Managed SaaS; Managed Cloud Tenant (subject to Customer approval)</w:t>
            </w:r>
          </w:p>
        </w:tc>
      </w:tr>
      <w:tr w:rsidR="007B464E" w:rsidRPr="007B464E" w14:paraId="29F14081" w14:textId="77777777" w:rsidTr="000F3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tcPr>
          <w:p w14:paraId="724A1E0E" w14:textId="77777777" w:rsidR="007B464E" w:rsidRPr="007B464E" w:rsidRDefault="007B464E" w:rsidP="000F3B01">
            <w:pPr>
              <w:rPr>
                <w:sz w:val="15"/>
                <w:szCs w:val="15"/>
              </w:rPr>
            </w:pPr>
            <w:r>
              <w:rPr>
                <w:sz w:val="15"/>
                <w:szCs w:val="15"/>
              </w:rPr>
              <w:t>Qdrant</w:t>
            </w:r>
          </w:p>
        </w:tc>
        <w:tc>
          <w:tcPr>
            <w:tcW w:w="1872" w:type="dxa"/>
          </w:tcPr>
          <w:p w14:paraId="206FE0DF"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sz w:val="15"/>
                <w:szCs w:val="15"/>
              </w:rPr>
            </w:pPr>
            <w:r>
              <w:rPr>
                <w:sz w:val="15"/>
                <w:szCs w:val="15"/>
              </w:rPr>
              <w:t>Qdrant Solutions GmbH</w:t>
            </w:r>
          </w:p>
        </w:tc>
        <w:tc>
          <w:tcPr>
            <w:tcW w:w="1728" w:type="dxa"/>
          </w:tcPr>
          <w:p w14:paraId="7F128022"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sz w:val="15"/>
                <w:szCs w:val="15"/>
              </w:rPr>
            </w:pPr>
            <w:r>
              <w:rPr>
                <w:sz w:val="15"/>
                <w:szCs w:val="15"/>
              </w:rPr>
              <w:t>Germany (EU); data plane co-located with Finiti's Azure region selected for Customer</w:t>
            </w:r>
          </w:p>
        </w:tc>
        <w:tc>
          <w:tcPr>
            <w:tcW w:w="2736" w:type="dxa"/>
          </w:tcPr>
          <w:p w14:paraId="03CA903E"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sz w:val="15"/>
                <w:szCs w:val="15"/>
              </w:rPr>
            </w:pPr>
            <w:r>
              <w:rPr>
                <w:sz w:val="15"/>
                <w:szCs w:val="15"/>
              </w:rPr>
              <w:t xml:space="preserve">Vector database storing embeddings of Customer Inputs and associated metadata pointers for retrieval. Deployed under Qdrant Private Cloud: the data plane runs inside Finiti's Azure tenant, so vector data does not leave Finiti's Azure environment, and per Qdrant's Private Cloud documentation Qdrant has no access to the database, stored data, API keys, backups, or cluster logs; Qdrant operates the control plane for cluster management, upgrades, and monitoring.</w:t>
            </w:r>
          </w:p>
        </w:tc>
        <w:tc>
          <w:tcPr>
            <w:tcW w:w="2160" w:type="dxa"/>
          </w:tcPr>
          <w:p w14:paraId="0D0C3F9E" w14:textId="77777777" w:rsidR="007B464E" w:rsidRPr="007B464E" w:rsidRDefault="007B464E" w:rsidP="000F3B01">
            <w:pPr>
              <w:cnfStyle w:val="000000100000" w:firstRow="0" w:lastRow="0" w:firstColumn="0" w:lastColumn="0" w:oddVBand="0" w:evenVBand="0" w:oddHBand="1" w:evenHBand="0" w:firstRowFirstColumn="0" w:firstRowLastColumn="0" w:lastRowFirstColumn="0" w:lastRowLastColumn="0"/>
              <w:rPr>
                <w:sz w:val="15"/>
                <w:szCs w:val="15"/>
              </w:rPr>
            </w:pPr>
            <w:r>
              <w:rPr>
                <w:sz w:val="15"/>
                <w:szCs w:val="15"/>
              </w:rPr>
              <w:t>Managed SaaS; Managed Cloud Tenant (subject to Customer approval)</w:t>
            </w:r>
          </w:p>
        </w:tc>
      </w:tr>
      <w:tr w:rsidR="007B464E" w:rsidRPr="007B464E" w14:paraId="6C42F92C" w14:textId="77777777" w:rsidTr="000F3B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dxa"/>
          </w:tcPr>
          <w:p w14:paraId="27445FDE" w14:textId="77777777" w:rsidR="007B464E" w:rsidRPr="007B464E" w:rsidRDefault="007B464E" w:rsidP="000F3B01">
            <w:pPr>
              <w:rPr>
                <w:rFonts w:cs="Satoshi Variable"/>
                <w:sz w:val="15"/>
                <w:szCs w:val="8"/>
              </w:rPr>
            </w:pPr>
            <w:r>
              <w:rPr>
                <w:rFonts w:cs="Satoshi Variable"/>
                <w:sz w:val="15"/>
                <w:szCs w:val="8"/>
              </w:rPr>
              <w:t>Exa</w:t>
            </w:r>
          </w:p>
        </w:tc>
        <w:tc>
          <w:tcPr>
            <w:tcW w:w="1872" w:type="dxa"/>
          </w:tcPr>
          <w:p w14:paraId="051E9AAC"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Exa Labs, Inc.</w:t>
            </w:r>
          </w:p>
        </w:tc>
        <w:tc>
          <w:tcPr>
            <w:tcW w:w="1728" w:type="dxa"/>
          </w:tcPr>
          <w:p w14:paraId="022075DB"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United States</w:t>
            </w:r>
          </w:p>
        </w:tc>
        <w:tc>
          <w:tcPr>
            <w:tcW w:w="2736" w:type="dxa"/>
          </w:tcPr>
          <w:p w14:paraId="3255FCF8"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Web search and retrieval for non-filing reference sources</w:t>
            </w:r>
          </w:p>
        </w:tc>
        <w:tc>
          <w:tcPr>
            <w:tcW w:w="2160" w:type="dxa"/>
          </w:tcPr>
          <w:p w14:paraId="27D68898" w14:textId="77777777" w:rsidR="007B464E" w:rsidRPr="007B464E" w:rsidRDefault="007B464E" w:rsidP="000F3B01">
            <w:pPr>
              <w:cnfStyle w:val="000000010000" w:firstRow="0" w:lastRow="0" w:firstColumn="0" w:lastColumn="0" w:oddVBand="0" w:evenVBand="0" w:oddHBand="0" w:evenHBand="1" w:firstRowFirstColumn="0" w:firstRowLastColumn="0" w:lastRowFirstColumn="0" w:lastRowLastColumn="0"/>
              <w:rPr>
                <w:rFonts w:cs="Satoshi Variable"/>
                <w:sz w:val="15"/>
                <w:szCs w:val="8"/>
              </w:rPr>
            </w:pPr>
            <w:r>
              <w:rPr>
                <w:rFonts w:cs="Satoshi Variable"/>
                <w:sz w:val="15"/>
                <w:szCs w:val="8"/>
              </w:rPr>
              <w:t>Managed SaaS; Managed Cloud Tenant (subject to Customer approval)</w:t>
            </w:r>
          </w:p>
        </w:tc>
      </w:tr>
    </w:tbl>
    <w:p w14:paraId="605DF189" w14:textId="77777777" w:rsidR="007B464E" w:rsidRPr="007B464E" w:rsidRDefault="007B464E" w:rsidP="007B464E">
      <w:pPr>
        <w:rPr>
          <w:sz w:val="11"/>
          <w:szCs w:val="8"/>
        </w:rPr>
      </w:pPr>
    </w:p>
    <w:p w14:paraId="0F080BD5" w14:textId="77777777" w:rsidR="007B464E" w:rsidRPr="007B464E" w:rsidRDefault="007B464E" w:rsidP="007B464E">
      <w:pPr>
        <w:spacing w:after="120"/>
        <w:rPr>
          <w:i/>
          <w:sz w:val="11"/>
          <w:szCs w:val="8"/>
        </w:rPr>
      </w:pPr>
      <w:r>
        <w:rPr>
          <w:rFonts w:cs="Satoshi Variable"/>
          <w:i/>
          <w:sz w:val="11"/>
          <w:szCs w:val="8"/>
        </w:rPr>
        <w:t>Full On-Premise / Air-Gapped Deployments. Where Customer has selected the Full On-Premise / Air-Gapped deployment, Finiti does not transfer Customer Personal Data to any of the Sub-processors listed above. The Sub-processors listed in this Schedule apply only to Managed SaaS and Managed Cloud Tenant deployments. The deployment model and the specific Sub-processors used for Customer are recorded in the applicable order form.</w:t>
      </w:r>
    </w:p>
    <w:p w14:paraId="42BAB5E8" w14:textId="77777777" w:rsidR="007B464E" w:rsidRPr="007B464E" w:rsidRDefault="007B464E" w:rsidP="007B464E">
      <w:pPr>
        <w:spacing w:after="120"/>
        <w:rPr>
          <w:i/>
          <w:iCs/>
          <w:sz w:val="11"/>
          <w:szCs w:val="8"/>
        </w:rPr>
      </w:pPr>
      <w:r>
        <w:rPr>
          <w:i/>
          <w:iCs/>
          <w:sz w:val="11"/>
          <w:szCs w:val="11"/>
        </w:rPr>
        <w:t>Service-Operations Data processors. Finiti uses the following third parties to process Service-Operations Data (Finiti's controller-side data described in Section 2.2): (i) Logfire (Pydantic Services Ltd., United Kingdom) for application logs, traces, and metrics; and (ii) PostHog (PostHog, Inc., United States; EU-region instance for Customer Personal Data of EEA/UK data subjects) for product analytics, feature flags, and session-replay telemetry. Customer Personal Data is filtered out of log and event streams at the application layer prior to transmission, session replay is configured with input masking and DOM-text masking enabled by default, and these providers are therefore processors of Service-Operations Data rather than Sub-processors of Customer Personal Data under this DPA. If, in connection with an incident investigation, a Customer-requested troubleshooting session, or an explicit Customer configuration change, Finiti enables full-fidelity tracing or unmasked session replay for a Customer's environment in a manner that would route Customer Personal Data through any of the foregoing providers, that provider will, for the duration of such Processing, be treated as a Sub-processor under this DPA and Finiti will provide notice consistent with Section 8.2.</w:t>
      </w:r>
    </w:p>
    <w:p w14:paraId="42BAB5E8" w14:textId="77777777" w:rsidR="007B464E" w:rsidRPr="007B464E" w:rsidRDefault="007B464E" w:rsidP="007B464E">
      <w:pPr>
        <w:spacing w:after="120"/>
        <w:rPr>
          <w:i/>
          <w:iCs/>
          <w:sz w:val="11"/>
          <w:szCs w:val="8"/>
        </w:rPr>
      </w:pPr>
      <w:r>
        <w:rPr>
          <w:sz w:val="11"/>
          <w:szCs w:val="11"/>
          <w:i/>
          <w:iCs/>
        </w:rPr>
        <w:t xml:space="preserve">Datamule. </w:t>
      </w:r>
      <w:r>
        <w:rPr>
          <w:sz w:val="11"/>
          <w:szCs w:val="11"/>
          <w:i/>
          <w:iCs/>
        </w:rPr>
        <w:t xml:space="preserve">Finiti uses Datamule's hosted archive API for scheduled bulk retrieval of public SEC EDGAR filings. Datamule receives only filing requests made under Finiti's own account — no Customer documents, Customer identity, or matter linkage — and is therefore part of Finiti's technical supply chain rather than a Sub-processor of Customer Personal Data under this DPA.</w:t>
      </w:r>
    </w:p>
    <w:p w14:paraId="0FE162B8" w14:textId="77777777" w:rsidR="007B464E" w:rsidRPr="007B464E" w:rsidRDefault="007B464E" w:rsidP="007B464E">
      <w:pPr>
        <w:pBdr>
          <w:bottom w:val="single" w:sz="6" w:space="4" w:color="6C9EAB"/>
        </w:pBdr>
        <w:spacing w:before="360" w:after="160"/>
        <w:rPr>
          <w:rFonts w:ascii="Erode" w:eastAsia="Erode" w:hAnsi="Erode" w:cs="Erode"/>
          <w:b/>
          <w:bCs/>
          <w:sz w:val="18"/>
          <w:szCs w:val="18"/>
        </w:rPr>
      </w:pPr>
      <w:r>
        <w:rPr>
          <w:rFonts w:ascii="Erode" w:eastAsia="Erode" w:hAnsi="Erode" w:cs="Erode"/>
          <w:b/>
          <w:bCs/>
          <w:sz w:val="18"/>
          <w:szCs w:val="18"/>
        </w:rPr>
        <w:t>Schedule 3 — Region-Specific Terms</w:t>
      </w:r>
    </w:p>
    <w:p w14:paraId="5494F3BA" w14:textId="77777777" w:rsidR="007B464E" w:rsidRPr="007B464E" w:rsidRDefault="007B464E" w:rsidP="007B464E">
      <w:pPr>
        <w:keepNext/>
        <w:spacing w:before="160" w:after="60"/>
        <w:rPr>
          <w:sz w:val="11"/>
          <w:szCs w:val="8"/>
        </w:rPr>
      </w:pPr>
      <w:r>
        <w:rPr>
          <w:rFonts w:cs="Satoshi Variable"/>
          <w:b/>
          <w:sz w:val="11"/>
          <w:szCs w:val="8"/>
        </w:rPr>
        <w:t>1. EEA Transfers (EEA SCCs).</w:t>
      </w:r>
    </w:p>
    <w:p w14:paraId="7156F9F6" w14:textId="77777777" w:rsidR="007B464E" w:rsidRPr="007B464E" w:rsidRDefault="007B464E" w:rsidP="007B464E">
      <w:pPr>
        <w:spacing w:after="120"/>
        <w:ind w:left="360"/>
        <w:rPr>
          <w:sz w:val="11"/>
          <w:szCs w:val="8"/>
        </w:rPr>
      </w:pPr>
      <w:r>
        <w:rPr>
          <w:rFonts w:cs="Satoshi Variable"/>
          <w:sz w:val="11"/>
          <w:szCs w:val="8"/>
        </w:rPr>
        <w:t>1.1 Module 2 (Controller to Processor) applies where Customer is a Controller and Finiti is a Processor. Module 3 (Processor to Sub-processor) applies where Customer is a Processor and Finiti is a Sub-processor.</w:t>
      </w:r>
    </w:p>
    <w:p w14:paraId="30C058F1" w14:textId="77777777" w:rsidR="007B464E" w:rsidRPr="007B464E" w:rsidRDefault="007B464E" w:rsidP="007B464E">
      <w:pPr>
        <w:spacing w:after="120"/>
        <w:ind w:left="360"/>
        <w:rPr>
          <w:sz w:val="11"/>
          <w:szCs w:val="8"/>
        </w:rPr>
      </w:pPr>
      <w:r>
        <w:rPr>
          <w:rFonts w:cs="Satoshi Variable"/>
          <w:sz w:val="11"/>
          <w:szCs w:val="8"/>
        </w:rPr>
        <w:t>1.2 The optional docking clause in Clause 7 does not apply.</w:t>
      </w:r>
    </w:p>
    <w:p w14:paraId="5E20D1B7" w14:textId="77777777" w:rsidR="007B464E" w:rsidRPr="007B464E" w:rsidRDefault="007B464E" w:rsidP="007B464E">
      <w:pPr>
        <w:spacing w:after="120"/>
        <w:ind w:left="360"/>
        <w:rPr>
          <w:sz w:val="11"/>
          <w:szCs w:val="8"/>
        </w:rPr>
      </w:pPr>
      <w:r>
        <w:rPr>
          <w:rFonts w:cs="Satoshi Variable"/>
          <w:sz w:val="11"/>
          <w:szCs w:val="8"/>
        </w:rPr>
        <w:t>1.3 In Clause 9(a), Option 2 (general written authorization) applies, and the notice period for Sub-processor changes is the period set out in Section 8.2 of this DPA.</w:t>
      </w:r>
    </w:p>
    <w:p w14:paraId="2C1A5437" w14:textId="77777777" w:rsidR="007B464E" w:rsidRPr="007B464E" w:rsidRDefault="007B464E" w:rsidP="007B464E">
      <w:pPr>
        <w:spacing w:after="120"/>
        <w:ind w:left="360"/>
        <w:rPr>
          <w:sz w:val="11"/>
          <w:szCs w:val="8"/>
        </w:rPr>
      </w:pPr>
      <w:r>
        <w:rPr>
          <w:rFonts w:cs="Satoshi Variable"/>
          <w:sz w:val="11"/>
          <w:szCs w:val="8"/>
        </w:rPr>
        <w:t>1.4 In Clause 11, the optional language does not apply.</w:t>
      </w:r>
    </w:p>
    <w:p w14:paraId="091D89B1" w14:textId="77777777" w:rsidR="007B464E" w:rsidRPr="007B464E" w:rsidRDefault="007B464E" w:rsidP="007B464E">
      <w:pPr>
        <w:spacing w:after="120"/>
        <w:ind w:left="360"/>
        <w:rPr>
          <w:sz w:val="11"/>
          <w:szCs w:val="8"/>
        </w:rPr>
      </w:pPr>
      <w:r>
        <w:rPr>
          <w:rFonts w:cs="Satoshi Variable"/>
          <w:sz w:val="11"/>
          <w:szCs w:val="8"/>
        </w:rPr>
        <w:t>1.5 In Clause 13 and Annex I.C, the competent supervisory authority is the supervisory authority of the EEA member state in which Customer (as data exporter) is established.</w:t>
      </w:r>
    </w:p>
    <w:p w14:paraId="4D37F842" w14:textId="77777777" w:rsidR="007B464E" w:rsidRPr="007B464E" w:rsidRDefault="007B464E" w:rsidP="007B464E">
      <w:pPr>
        <w:spacing w:after="120"/>
        <w:ind w:left="360"/>
        <w:rPr>
          <w:sz w:val="11"/>
          <w:szCs w:val="8"/>
        </w:rPr>
      </w:pPr>
      <w:r>
        <w:rPr>
          <w:rFonts w:cs="Satoshi Variable"/>
          <w:sz w:val="11"/>
          <w:szCs w:val="8"/>
        </w:rPr>
        <w:t>1.6 In Clause 17, Option 1 applies, and the EEA SCCs are governed by the law of Ireland.</w:t>
      </w:r>
    </w:p>
    <w:p w14:paraId="773BD537" w14:textId="77777777" w:rsidR="007B464E" w:rsidRPr="007B464E" w:rsidRDefault="007B464E" w:rsidP="007B464E">
      <w:pPr>
        <w:spacing w:after="120"/>
        <w:ind w:left="360"/>
        <w:rPr>
          <w:sz w:val="11"/>
          <w:szCs w:val="8"/>
        </w:rPr>
      </w:pPr>
      <w:r>
        <w:rPr>
          <w:rFonts w:cs="Satoshi Variable"/>
          <w:sz w:val="11"/>
          <w:szCs w:val="8"/>
        </w:rPr>
        <w:t>1.7 In Clause 18(b), disputes are resolved before the courts of Ireland.</w:t>
      </w:r>
    </w:p>
    <w:p w14:paraId="4D6F85A2" w14:textId="77777777" w:rsidR="007B464E" w:rsidRPr="007B464E" w:rsidRDefault="007B464E" w:rsidP="007B464E">
      <w:pPr>
        <w:spacing w:after="120"/>
        <w:ind w:left="360"/>
        <w:rPr>
          <w:sz w:val="11"/>
          <w:szCs w:val="8"/>
        </w:rPr>
      </w:pPr>
      <w:r>
        <w:rPr>
          <w:rFonts w:cs="Satoshi Variable"/>
          <w:sz w:val="11"/>
          <w:szCs w:val="8"/>
        </w:rPr>
        <w:t>1.8 Annex I.A: the data importer is Finiti Legal Technologies, Inc.; the data exporter is Customer. Annex I.B is completed by reference to Schedule 1 of this DPA. Annex II is completed by reference to Schedule 4 of this DPA. Annex III is completed by reference to Schedule 2 of this DPA.</w:t>
      </w:r>
    </w:p>
    <w:p w14:paraId="4A666BD9" w14:textId="77777777" w:rsidR="007B464E" w:rsidRPr="007B464E" w:rsidRDefault="007B464E" w:rsidP="007B464E">
      <w:pPr>
        <w:keepNext/>
        <w:spacing w:before="160" w:after="60"/>
        <w:rPr>
          <w:sz w:val="11"/>
          <w:szCs w:val="8"/>
        </w:rPr>
      </w:pPr>
      <w:r>
        <w:rPr>
          <w:rFonts w:cs="Satoshi Variable"/>
          <w:b/>
          <w:sz w:val="11"/>
          <w:szCs w:val="8"/>
        </w:rPr>
        <w:t>2. UK Transfers (UK Addendum).</w:t>
      </w:r>
    </w:p>
    <w:p w14:paraId="56442F0F" w14:textId="77777777" w:rsidR="007B464E" w:rsidRPr="007B464E" w:rsidRDefault="007B464E" w:rsidP="007B464E">
      <w:pPr>
        <w:spacing w:after="120"/>
        <w:ind w:left="360"/>
        <w:rPr>
          <w:sz w:val="11"/>
          <w:szCs w:val="8"/>
        </w:rPr>
      </w:pPr>
      <w:r>
        <w:rPr>
          <w:rFonts w:cs="Satoshi Variable"/>
          <w:sz w:val="11"/>
          <w:szCs w:val="8"/>
        </w:rPr>
        <w:t>2.1 The EEA SCCs apply as described in Section 1 above, as modified by Part 2 (Mandatory Clauses) of the UK Addendum.</w:t>
      </w:r>
    </w:p>
    <w:p w14:paraId="10CE3A61" w14:textId="77777777" w:rsidR="007B464E" w:rsidRPr="007B464E" w:rsidRDefault="007B464E" w:rsidP="007B464E">
      <w:pPr>
        <w:spacing w:after="120"/>
        <w:ind w:left="360"/>
        <w:rPr>
          <w:sz w:val="11"/>
          <w:szCs w:val="8"/>
        </w:rPr>
      </w:pPr>
      <w:r>
        <w:rPr>
          <w:rFonts w:cs="Satoshi Variable"/>
          <w:sz w:val="11"/>
          <w:szCs w:val="8"/>
        </w:rPr>
        <w:t>2.2 Tables 1–3 of Part 1 of the UK Addendum are completed by reference to Schedule 1 of this DPA and the front matter of this DPA.</w:t>
      </w:r>
    </w:p>
    <w:p w14:paraId="52A24C3E" w14:textId="77777777" w:rsidR="007B464E" w:rsidRPr="007B464E" w:rsidRDefault="007B464E" w:rsidP="007B464E">
      <w:pPr>
        <w:spacing w:after="120"/>
        <w:ind w:left="360"/>
        <w:rPr>
          <w:sz w:val="11"/>
          <w:szCs w:val="8"/>
        </w:rPr>
      </w:pPr>
      <w:r>
        <w:rPr>
          <w:rFonts w:cs="Satoshi Variable"/>
          <w:sz w:val="11"/>
          <w:szCs w:val="8"/>
        </w:rPr>
        <w:t>2.3 In Table 4 of Part 1 of the UK Addendum, neither party may end the UK Addendum as set out in Section 19 of the UK Addendum.</w:t>
      </w:r>
    </w:p>
    <w:p w14:paraId="3753B86C" w14:textId="77777777" w:rsidR="007B464E" w:rsidRPr="007B464E" w:rsidRDefault="007B464E" w:rsidP="007B464E">
      <w:pPr>
        <w:spacing w:after="120"/>
        <w:ind w:left="360"/>
        <w:rPr>
          <w:sz w:val="11"/>
          <w:szCs w:val="8"/>
        </w:rPr>
      </w:pPr>
      <w:r>
        <w:rPr>
          <w:rFonts w:cs="Satoshi Variable"/>
          <w:sz w:val="11"/>
          <w:szCs w:val="8"/>
        </w:rPr>
        <w:t>2.4 If the ICO issues a revised approved addendum under section 18 of the UK Addendum, the parties will work in good faith to revise this DPA accordingly.</w:t>
      </w:r>
    </w:p>
    <w:p w14:paraId="21D6CF2B" w14:textId="77777777" w:rsidR="007B464E" w:rsidRPr="007B464E" w:rsidRDefault="007B464E" w:rsidP="007B464E">
      <w:pPr>
        <w:keepNext/>
        <w:spacing w:before="160" w:after="60"/>
        <w:rPr>
          <w:sz w:val="11"/>
          <w:szCs w:val="8"/>
        </w:rPr>
      </w:pPr>
      <w:r>
        <w:rPr>
          <w:rFonts w:cs="Satoshi Variable"/>
          <w:b/>
          <w:sz w:val="11"/>
          <w:szCs w:val="8"/>
        </w:rPr>
        <w:t>3. Swiss Transfers.</w:t>
      </w:r>
    </w:p>
    <w:p w14:paraId="48D6667C" w14:textId="77777777" w:rsidR="007B464E" w:rsidRPr="007B464E" w:rsidRDefault="007B464E" w:rsidP="007B464E">
      <w:pPr>
        <w:spacing w:after="120"/>
        <w:ind w:left="360"/>
        <w:rPr>
          <w:sz w:val="11"/>
          <w:szCs w:val="8"/>
        </w:rPr>
      </w:pPr>
      <w:r>
        <w:rPr>
          <w:rFonts w:cs="Satoshi Variable"/>
          <w:sz w:val="11"/>
          <w:szCs w:val="8"/>
        </w:rPr>
        <w:t>3.1 References to the GDPR in Clause 4 of the EEA SCCs are deemed to refer also to the Swiss FADP to the extent legally required.</w:t>
      </w:r>
    </w:p>
    <w:p w14:paraId="64266FEC" w14:textId="77777777" w:rsidR="007B464E" w:rsidRPr="007B464E" w:rsidRDefault="007B464E" w:rsidP="007B464E">
      <w:pPr>
        <w:spacing w:after="120"/>
        <w:ind w:left="360"/>
        <w:rPr>
          <w:sz w:val="11"/>
          <w:szCs w:val="8"/>
        </w:rPr>
      </w:pPr>
      <w:r>
        <w:rPr>
          <w:rFonts w:cs="Satoshi Variable"/>
          <w:sz w:val="11"/>
          <w:szCs w:val="8"/>
        </w:rPr>
        <w:t>3.2 References to a “supervisory authority” include the Swiss Federal Data Protection and Information Commissioner.</w:t>
      </w:r>
    </w:p>
    <w:p w14:paraId="31A09883" w14:textId="77777777" w:rsidR="007B464E" w:rsidRPr="007B464E" w:rsidRDefault="007B464E" w:rsidP="007B464E">
      <w:pPr>
        <w:spacing w:after="120"/>
        <w:ind w:left="360"/>
        <w:rPr>
          <w:sz w:val="11"/>
          <w:szCs w:val="8"/>
        </w:rPr>
      </w:pPr>
      <w:r>
        <w:rPr>
          <w:rFonts w:cs="Satoshi Variable"/>
          <w:sz w:val="11"/>
          <w:szCs w:val="8"/>
        </w:rPr>
        <w:t>3.3 References to EEA member-state law also include Swiss law where required.</w:t>
      </w:r>
    </w:p>
    <w:p w14:paraId="7907A304" w14:textId="77777777" w:rsidR="007B464E" w:rsidRPr="007B464E" w:rsidRDefault="007B464E" w:rsidP="007B464E">
      <w:pPr>
        <w:keepNext/>
        <w:spacing w:before="160" w:after="60"/>
        <w:rPr>
          <w:sz w:val="11"/>
          <w:szCs w:val="8"/>
        </w:rPr>
      </w:pPr>
      <w:r>
        <w:rPr>
          <w:rFonts w:cs="Satoshi Variable"/>
          <w:b/>
          <w:sz w:val="11"/>
          <w:szCs w:val="8"/>
        </w:rPr>
        <w:t>4. U.S. State Privacy Laws.</w:t>
      </w:r>
    </w:p>
    <w:p w14:paraId="3505D0F5" w14:textId="77777777" w:rsidR="007B464E" w:rsidRPr="007B464E" w:rsidRDefault="007B464E" w:rsidP="007B464E">
      <w:pPr>
        <w:spacing w:after="120"/>
        <w:ind w:left="360"/>
        <w:rPr>
          <w:sz w:val="11"/>
          <w:szCs w:val="8"/>
        </w:rPr>
      </w:pPr>
      <w:r>
        <w:rPr>
          <w:rFonts w:cs="Satoshi Variable"/>
          <w:sz w:val="11"/>
          <w:szCs w:val="8"/>
        </w:rPr>
        <w:t>4.1 To the extent Customer Personal Data is subject to a U.S. state privacy law that imposes obligations on “service providers,” “contractors,” or “processors,” Finiti acts as such with respect to that Customer Personal Data and complies with the applicable obligations.</w:t>
      </w:r>
    </w:p>
    <w:p w14:paraId="3B2E0E43" w14:textId="77777777" w:rsidR="007B464E" w:rsidRPr="007B464E" w:rsidRDefault="007B464E" w:rsidP="007B464E">
      <w:pPr>
        <w:spacing w:after="120"/>
        <w:ind w:left="360"/>
        <w:rPr>
          <w:sz w:val="11"/>
          <w:szCs w:val="8"/>
        </w:rPr>
      </w:pPr>
      <w:r>
        <w:rPr>
          <w:rFonts w:cs="Satoshi Variable"/>
          <w:sz w:val="11"/>
          <w:szCs w:val="8"/>
        </w:rPr>
        <w:t>4.2 Finiti will not (a) sell or share Customer Personal Data within the meaning of the CCPA/CPRA or similar laws; (b) retain, use, or disclose Customer Personal Data outside the direct business relationship between the parties, except as permitted by Applicable Data Protection Laws; or (c) combine Customer Personal Data with Personal Data Finiti receives from other sources, except as permitted under Applicable Data Protection Laws.</w:t>
      </w:r>
    </w:p>
    <w:p w14:paraId="70E5F036" w14:textId="77777777" w:rsidR="007B464E" w:rsidRPr="007B464E" w:rsidRDefault="007B464E" w:rsidP="007B464E">
      <w:pPr>
        <w:spacing w:after="120"/>
        <w:ind w:left="360"/>
        <w:rPr>
          <w:sz w:val="11"/>
          <w:szCs w:val="8"/>
        </w:rPr>
      </w:pPr>
      <w:r>
        <w:rPr>
          <w:rFonts w:cs="Satoshi Variable"/>
          <w:sz w:val="11"/>
          <w:szCs w:val="8"/>
        </w:rPr>
        <w:t>4.3 Finiti will notify Customer promptly if Finiti determines that it can no longer meet its obligations under U.S. state privacy laws, and Customer may take reasonable steps to prevent, stop, or remediate any unauthorized Processing.</w:t>
      </w:r>
    </w:p>
    <w:p w14:paraId="403D3995" w14:textId="77777777" w:rsidR="007B464E" w:rsidRPr="007B464E" w:rsidRDefault="007B464E" w:rsidP="007B464E">
      <w:pPr>
        <w:spacing w:after="120"/>
        <w:rPr>
          <w:b/>
          <w:bCs/>
          <w:sz w:val="11"/>
          <w:szCs w:val="8"/>
        </w:rPr>
      </w:pPr>
      <w:r>
        <w:rPr>
          <w:rFonts w:cs="Satoshi Variable"/>
          <w:b/>
          <w:bCs/>
          <w:sz w:val="11"/>
          <w:szCs w:val="8"/>
        </w:rPr>
        <w:t>5. PRC Personal Information Protection Law.</w:t>
      </w:r>
    </w:p>
    <w:p w14:paraId="07D6ED9D" w14:textId="77777777" w:rsidR="007B464E" w:rsidRPr="007B464E" w:rsidRDefault="007B464E" w:rsidP="007B464E">
      <w:pPr>
        <w:spacing w:after="120"/>
        <w:ind w:left="360"/>
        <w:rPr>
          <w:sz w:val="11"/>
          <w:szCs w:val="8"/>
        </w:rPr>
      </w:pPr>
      <w:r>
        <w:rPr>
          <w:rFonts w:cs="Satoshi Variable"/>
          <w:sz w:val="11"/>
          <w:szCs w:val="8"/>
        </w:rPr>
        <w:t>5.1 Where Customer or its end-clients are subject to the Personal Information Protection Law of the People's Republic of China (the "PIPL"), Customer is solely responsible for determining whether the deployment configuration selected under the Agreement permits Customer to submit PIPL-regulated personal information to Finiti consistent with PIPL's cross-border transfer requirements (including, as applicable, the CAC security assessment, the CAC Standard Contract for Cross-Border Transfer, CAC certification, or any applicable exemption).</w:t>
      </w:r>
    </w:p>
    <w:p w14:paraId="5B664366" w14:textId="77777777" w:rsidR="007B464E" w:rsidRPr="007B464E" w:rsidRDefault="007B464E" w:rsidP="007B464E">
      <w:pPr>
        <w:spacing w:after="120"/>
        <w:ind w:left="360"/>
        <w:rPr>
          <w:sz w:val="11"/>
          <w:szCs w:val="8"/>
        </w:rPr>
      </w:pPr>
      <w:r>
        <w:rPr>
          <w:rFonts w:cs="Satoshi Variable"/>
          <w:sz w:val="11"/>
          <w:szCs w:val="8"/>
        </w:rPr>
        <w:lastRenderedPageBreak/>
        <w:t>5.2 Finiti does not undertake to act as an "overseas recipient" of personal information under Article 38 of PIPL with respect to the Managed SaaS deployment, and Finiti has not executed and will not be required by this DPA to execute the CAC Standard Contract. Where PIPL cross-border transfer requirements apply, Customer must either (a) select the Managed Cloud Tenant deployment in an in-region instance or the Full On-Premise / Air-Gapped deployment so that no cross-border transfer to Finiti occurs, or (b) separately agree with Finiti in writing on a PIPL-compliant mechanism (which Finiti may grant or decline in its discretion, and which, if executed, will supplement and not supersede this DPA).</w:t>
      </w:r>
    </w:p>
    <w:p w14:paraId="7D349610" w14:textId="77777777" w:rsidR="007B464E" w:rsidRPr="007B464E" w:rsidRDefault="007B464E" w:rsidP="007B464E">
      <w:pPr>
        <w:spacing w:after="120"/>
        <w:ind w:left="360"/>
        <w:rPr>
          <w:sz w:val="11"/>
          <w:szCs w:val="8"/>
        </w:rPr>
      </w:pPr>
      <w:r>
        <w:rPr>
          <w:rFonts w:cs="Satoshi Variable"/>
          <w:sz w:val="11"/>
          <w:szCs w:val="8"/>
        </w:rPr>
        <w:t>5.3 Customer is responsible for providing any separate PIPL notices, obtaining any separate PIPL consents (including standalone consent for cross-border transfer where required), and conducting any Personal Information Protection Impact Assessment ("PIPIA") required by PIPL. Finiti will provide reasonable assistance with the technical information required for Customer's PIPIA on the same terms as Section 9.3 of this DPA.</w:t>
      </w:r>
    </w:p>
    <w:p w14:paraId="656DE73C" w14:textId="77777777" w:rsidR="007B464E" w:rsidRPr="007B464E" w:rsidRDefault="007B464E" w:rsidP="007B464E">
      <w:pPr>
        <w:spacing w:after="120"/>
        <w:ind w:left="360"/>
        <w:rPr>
          <w:sz w:val="11"/>
          <w:szCs w:val="8"/>
        </w:rPr>
      </w:pPr>
      <w:r>
        <w:rPr>
          <w:rFonts w:cs="Satoshi Variable"/>
          <w:sz w:val="11"/>
          <w:szCs w:val="8"/>
        </w:rPr>
        <w:t>5.4 Finiti will Process PIPL-regulated personal information in accordance with the security measures in Schedule 4, the security incident notification obligations in Section 7, and the deletion obligations in Section 11.</w:t>
      </w:r>
    </w:p>
    <w:p w14:paraId="444CD990" w14:textId="77777777" w:rsidR="007B464E" w:rsidRPr="007B464E" w:rsidRDefault="007B464E" w:rsidP="007B464E">
      <w:pPr>
        <w:keepNext/>
        <w:spacing w:before="160" w:after="60"/>
        <w:rPr>
          <w:sz w:val="11"/>
          <w:szCs w:val="8"/>
        </w:rPr>
      </w:pPr>
      <w:r>
        <w:rPr>
          <w:rFonts w:cs="Satoshi Variable"/>
          <w:b/>
          <w:sz w:val="11"/>
          <w:szCs w:val="8"/>
        </w:rPr>
        <w:t>6. Alternative Mechanisms.</w:t>
      </w:r>
    </w:p>
    <w:p w14:paraId="53435150" w14:textId="77777777" w:rsidR="007B464E" w:rsidRPr="007B464E" w:rsidRDefault="007B464E" w:rsidP="007B464E">
      <w:pPr>
        <w:spacing w:after="120"/>
        <w:ind w:left="360"/>
        <w:rPr>
          <w:sz w:val="11"/>
          <w:szCs w:val="8"/>
        </w:rPr>
      </w:pPr>
      <w:r>
        <w:rPr>
          <w:rFonts w:cs="Satoshi Variable"/>
          <w:sz w:val="11"/>
          <w:szCs w:val="8"/>
        </w:rPr>
        <w:t>6.1 If the European Commission, the ICO, the Swiss Federal Data Protection and Information Commissioner, or another competent authority approves a new or revised transfer mechanism that supersedes a mechanism in this Schedule 3, Finiti may adopt that mechanism on written notice to Customer, and the new mechanism will apply in lieu of the prior mechanism to the extent it complies with Applicable Data Protection Laws.</w:t>
      </w:r>
    </w:p>
    <w:p w14:paraId="58934865" w14:textId="77777777" w:rsidR="007B464E" w:rsidRPr="007B464E" w:rsidRDefault="007B464E" w:rsidP="007B464E">
      <w:pPr>
        <w:pBdr>
          <w:bottom w:val="single" w:sz="6" w:space="4" w:color="6C9EAB"/>
        </w:pBdr>
        <w:spacing w:before="360" w:after="160"/>
        <w:rPr>
          <w:rFonts w:ascii="Erode" w:eastAsia="Erode" w:hAnsi="Erode" w:cs="Erode"/>
          <w:b/>
          <w:bCs/>
          <w:sz w:val="18"/>
          <w:szCs w:val="18"/>
        </w:rPr>
      </w:pPr>
      <w:r>
        <w:rPr>
          <w:rFonts w:ascii="Erode" w:eastAsia="Erode" w:hAnsi="Erode" w:cs="Erode"/>
          <w:b/>
          <w:bCs/>
          <w:sz w:val="18"/>
          <w:szCs w:val="18"/>
        </w:rPr>
        <w:t>Schedule 4 — Technical and Organizational Security Measures</w:t>
      </w:r>
    </w:p>
    <w:p w14:paraId="254D3ED5" w14:textId="77777777" w:rsidR="007B464E" w:rsidRPr="007B464E" w:rsidRDefault="007B464E" w:rsidP="007B464E">
      <w:pPr>
        <w:keepNext/>
        <w:spacing w:before="160" w:after="60"/>
        <w:rPr>
          <w:sz w:val="11"/>
          <w:szCs w:val="8"/>
        </w:rPr>
      </w:pPr>
      <w:r>
        <w:rPr>
          <w:rFonts w:cs="Satoshi Variable"/>
          <w:b/>
          <w:sz w:val="11"/>
          <w:szCs w:val="8"/>
        </w:rPr>
        <w:t>1. Information Security Program.</w:t>
      </w:r>
    </w:p>
    <w:p w14:paraId="1F7039B0"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Finiti maintains a documented information-security program certified under ISO/IEC 27001 and designed to align with SOC 2 (Trust Services Criteria), with executive sponsorship and a designated security leader.</w:t>
      </w:r>
    </w:p>
    <w:p w14:paraId="2F61D347"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The program is independently audited at least annually by qualified third-party auditors.</w:t>
      </w:r>
    </w:p>
    <w:p w14:paraId="56F3296D"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Policies are reviewed at least annually and updated to reflect changes in regulatory requirements, technology, and business operations.</w:t>
      </w:r>
    </w:p>
    <w:p w14:paraId="4989243F" w14:textId="77777777" w:rsidR="007B464E" w:rsidRPr="007B464E" w:rsidRDefault="007B464E" w:rsidP="007B464E">
      <w:pPr>
        <w:keepNext/>
        <w:spacing w:before="160" w:after="60"/>
        <w:rPr>
          <w:sz w:val="11"/>
          <w:szCs w:val="8"/>
        </w:rPr>
      </w:pPr>
      <w:r>
        <w:rPr>
          <w:rFonts w:cs="Satoshi Variable"/>
          <w:b/>
          <w:sz w:val="11"/>
          <w:szCs w:val="8"/>
        </w:rPr>
        <w:t>2. Encryption.</w:t>
      </w:r>
    </w:p>
    <w:p w14:paraId="2D406313"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Customer Personal Data is encrypted in transit using TLS 1.2 or higher.</w:t>
      </w:r>
    </w:p>
    <w:p w14:paraId="1A258FBE"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Customer Personal Data is encrypted at rest using AES-256 or equivalent.</w:t>
      </w:r>
    </w:p>
    <w:p w14:paraId="2E083C93"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 xml:space="preserve">Encryption keys are managed as Azure platform-managed keys; customer-managed keys (CMK/BYOK) are available as a per-client enterprise implementation on request.</w:t>
      </w:r>
    </w:p>
    <w:p w14:paraId="0D0890FF" w14:textId="77777777" w:rsidR="007B464E" w:rsidRPr="007B464E" w:rsidRDefault="007B464E" w:rsidP="007B464E">
      <w:pPr>
        <w:keepNext/>
        <w:spacing w:before="160" w:after="60"/>
        <w:rPr>
          <w:sz w:val="11"/>
          <w:szCs w:val="8"/>
        </w:rPr>
      </w:pPr>
      <w:r>
        <w:rPr>
          <w:rFonts w:cs="Satoshi Variable"/>
          <w:b/>
          <w:sz w:val="11"/>
          <w:szCs w:val="8"/>
        </w:rPr>
        <w:t>3. Access Control.</w:t>
      </w:r>
    </w:p>
    <w:p w14:paraId="1CAF45F4"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Access to Customer Personal Data follows least-privilege and need-to-know principles.</w:t>
      </w:r>
    </w:p>
    <w:p w14:paraId="0B1B67C7"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Multi-factor authentication is enforced for all Finiti personnel with administrative access.</w:t>
      </w:r>
    </w:p>
    <w:p w14:paraId="3568F15E"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Access rights are reviewed at least quarterly and revoked promptly on role change or departure.</w:t>
      </w:r>
    </w:p>
    <w:p w14:paraId="16008635"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 xml:space="preserve">Customer-facing authentication is via Microsoft Entra ID (OAuth 2.0 / OpenID Connect), with SSO and MFA enforced at the identity-provider level.</w:t>
      </w:r>
    </w:p>
    <w:p w14:paraId="2D2957AD" w14:textId="77777777" w:rsidR="007B464E" w:rsidRPr="007B464E" w:rsidRDefault="007B464E" w:rsidP="007B464E">
      <w:pPr>
        <w:keepNext/>
        <w:spacing w:before="160" w:after="60"/>
        <w:rPr>
          <w:sz w:val="11"/>
          <w:szCs w:val="8"/>
        </w:rPr>
      </w:pPr>
      <w:r>
        <w:rPr>
          <w:rFonts w:cs="Satoshi Variable"/>
          <w:b/>
          <w:sz w:val="11"/>
          <w:szCs w:val="8"/>
        </w:rPr>
        <w:t>4. Network and Application Security.</w:t>
      </w:r>
    </w:p>
    <w:p w14:paraId="26155912"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Production environments are logically segregated from development and testing environments.</w:t>
      </w:r>
    </w:p>
    <w:p w14:paraId="1C06DD7C"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Production network access is restricted via VPC isolation, security groups, and bastion hosts where applicable.</w:t>
      </w:r>
    </w:p>
    <w:p w14:paraId="4E6B9EA2"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Web application protections include input validation, output encoding, dependency scanning, and a web application firewall.</w:t>
      </w:r>
    </w:p>
    <w:p w14:paraId="11B19CB9"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Vulnerability scanning is performed continuously, and penetration tests are conducted at least annually by independent testers.</w:t>
      </w:r>
    </w:p>
    <w:p w14:paraId="65D61FF3" w14:textId="77777777" w:rsidR="007B464E" w:rsidRPr="007B464E" w:rsidRDefault="007B464E" w:rsidP="007B464E">
      <w:pPr>
        <w:keepNext/>
        <w:spacing w:before="160" w:after="60"/>
        <w:rPr>
          <w:sz w:val="11"/>
          <w:szCs w:val="8"/>
        </w:rPr>
      </w:pPr>
      <w:r>
        <w:rPr>
          <w:rFonts w:cs="Satoshi Variable"/>
          <w:b/>
          <w:sz w:val="11"/>
          <w:szCs w:val="8"/>
        </w:rPr>
        <w:t>5. Logging and Monitoring.</w:t>
      </w:r>
    </w:p>
    <w:p w14:paraId="629496B3"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Security events, administrative actions, and access to Customer Personal Data are logged and forwarded to a centralized SIEM.</w:t>
      </w:r>
    </w:p>
    <w:p w14:paraId="796640AB"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 xml:space="preserve">Critical alerts are monitored 24/7 via automated alerting with engineering escalation.</w:t>
      </w:r>
    </w:p>
    <w:p w14:paraId="62CBD2AF"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Logs are retained for the period required by Applicable Laws and Finiti’s retention policy.</w:t>
      </w:r>
    </w:p>
    <w:p w14:paraId="405E7970" w14:textId="77777777" w:rsidR="007B464E" w:rsidRPr="007B464E" w:rsidRDefault="007B464E" w:rsidP="007B464E">
      <w:pPr>
        <w:keepNext/>
        <w:spacing w:before="160" w:after="60"/>
        <w:rPr>
          <w:sz w:val="11"/>
          <w:szCs w:val="8"/>
        </w:rPr>
      </w:pPr>
      <w:r>
        <w:rPr>
          <w:rFonts w:cs="Satoshi Variable"/>
          <w:b/>
          <w:sz w:val="11"/>
          <w:szCs w:val="8"/>
        </w:rPr>
        <w:t>6. Sub-processor Security.</w:t>
      </w:r>
    </w:p>
    <w:p w14:paraId="03658CD1"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Sub-processors are evaluated through a security-due-diligence process before engagement and at least annually thereafter.</w:t>
      </w:r>
    </w:p>
    <w:p w14:paraId="69D7DA35"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 xml:space="preserve">Model Providers are engaged only under contracts that prohibit retention of Inputs and Outputs (ZDR or equivalent).</w:t>
      </w:r>
    </w:p>
    <w:p w14:paraId="18DB0A82" w14:textId="77777777" w:rsidR="007B464E" w:rsidRPr="007B464E" w:rsidRDefault="007B464E" w:rsidP="007B464E">
      <w:pPr>
        <w:keepNext/>
        <w:spacing w:before="160" w:after="60"/>
        <w:rPr>
          <w:sz w:val="11"/>
          <w:szCs w:val="8"/>
        </w:rPr>
      </w:pPr>
      <w:r>
        <w:rPr>
          <w:rFonts w:cs="Satoshi Variable"/>
          <w:b/>
          <w:sz w:val="11"/>
          <w:szCs w:val="8"/>
        </w:rPr>
        <w:t>7. Incident Response.</w:t>
      </w:r>
    </w:p>
    <w:p w14:paraId="262EDC3E"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Finiti maintains a documented incident-response plan covering detection, containment, eradication, recovery, and post-incident review.</w:t>
      </w:r>
    </w:p>
    <w:p w14:paraId="6EC40725"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The plan is tested at least annually through tabletop or technical exercises.</w:t>
      </w:r>
    </w:p>
    <w:p w14:paraId="7153015D"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Notification procedures are aligned with Section 7 of this DPA.</w:t>
      </w:r>
    </w:p>
    <w:p w14:paraId="18682E6B" w14:textId="77777777" w:rsidR="007B464E" w:rsidRPr="007B464E" w:rsidRDefault="007B464E" w:rsidP="007B464E">
      <w:pPr>
        <w:keepNext/>
        <w:spacing w:before="160" w:after="60"/>
        <w:rPr>
          <w:sz w:val="11"/>
          <w:szCs w:val="8"/>
        </w:rPr>
      </w:pPr>
      <w:r>
        <w:rPr>
          <w:rFonts w:cs="Satoshi Variable"/>
          <w:b/>
          <w:sz w:val="11"/>
          <w:szCs w:val="8"/>
        </w:rPr>
        <w:t>8. Business Continuity and Disaster Recovery.</w:t>
      </w:r>
    </w:p>
    <w:p w14:paraId="6FC98C6B"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Production environments are deployed across multiple availability zones with automated failover.</w:t>
      </w:r>
    </w:p>
    <w:p w14:paraId="221CE500"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Backups are taken on a regular cadence, are encrypted, and are tested for restorability.</w:t>
      </w:r>
    </w:p>
    <w:p w14:paraId="4989FBB4"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Recovery-time and recovery-point objectives are documented and reviewed at least annually.</w:t>
      </w:r>
    </w:p>
    <w:p w14:paraId="4D8A05E7" w14:textId="77777777" w:rsidR="007B464E" w:rsidRPr="007B464E" w:rsidRDefault="007B464E" w:rsidP="007B464E">
      <w:pPr>
        <w:keepNext/>
        <w:spacing w:before="160" w:after="60"/>
        <w:rPr>
          <w:sz w:val="11"/>
          <w:szCs w:val="8"/>
        </w:rPr>
      </w:pPr>
      <w:r>
        <w:rPr>
          <w:rFonts w:cs="Satoshi Variable"/>
          <w:b/>
          <w:sz w:val="11"/>
          <w:szCs w:val="8"/>
        </w:rPr>
        <w:t>9. Personnel Security.</w:t>
      </w:r>
    </w:p>
    <w:p w14:paraId="43113CC5"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Background checks are conducted on Finiti personnel where permitted by law.</w:t>
      </w:r>
    </w:p>
    <w:p w14:paraId="075520D8"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All personnel are subject to written confidentiality obligations.</w:t>
      </w:r>
    </w:p>
    <w:p w14:paraId="67D9B8B0"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Security and privacy training is delivered at onboarding and at least annually thereafter.</w:t>
      </w:r>
    </w:p>
    <w:p w14:paraId="268F16F3" w14:textId="77777777" w:rsidR="007B464E" w:rsidRPr="007B464E" w:rsidRDefault="007B464E" w:rsidP="007B464E">
      <w:pPr>
        <w:keepNext/>
        <w:spacing w:before="160" w:after="60"/>
        <w:rPr>
          <w:sz w:val="11"/>
          <w:szCs w:val="8"/>
        </w:rPr>
      </w:pPr>
      <w:r>
        <w:rPr>
          <w:rFonts w:cs="Satoshi Variable"/>
          <w:b/>
          <w:sz w:val="11"/>
          <w:szCs w:val="8"/>
        </w:rPr>
        <w:t>10. Physical Security.</w:t>
      </w:r>
    </w:p>
    <w:p w14:paraId="5A70280A"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Production hosting is provided by SOC 2 / ISO 27001-certified cloud providers with physical access controls including 24/7 staffing, multi-factor entry, biometrics, and video surveillance.</w:t>
      </w:r>
    </w:p>
    <w:p w14:paraId="1BBCF794"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Finiti corporate offices restrict access via badge access and visitor management.</w:t>
      </w:r>
    </w:p>
    <w:p w14:paraId="3B72AA7A" w14:textId="77777777" w:rsidR="007B464E" w:rsidRPr="007B464E" w:rsidRDefault="007B464E" w:rsidP="007B464E">
      <w:pPr>
        <w:keepNext/>
        <w:spacing w:before="160" w:after="60"/>
        <w:rPr>
          <w:sz w:val="11"/>
          <w:szCs w:val="8"/>
        </w:rPr>
      </w:pPr>
      <w:r>
        <w:rPr>
          <w:rFonts w:cs="Satoshi Variable"/>
          <w:b/>
          <w:sz w:val="11"/>
          <w:szCs w:val="8"/>
        </w:rPr>
        <w:t>11. Data Deletion.</w:t>
      </w:r>
    </w:p>
    <w:p w14:paraId="3902EFA0"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Production deletion of Customer Personal Data uses cryptographic erasure and overwriting consistent with NIST SP 800-88.</w:t>
      </w:r>
    </w:p>
    <w:p w14:paraId="40AF96C8" w14:textId="77777777" w:rsidR="007B464E" w:rsidRPr="007B464E" w:rsidRDefault="007B464E" w:rsidP="007B464E">
      <w:pPr>
        <w:pStyle w:val="ListBullet"/>
        <w:tabs>
          <w:tab w:val="num" w:pos="360"/>
        </w:tabs>
        <w:spacing w:after="60"/>
        <w:ind w:left="720" w:hanging="360"/>
        <w:rPr>
          <w:rFonts w:ascii="Satoshi Variable" w:hAnsi="Satoshi Variable" w:cs="Satoshi Variable"/>
          <w:sz w:val="8"/>
          <w:szCs w:val="8"/>
        </w:rPr>
      </w:pPr>
      <w:r>
        <w:rPr>
          <w:rFonts w:ascii="Satoshi Variable" w:hAnsi="Satoshi Variable" w:cs="Satoshi Variable"/>
          <w:sz w:val="8"/>
          <w:szCs w:val="8"/>
        </w:rPr>
        <w:t>Customer may request deletion at any time during the term; backup overwrite occurs on the standard backup cycle.</w:t>
      </w:r>
    </w:p>
    <w:p w14:paraId="2B383F57" w14:textId="77777777" w:rsidR="007B464E" w:rsidRPr="007B464E" w:rsidRDefault="007B464E" w:rsidP="007B464E">
      <w:pPr>
        <w:spacing w:after="120"/>
        <w:rPr>
          <w:sz w:val="11"/>
          <w:szCs w:val="8"/>
        </w:rPr>
      </w:pPr>
    </w:p>
    <w:p w14:paraId="1152BF9E" w14:textId="77777777" w:rsidR="007B464E" w:rsidRDefault="007B464E" w:rsidP="007B464E">
      <w:pPr>
        <w:spacing w:after="80"/>
      </w:pPr>
    </w:p>
    <w:sectPr w:rsidR="007B464E">
      <w:headerReference w:type="default" r:id="rId8"/>
      <w:footerReference w:type="default" r:id="rId9"/>
      <w:pgSz w:w="12240" w:h="15840"/>
      <w:pgMar w:top="1440" w:right="1440" w:bottom="1800" w:left="1440" w:header="72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0B1D17" w14:textId="77777777" w:rsidR="00200D98" w:rsidRDefault="00200D98">
      <w:r>
        <w:separator/>
      </w:r>
    </w:p>
  </w:endnote>
  <w:endnote w:type="continuationSeparator" w:id="0">
    <w:p w14:paraId="1245D50D" w14:textId="77777777" w:rsidR="00200D98" w:rsidRDefault="00200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Satoshi Variable">
    <w:panose1 w:val="00000000000000000000"/>
    <w:charset w:val="4D"/>
    <w:family w:val="auto"/>
    <w:pitch w:val="variable"/>
    <w:sig w:usb0="80000047" w:usb1="00000001" w:usb2="00000000" w:usb3="00000000" w:csb0="00000093" w:csb1="00000000"/>
  </w:font>
  <w:font w:name="Satoshi">
    <w:panose1 w:val="00000000000000000000"/>
    <w:charset w:val="4D"/>
    <w:family w:val="auto"/>
    <w:pitch w:val="variable"/>
    <w:sig w:usb0="80000047" w:usb1="00000001" w:usb2="00000000" w:usb3="00000000" w:csb0="00000093" w:csb1="00000000"/>
  </w:font>
  <w:font w:name="Erode">
    <w:panose1 w:val="00000000000000000000"/>
    <w:charset w:val="4D"/>
    <w:family w:val="auto"/>
    <w:notTrueType/>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400"/>
      <w:gridCol w:w="5960"/>
    </w:tblGrid>
    <w:tr w:rsidR="001A77E7" w14:paraId="009AC3E7" w14:textId="77777777">
      <w:tc>
        <w:tcPr>
          <w:tcW w:w="34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bottom"/>
        </w:tcPr>
        <w:p w14:paraId="0A94F536" w14:textId="77777777" w:rsidR="001A77E7" w:rsidRDefault="00000000">
          <w:r>
            <w:rPr>
              <w:noProof/>
            </w:rPr>
            <w:drawing>
              <wp:inline distT="0" distB="0" distL="0" distR="0" wp14:anchorId="3ED1D3F6" wp14:editId="12BD6135">
                <wp:extent cx="1238250" cy="762000"/>
                <wp:effectExtent l="0" t="0" r="0" b="0"/>
                <wp:docPr id="1189283845" name="Picture 118928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38250" cy="762000"/>
                        </a:xfrm>
                        <a:prstGeom prst="rect">
                          <a:avLst/>
                        </a:prstGeom>
                      </pic:spPr>
                    </pic:pic>
                  </a:graphicData>
                </a:graphic>
              </wp:inline>
            </w:drawing>
          </w:r>
        </w:p>
      </w:tc>
      <w:tc>
        <w:tcPr>
          <w:tcW w:w="59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bottom"/>
        </w:tcPr>
        <w:p w14:paraId="0F8FDD7B" w14:textId="77777777" w:rsidR="001A77E7" w:rsidRDefault="00000000">
          <w:pPr>
            <w:spacing w:after="60"/>
            <w:jc w:val="right"/>
          </w:pPr>
          <w:r>
            <w:rPr>
              <w:b/>
              <w:bCs/>
              <w:sz w:val="18"/>
              <w:szCs w:val="18"/>
            </w:rPr>
            <w:t>Finiti Legal</w:t>
          </w:r>
        </w:p>
        <w:p w14:paraId="1D306864" w14:textId="77777777" w:rsidR="001A77E7" w:rsidRDefault="001A77E7">
          <w:pPr>
            <w:spacing w:after="40"/>
            <w:jc w:val="right"/>
          </w:pPr>
          <w:hyperlink r:id="rId2" w:history="1">
            <w:r>
              <w:rPr>
                <w:color w:val="555758"/>
                <w:sz w:val="16"/>
                <w:szCs w:val="16"/>
              </w:rPr>
              <w:t>www.finiti.legal</w:t>
            </w:r>
          </w:hyperlink>
        </w:p>
        <w:p w14:paraId="65217A59" w14:textId="77777777" w:rsidR="001A77E7" w:rsidRDefault="00000000">
          <w:pPr>
            <w:spacing w:after="40"/>
            <w:jc w:val="right"/>
          </w:pPr>
          <w:r>
            <w:rPr>
              <w:color w:val="555758"/>
              <w:sz w:val="16"/>
              <w:szCs w:val="16"/>
            </w:rPr>
            <w:t>908 Broadway, San Francisco, CA</w:t>
          </w:r>
        </w:p>
        <w:p w14:paraId="505FA71C" w14:textId="77777777" w:rsidR="001A77E7" w:rsidRDefault="00000000">
          <w:pPr>
            <w:jc w:val="right"/>
          </w:pPr>
          <w:r>
            <w:rPr>
              <w:color w:val="555758"/>
              <w:sz w:val="16"/>
              <w:szCs w:val="16"/>
            </w:rPr>
            <w:t>United States</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4685EB" w14:textId="77777777" w:rsidR="00200D98" w:rsidRDefault="00200D98">
      <w:r>
        <w:separator/>
      </w:r>
    </w:p>
  </w:footnote>
  <w:footnote w:type="continuationSeparator" w:id="0">
    <w:p w14:paraId="60533DCD" w14:textId="77777777" w:rsidR="00200D98" w:rsidRDefault="00200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CF874" w14:textId="77777777" w:rsidR="001A77E7" w:rsidRDefault="00000000">
    <w:r>
      <w:rPr>
        <w:noProof/>
      </w:rPr>
      <w:drawing>
        <wp:inline distT="0" distB="0" distL="0" distR="0" wp14:anchorId="6AEC14FF" wp14:editId="7DEE6CD3">
          <wp:extent cx="1828800"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28800" cy="361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C620E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F423EC"/>
    <w:multiLevelType w:val="hybridMultilevel"/>
    <w:tmpl w:val="5CD6FBF6"/>
    <w:lvl w:ilvl="0" w:tplc="292268BC">
      <w:start w:val="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A17A6"/>
    <w:multiLevelType w:val="hybridMultilevel"/>
    <w:tmpl w:val="053AF9E2"/>
    <w:lvl w:ilvl="0" w:tplc="17B61EFC">
      <w:start w:val="1"/>
      <w:numFmt w:val="bullet"/>
      <w:lvlText w:val="✓"/>
      <w:lvlJc w:val="left"/>
      <w:pPr>
        <w:ind w:left="540" w:hanging="270"/>
      </w:pPr>
      <w:rPr>
        <w:b/>
        <w:bCs/>
        <w:color w:val="6C9EAB"/>
      </w:rPr>
    </w:lvl>
    <w:lvl w:ilvl="1" w:tplc="EF94AAD0">
      <w:numFmt w:val="decimal"/>
      <w:lvlText w:val=""/>
      <w:lvlJc w:val="left"/>
    </w:lvl>
    <w:lvl w:ilvl="2" w:tplc="9C7E2F2A">
      <w:numFmt w:val="decimal"/>
      <w:lvlText w:val=""/>
      <w:lvlJc w:val="left"/>
    </w:lvl>
    <w:lvl w:ilvl="3" w:tplc="B7523CB0">
      <w:numFmt w:val="decimal"/>
      <w:lvlText w:val=""/>
      <w:lvlJc w:val="left"/>
    </w:lvl>
    <w:lvl w:ilvl="4" w:tplc="8C82E960">
      <w:numFmt w:val="decimal"/>
      <w:lvlText w:val=""/>
      <w:lvlJc w:val="left"/>
    </w:lvl>
    <w:lvl w:ilvl="5" w:tplc="8D1E29E4">
      <w:numFmt w:val="decimal"/>
      <w:lvlText w:val=""/>
      <w:lvlJc w:val="left"/>
    </w:lvl>
    <w:lvl w:ilvl="6" w:tplc="7A581468">
      <w:numFmt w:val="decimal"/>
      <w:lvlText w:val=""/>
      <w:lvlJc w:val="left"/>
    </w:lvl>
    <w:lvl w:ilvl="7" w:tplc="4634B05E">
      <w:numFmt w:val="decimal"/>
      <w:lvlText w:val=""/>
      <w:lvlJc w:val="left"/>
    </w:lvl>
    <w:lvl w:ilvl="8" w:tplc="82F67ED2">
      <w:numFmt w:val="decimal"/>
      <w:lvlText w:val=""/>
      <w:lvlJc w:val="left"/>
    </w:lvl>
  </w:abstractNum>
  <w:abstractNum w:abstractNumId="3" w15:restartNumberingAfterBreak="0">
    <w:nsid w:val="22D63563"/>
    <w:multiLevelType w:val="hybridMultilevel"/>
    <w:tmpl w:val="896ECB66"/>
    <w:lvl w:ilvl="0" w:tplc="8AF21050">
      <w:start w:val="1"/>
      <w:numFmt w:val="bullet"/>
      <w:lvlText w:val="✕"/>
      <w:lvlJc w:val="left"/>
      <w:pPr>
        <w:ind w:left="540" w:hanging="270"/>
      </w:pPr>
      <w:rPr>
        <w:color w:val="868788"/>
      </w:rPr>
    </w:lvl>
    <w:lvl w:ilvl="1" w:tplc="2E68CC94">
      <w:numFmt w:val="decimal"/>
      <w:lvlText w:val=""/>
      <w:lvlJc w:val="left"/>
    </w:lvl>
    <w:lvl w:ilvl="2" w:tplc="003EB8E8">
      <w:numFmt w:val="decimal"/>
      <w:lvlText w:val=""/>
      <w:lvlJc w:val="left"/>
    </w:lvl>
    <w:lvl w:ilvl="3" w:tplc="523E7DBE">
      <w:numFmt w:val="decimal"/>
      <w:lvlText w:val=""/>
      <w:lvlJc w:val="left"/>
    </w:lvl>
    <w:lvl w:ilvl="4" w:tplc="3EDA7EA4">
      <w:numFmt w:val="decimal"/>
      <w:lvlText w:val=""/>
      <w:lvlJc w:val="left"/>
    </w:lvl>
    <w:lvl w:ilvl="5" w:tplc="C5AC0A30">
      <w:numFmt w:val="decimal"/>
      <w:lvlText w:val=""/>
      <w:lvlJc w:val="left"/>
    </w:lvl>
    <w:lvl w:ilvl="6" w:tplc="3620E968">
      <w:numFmt w:val="decimal"/>
      <w:lvlText w:val=""/>
      <w:lvlJc w:val="left"/>
    </w:lvl>
    <w:lvl w:ilvl="7" w:tplc="E9B67074">
      <w:numFmt w:val="decimal"/>
      <w:lvlText w:val=""/>
      <w:lvlJc w:val="left"/>
    </w:lvl>
    <w:lvl w:ilvl="8" w:tplc="A5345026">
      <w:numFmt w:val="decimal"/>
      <w:lvlText w:val=""/>
      <w:lvlJc w:val="left"/>
    </w:lvl>
  </w:abstractNum>
  <w:abstractNum w:abstractNumId="4" w15:restartNumberingAfterBreak="0">
    <w:nsid w:val="2D263452"/>
    <w:multiLevelType w:val="multilevel"/>
    <w:tmpl w:val="4304572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righ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E4016CF"/>
    <w:multiLevelType w:val="hybridMultilevel"/>
    <w:tmpl w:val="8E9EA6D2"/>
    <w:lvl w:ilvl="0" w:tplc="41F0EADA">
      <w:start w:val="1"/>
      <w:numFmt w:val="bullet"/>
      <w:lvlText w:val="•"/>
      <w:lvlJc w:val="left"/>
      <w:pPr>
        <w:ind w:left="720" w:hanging="360"/>
      </w:pPr>
    </w:lvl>
    <w:lvl w:ilvl="1" w:tplc="356248AC">
      <w:numFmt w:val="decimal"/>
      <w:lvlText w:val=""/>
      <w:lvlJc w:val="left"/>
    </w:lvl>
    <w:lvl w:ilvl="2" w:tplc="50044014">
      <w:numFmt w:val="decimal"/>
      <w:lvlText w:val=""/>
      <w:lvlJc w:val="left"/>
    </w:lvl>
    <w:lvl w:ilvl="3" w:tplc="9C609688">
      <w:numFmt w:val="decimal"/>
      <w:lvlText w:val=""/>
      <w:lvlJc w:val="left"/>
    </w:lvl>
    <w:lvl w:ilvl="4" w:tplc="893C4CDA">
      <w:numFmt w:val="decimal"/>
      <w:lvlText w:val=""/>
      <w:lvlJc w:val="left"/>
    </w:lvl>
    <w:lvl w:ilvl="5" w:tplc="C4B013C6">
      <w:numFmt w:val="decimal"/>
      <w:lvlText w:val=""/>
      <w:lvlJc w:val="left"/>
    </w:lvl>
    <w:lvl w:ilvl="6" w:tplc="10AE30E2">
      <w:numFmt w:val="decimal"/>
      <w:lvlText w:val=""/>
      <w:lvlJc w:val="left"/>
    </w:lvl>
    <w:lvl w:ilvl="7" w:tplc="C5C217BC">
      <w:numFmt w:val="decimal"/>
      <w:lvlText w:val=""/>
      <w:lvlJc w:val="left"/>
    </w:lvl>
    <w:lvl w:ilvl="8" w:tplc="0B1A4846">
      <w:numFmt w:val="decimal"/>
      <w:lvlText w:val=""/>
      <w:lvlJc w:val="left"/>
    </w:lvl>
  </w:abstractNum>
  <w:abstractNum w:abstractNumId="6" w15:restartNumberingAfterBreak="0">
    <w:nsid w:val="47EA0E86"/>
    <w:multiLevelType w:val="hybridMultilevel"/>
    <w:tmpl w:val="9918A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60270C"/>
    <w:multiLevelType w:val="hybridMultilevel"/>
    <w:tmpl w:val="6CBA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48193E"/>
    <w:multiLevelType w:val="hybridMultilevel"/>
    <w:tmpl w:val="29FC32F6"/>
    <w:lvl w:ilvl="0" w:tplc="553C75B0">
      <w:start w:val="1"/>
      <w:numFmt w:val="bullet"/>
      <w:lvlText w:val="•"/>
      <w:lvlJc w:val="left"/>
      <w:pPr>
        <w:ind w:left="540" w:hanging="270"/>
      </w:pPr>
      <w:rPr>
        <w:color w:val="6C9EAB"/>
      </w:rPr>
    </w:lvl>
    <w:lvl w:ilvl="1" w:tplc="73B0AD68">
      <w:numFmt w:val="decimal"/>
      <w:lvlText w:val=""/>
      <w:lvlJc w:val="left"/>
    </w:lvl>
    <w:lvl w:ilvl="2" w:tplc="02F85824">
      <w:numFmt w:val="decimal"/>
      <w:lvlText w:val=""/>
      <w:lvlJc w:val="left"/>
    </w:lvl>
    <w:lvl w:ilvl="3" w:tplc="D124E27A">
      <w:numFmt w:val="decimal"/>
      <w:lvlText w:val=""/>
      <w:lvlJc w:val="left"/>
    </w:lvl>
    <w:lvl w:ilvl="4" w:tplc="F8E4050C">
      <w:numFmt w:val="decimal"/>
      <w:lvlText w:val=""/>
      <w:lvlJc w:val="left"/>
    </w:lvl>
    <w:lvl w:ilvl="5" w:tplc="031A3790">
      <w:numFmt w:val="decimal"/>
      <w:lvlText w:val=""/>
      <w:lvlJc w:val="left"/>
    </w:lvl>
    <w:lvl w:ilvl="6" w:tplc="1C2416CA">
      <w:numFmt w:val="decimal"/>
      <w:lvlText w:val=""/>
      <w:lvlJc w:val="left"/>
    </w:lvl>
    <w:lvl w:ilvl="7" w:tplc="9BE2B56A">
      <w:numFmt w:val="decimal"/>
      <w:lvlText w:val=""/>
      <w:lvlJc w:val="left"/>
    </w:lvl>
    <w:lvl w:ilvl="8" w:tplc="4950D130">
      <w:numFmt w:val="decimal"/>
      <w:lvlText w:val=""/>
      <w:lvlJc w:val="left"/>
    </w:lvl>
  </w:abstractNum>
  <w:abstractNum w:abstractNumId="9" w15:restartNumberingAfterBreak="0">
    <w:nsid w:val="792A00E3"/>
    <w:multiLevelType w:val="hybridMultilevel"/>
    <w:tmpl w:val="6AA4A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595D22"/>
    <w:multiLevelType w:val="hybridMultilevel"/>
    <w:tmpl w:val="3594F1E6"/>
    <w:lvl w:ilvl="0" w:tplc="8FFE733E">
      <w:start w:val="1"/>
      <w:numFmt w:val="bullet"/>
      <w:lvlText w:val="●"/>
      <w:lvlJc w:val="left"/>
      <w:pPr>
        <w:ind w:left="720" w:hanging="360"/>
      </w:pPr>
    </w:lvl>
    <w:lvl w:ilvl="1" w:tplc="82462E72">
      <w:start w:val="1"/>
      <w:numFmt w:val="bullet"/>
      <w:lvlText w:val="○"/>
      <w:lvlJc w:val="left"/>
      <w:pPr>
        <w:ind w:left="1440" w:hanging="360"/>
      </w:pPr>
    </w:lvl>
    <w:lvl w:ilvl="2" w:tplc="39920A08">
      <w:start w:val="1"/>
      <w:numFmt w:val="bullet"/>
      <w:lvlText w:val="■"/>
      <w:lvlJc w:val="left"/>
      <w:pPr>
        <w:ind w:left="2160" w:hanging="360"/>
      </w:pPr>
    </w:lvl>
    <w:lvl w:ilvl="3" w:tplc="37703582">
      <w:start w:val="1"/>
      <w:numFmt w:val="bullet"/>
      <w:lvlText w:val="●"/>
      <w:lvlJc w:val="left"/>
      <w:pPr>
        <w:ind w:left="2880" w:hanging="360"/>
      </w:pPr>
    </w:lvl>
    <w:lvl w:ilvl="4" w:tplc="24E48596">
      <w:start w:val="1"/>
      <w:numFmt w:val="bullet"/>
      <w:lvlText w:val="○"/>
      <w:lvlJc w:val="left"/>
      <w:pPr>
        <w:ind w:left="3600" w:hanging="360"/>
      </w:pPr>
    </w:lvl>
    <w:lvl w:ilvl="5" w:tplc="7278FBB4">
      <w:start w:val="1"/>
      <w:numFmt w:val="bullet"/>
      <w:lvlText w:val="■"/>
      <w:lvlJc w:val="left"/>
      <w:pPr>
        <w:ind w:left="4320" w:hanging="360"/>
      </w:pPr>
    </w:lvl>
    <w:lvl w:ilvl="6" w:tplc="F0127EC8">
      <w:start w:val="1"/>
      <w:numFmt w:val="bullet"/>
      <w:lvlText w:val="●"/>
      <w:lvlJc w:val="left"/>
      <w:pPr>
        <w:ind w:left="5040" w:hanging="360"/>
      </w:pPr>
    </w:lvl>
    <w:lvl w:ilvl="7" w:tplc="67522DE0">
      <w:start w:val="1"/>
      <w:numFmt w:val="bullet"/>
      <w:lvlText w:val="●"/>
      <w:lvlJc w:val="left"/>
      <w:pPr>
        <w:ind w:left="5760" w:hanging="360"/>
      </w:pPr>
    </w:lvl>
    <w:lvl w:ilvl="8" w:tplc="75AEFB32">
      <w:start w:val="1"/>
      <w:numFmt w:val="bullet"/>
      <w:lvlText w:val="●"/>
      <w:lvlJc w:val="left"/>
      <w:pPr>
        <w:ind w:left="6480" w:hanging="360"/>
      </w:pPr>
    </w:lvl>
  </w:abstractNum>
  <w:num w:numId="1" w16cid:durableId="1378776233">
    <w:abstractNumId w:val="10"/>
    <w:lvlOverride w:ilvl="0">
      <w:startOverride w:val="1"/>
    </w:lvlOverride>
  </w:num>
  <w:num w:numId="2" w16cid:durableId="1621374778">
    <w:abstractNumId w:val="2"/>
    <w:lvlOverride w:ilvl="0">
      <w:startOverride w:val="1"/>
    </w:lvlOverride>
  </w:num>
  <w:num w:numId="3" w16cid:durableId="1408921473">
    <w:abstractNumId w:val="8"/>
    <w:lvlOverride w:ilvl="0">
      <w:startOverride w:val="1"/>
    </w:lvlOverride>
  </w:num>
  <w:num w:numId="4" w16cid:durableId="1779834696">
    <w:abstractNumId w:val="3"/>
    <w:lvlOverride w:ilvl="0">
      <w:startOverride w:val="1"/>
    </w:lvlOverride>
  </w:num>
  <w:num w:numId="5" w16cid:durableId="204031198">
    <w:abstractNumId w:val="6"/>
  </w:num>
  <w:num w:numId="6" w16cid:durableId="211772542">
    <w:abstractNumId w:val="9"/>
  </w:num>
  <w:num w:numId="7" w16cid:durableId="1563903082">
    <w:abstractNumId w:val="7"/>
  </w:num>
  <w:num w:numId="8" w16cid:durableId="923488118">
    <w:abstractNumId w:val="5"/>
    <w:lvlOverride w:ilvl="0">
      <w:startOverride w:val="1"/>
    </w:lvlOverride>
  </w:num>
  <w:num w:numId="9" w16cid:durableId="1465463394">
    <w:abstractNumId w:val="1"/>
  </w:num>
  <w:num w:numId="10" w16cid:durableId="195197868">
    <w:abstractNumId w:val="4"/>
  </w:num>
  <w:num w:numId="11" w16cid:durableId="10245943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E7"/>
    <w:rsid w:val="001A77E7"/>
    <w:rsid w:val="00200D98"/>
    <w:rsid w:val="00427145"/>
    <w:rsid w:val="005F5D6E"/>
    <w:rsid w:val="007B464E"/>
    <w:rsid w:val="00833D82"/>
    <w:rsid w:val="008630A8"/>
    <w:rsid w:val="00B57ED3"/>
    <w:rsid w:val="00B75032"/>
    <w:rsid w:val="00BF5D5C"/>
    <w:rsid w:val="00C811CB"/>
    <w:rsid w:val="00CC2559"/>
    <w:rsid w:val="00CD4D73"/>
    <w:rsid w:val="00CE0E87"/>
    <w:rsid w:val="00DF197E"/>
    <w:rsid w:val="00F671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C311D"/>
  <w15:docId w15:val="{E2213A6C-1B49-C945-9F1E-C7E28791F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SimSun" w:hAnsi="Arial" w:cs="Arial"/>
        <w:color w:val="2527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rFonts w:ascii="Georgia" w:eastAsia="Georgia" w:hAnsi="Georgia" w:cs="Georgia"/>
      <w:b/>
      <w:bCs/>
      <w:sz w:val="36"/>
      <w:szCs w:val="36"/>
    </w:rPr>
  </w:style>
  <w:style w:type="paragraph" w:styleId="Heading2">
    <w:name w:val="heading 2"/>
    <w:uiPriority w:val="9"/>
    <w:unhideWhenUsed/>
    <w:qFormat/>
    <w:pPr>
      <w:spacing w:before="280" w:after="140"/>
      <w:outlineLvl w:val="1"/>
    </w:pPr>
    <w:rPr>
      <w:rFonts w:ascii="Georgia" w:eastAsia="Georgia" w:hAnsi="Georgia" w:cs="Georgia"/>
      <w:b/>
      <w:bCs/>
      <w:sz w:val="26"/>
      <w:szCs w:val="26"/>
    </w:rPr>
  </w:style>
  <w:style w:type="paragraph" w:styleId="Heading3">
    <w:name w:val="heading 3"/>
    <w:uiPriority w:val="9"/>
    <w:unhideWhenUsed/>
    <w:qFormat/>
    <w:pPr>
      <w:spacing w:before="200" w:after="100"/>
      <w:outlineLvl w:val="2"/>
    </w:pPr>
    <w:rPr>
      <w:b/>
      <w:bCs/>
      <w:color w:val="6C9EAB"/>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57ED3"/>
    <w:rPr>
      <w:color w:val="605E5C"/>
      <w:shd w:val="clear" w:color="auto" w:fill="E1DFDD"/>
    </w:rPr>
  </w:style>
  <w:style w:type="paragraph" w:styleId="ListBullet">
    <w:name w:val="List Bullet"/>
    <w:basedOn w:val="Normal"/>
    <w:uiPriority w:val="99"/>
    <w:unhideWhenUsed/>
    <w:rsid w:val="007B464E"/>
    <w:pPr>
      <w:numPr>
        <w:numId w:val="11"/>
      </w:numPr>
      <w:tabs>
        <w:tab w:val="clear" w:pos="360"/>
      </w:tabs>
      <w:spacing w:after="200" w:line="276" w:lineRule="auto"/>
      <w:ind w:left="0" w:firstLine="0"/>
      <w:contextualSpacing/>
    </w:pPr>
    <w:rPr>
      <w:rFonts w:ascii="Calibri" w:eastAsiaTheme="minorEastAsia" w:hAnsi="Calibri" w:cstheme="minorBidi"/>
      <w:sz w:val="22"/>
      <w:szCs w:val="22"/>
      <w:lang w:eastAsia="en-US"/>
    </w:rPr>
  </w:style>
  <w:style w:type="table" w:styleId="LightGrid-Accent1">
    <w:name w:val="Light Grid Accent 1"/>
    <w:basedOn w:val="TableNormal"/>
    <w:uiPriority w:val="62"/>
    <w:rsid w:val="007B464E"/>
    <w:rPr>
      <w:rFonts w:asciiTheme="minorHAnsi" w:eastAsiaTheme="minorEastAsia" w:hAnsiTheme="minorHAnsi" w:cstheme="minorBidi"/>
      <w:sz w:val="22"/>
      <w:szCs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finiti.lega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28BF4-7517-4197-9CAE-09E023FEA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32</Pages>
  <Words>17666</Words>
  <Characters>100701</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Pricing Proposal — CFN Lawyers</vt:lpstr>
    </vt:vector>
  </TitlesOfParts>
  <Company/>
  <LinksUpToDate>false</LinksUpToDate>
  <CharactersWithSpaces>118131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Pricing Proposal — CFN Lawyers</dc:title>
  <dc:creator>Quinn Liu, Finiti Legal Technologies</dc:creator>
  <dc:description>Confidential pricing proposal with NDA appendix for CFN Lawyers from Finiti Legal Technologies</dc:description>
  <cp:lastModifiedBy>Finiti AI</cp:lastModifiedBy>
  <cp:revision>3</cp:revision>
  <dcterms:created xsi:type="dcterms:W3CDTF">2026-07-07T10:51:00Z</dcterms:created>
  <dcterms:modified xsi:type="dcterms:W3CDTF">2026-07-07T11:08:00Z</dcterms:modified>
</cp:coreProperties>
</file>