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C56382" w14:textId="079BC2A4" w:rsidR="000F108B" w:rsidRDefault="00EE1AFE" w:rsidP="00235853">
      <w:r>
        <w:rPr>
          <w:noProof/>
        </w:rPr>
        <w:drawing>
          <wp:anchor distT="0" distB="0" distL="114300" distR="114300" simplePos="0" relativeHeight="251645947" behindDoc="0" locked="0" layoutInCell="1" allowOverlap="1" wp14:anchorId="60574DD3" wp14:editId="5C024B29">
            <wp:simplePos x="0" y="0"/>
            <wp:positionH relativeFrom="column">
              <wp:posOffset>-669925</wp:posOffset>
            </wp:positionH>
            <wp:positionV relativeFrom="paragraph">
              <wp:posOffset>-920750</wp:posOffset>
            </wp:positionV>
            <wp:extent cx="7629525" cy="11587480"/>
            <wp:effectExtent l="0" t="0" r="3175" b="0"/>
            <wp:wrapNone/>
            <wp:docPr id="560442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442808" name="Picture 560442808"/>
                    <pic:cNvPicPr/>
                  </pic:nvPicPr>
                  <pic:blipFill>
                    <a:blip r:embed="rId7">
                      <a:extLst>
                        <a:ext uri="{28A0092B-C50C-407E-A947-70E740481C1C}">
                          <a14:useLocalDpi xmlns:a14="http://schemas.microsoft.com/office/drawing/2010/main" val="0"/>
                        </a:ext>
                      </a:extLst>
                    </a:blip>
                    <a:stretch>
                      <a:fillRect/>
                    </a:stretch>
                  </pic:blipFill>
                  <pic:spPr>
                    <a:xfrm>
                      <a:off x="0" y="0"/>
                      <a:ext cx="7629525" cy="11587480"/>
                    </a:xfrm>
                    <a:prstGeom prst="rect">
                      <a:avLst/>
                    </a:prstGeom>
                  </pic:spPr>
                </pic:pic>
              </a:graphicData>
            </a:graphic>
            <wp14:sizeRelH relativeFrom="margin">
              <wp14:pctWidth>0</wp14:pctWidth>
            </wp14:sizeRelH>
            <wp14:sizeRelV relativeFrom="margin">
              <wp14:pctHeight>0</wp14:pctHeight>
            </wp14:sizeRelV>
          </wp:anchor>
        </w:drawing>
      </w:r>
      <w:r w:rsidR="00E23ACE">
        <w:rPr>
          <w:noProof/>
        </w:rPr>
        <mc:AlternateContent>
          <mc:Choice Requires="wpg">
            <w:drawing>
              <wp:anchor distT="0" distB="0" distL="114300" distR="114300" simplePos="0" relativeHeight="251677696" behindDoc="0" locked="0" layoutInCell="1" allowOverlap="1" wp14:anchorId="62F50521" wp14:editId="5774BE88">
                <wp:simplePos x="0" y="0"/>
                <wp:positionH relativeFrom="column">
                  <wp:posOffset>-746760</wp:posOffset>
                </wp:positionH>
                <wp:positionV relativeFrom="paragraph">
                  <wp:posOffset>-914400</wp:posOffset>
                </wp:positionV>
                <wp:extent cx="7692391" cy="10741025"/>
                <wp:effectExtent l="0" t="0" r="0" b="15875"/>
                <wp:wrapNone/>
                <wp:docPr id="78740683" name="Group 31"/>
                <wp:cNvGraphicFramePr/>
                <a:graphic xmlns:a="http://schemas.openxmlformats.org/drawingml/2006/main">
                  <a:graphicData uri="http://schemas.microsoft.com/office/word/2010/wordprocessingGroup">
                    <wpg:wgp>
                      <wpg:cNvGrpSpPr/>
                      <wpg:grpSpPr>
                        <a:xfrm>
                          <a:off x="0" y="0"/>
                          <a:ext cx="7692391" cy="10741025"/>
                          <a:chOff x="-73137" y="-181864"/>
                          <a:chExt cx="7692630" cy="10741152"/>
                        </a:xfrm>
                      </wpg:grpSpPr>
                      <wps:wsp>
                        <wps:cNvPr id="698615390" name="Rectangle 26"/>
                        <wps:cNvSpPr/>
                        <wps:spPr>
                          <a:xfrm>
                            <a:off x="-73137" y="-181864"/>
                            <a:ext cx="7619492" cy="10741152"/>
                          </a:xfrm>
                          <a:prstGeom prst="rect">
                            <a:avLst/>
                          </a:prstGeom>
                          <a:solidFill>
                            <a:schemeClr val="tx1">
                              <a:alpha val="19000"/>
                            </a:schemeClr>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A91EC1" w14:textId="77777777" w:rsidR="00F73151" w:rsidRDefault="00F73151" w:rsidP="00F731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621601" name="Text Box 27"/>
                        <wps:cNvSpPr txBox="1"/>
                        <wps:spPr>
                          <a:xfrm>
                            <a:off x="-73136" y="1901952"/>
                            <a:ext cx="7692629" cy="512064"/>
                          </a:xfrm>
                          <a:prstGeom prst="rect">
                            <a:avLst/>
                          </a:prstGeom>
                          <a:noFill/>
                          <a:ln w="6350">
                            <a:noFill/>
                          </a:ln>
                        </wps:spPr>
                        <wps:txbx>
                          <w:txbxContent>
                            <w:p w14:paraId="0923727F" w14:textId="026AD4DC" w:rsidR="001F059D" w:rsidRPr="009360C2" w:rsidRDefault="0080058C" w:rsidP="001C6A9D">
                              <w:pPr>
                                <w:pStyle w:val="Title"/>
                              </w:pPr>
                              <w:r>
                                <w:rPr>
                                  <w:i/>
                                  <w:iCs/>
                                </w:rPr>
                                <w:t xml:space="preserve">Hood v </w:t>
                              </w:r>
                              <w:r w:rsidR="00ED0087">
                                <w:rPr>
                                  <w:i/>
                                  <w:iCs/>
                                </w:rPr>
                                <w:t xml:space="preserve">Minister </w:t>
                              </w:r>
                              <w:r w:rsidR="009360C2">
                                <w:rPr>
                                  <w:i/>
                                  <w:iCs/>
                                </w:rPr>
                                <w:t xml:space="preserve">for Immigration </w:t>
                              </w:r>
                              <w:r w:rsidR="009360C2">
                                <w:t xml:space="preserve">[2025] </w:t>
                              </w:r>
                              <w:r w:rsidR="00C65D80">
                                <w:t>FCA 1336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844352" name="Straight Connector 27"/>
                        <wps:cNvCnPr/>
                        <wps:spPr>
                          <a:xfrm>
                            <a:off x="317019" y="1597660"/>
                            <a:ext cx="6913077"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76197336" name="Straight Connector 27"/>
                        <wps:cNvCnPr/>
                        <wps:spPr>
                          <a:xfrm>
                            <a:off x="317019" y="2682748"/>
                            <a:ext cx="691307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74965720" name="Text Box 27"/>
                        <wps:cNvSpPr txBox="1"/>
                        <wps:spPr>
                          <a:xfrm>
                            <a:off x="0" y="2950464"/>
                            <a:ext cx="7546340" cy="512064"/>
                          </a:xfrm>
                          <a:prstGeom prst="rect">
                            <a:avLst/>
                          </a:prstGeom>
                          <a:noFill/>
                          <a:ln w="6350">
                            <a:noFill/>
                          </a:ln>
                        </wps:spPr>
                        <wps:txbx>
                          <w:txbxContent>
                            <w:p w14:paraId="7B295F16" w14:textId="1768B547" w:rsidR="00262BED" w:rsidRPr="00262BED" w:rsidRDefault="00C65D80" w:rsidP="00235853">
                              <w:pPr>
                                <w:pStyle w:val="Subtitle"/>
                              </w:pPr>
                              <w:r>
                                <w:t>A case summary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2F50521" id="Group 31" o:spid="_x0000_s1026" style="position:absolute;margin-left:-58.8pt;margin-top:-1in;width:605.7pt;height:845.75pt;z-index:251677696;mso-width-relative:margin" coordorigin="-731,-1818" coordsize="76926,107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">
                <v:rect id="Rectangle 26" o:spid="_x0000_s1027" style="position:absolute;left:-731;top:-1818;width:76194;height:1074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" fillcolor="black [3213]" strokecolor="#030e13 [484]" strokeweight="1pt">
                  <v:fill opacity="12336f"/>
                  <v:textbox>
                    <w:txbxContent>
                      <w:p w14:paraId="39A91EC1" w14:textId="77777777" w:rsidR="00F73151" w:rsidRDefault="00F73151" w:rsidP="00F73151">
                        <w:pPr>
                          <w:jc w:val="center"/>
                        </w:pPr>
                      </w:p>
                    </w:txbxContent>
                  </v:textbox>
                </v:rect>
                <v:shapetype id="_x0000_t202" coordsize="21600,21600" o:spt="202" path="m,l,21600r21600,l21600,xe">
                  <v:stroke joinstyle="miter"/>
                  <v:path gradientshapeok="t" o:connecttype="rect"/>
                </v:shapetype>
                <v:shape id="_x0000_s1028" type="#_x0000_t202" style="position:absolute;left:-731;top:19019;width:76925;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" filled="f" stroked="f" strokeweight=".5pt">
                  <v:textbox>
                    <w:txbxContent>
                      <w:p w14:paraId="0923727F" w14:textId="026AD4DC" w:rsidR="001F059D" w:rsidRPr="009360C2" w:rsidRDefault="0080058C" w:rsidP="001C6A9D">
                        <w:pPr>
                          <w:pStyle w:val="Title"/>
                        </w:pPr>
                        <w:r>
                          <w:rPr>
                            <w:i/>
                            <w:iCs/>
                          </w:rPr>
                          <w:t xml:space="preserve">Hood v </w:t>
                        </w:r>
                        <w:r w:rsidR="00ED0087">
                          <w:rPr>
                            <w:i/>
                            <w:iCs/>
                          </w:rPr>
                          <w:t xml:space="preserve">Minister </w:t>
                        </w:r>
                        <w:r w:rsidR="009360C2">
                          <w:rPr>
                            <w:i/>
                            <w:iCs/>
                          </w:rPr>
                          <w:t xml:space="preserve">for Immigration </w:t>
                        </w:r>
                        <w:r w:rsidR="009360C2">
                          <w:t xml:space="preserve">[2025] </w:t>
                        </w:r>
                        <w:r w:rsidR="00C65D80">
                          <w:t>FCA 1336</w:t>
                        </w:r>
                      </w:p>
                    </w:txbxContent>
                  </v:textbox>
                </v:shape>
                <v:line id="Straight Connector 27" o:spid="_x0000_s1029" style="position:absolute;visibility:visible;mso-wrap-style:square" from="3170,15976" to="72300,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" strokecolor="white [3212]" strokeweight="2pt">
                  <v:stroke joinstyle="miter"/>
                </v:line>
                <v:line id="Straight Connector 27" o:spid="_x0000_s1030" style="position:absolute;visibility:visible;mso-wrap-style:square" from="3170,26827" to="72300,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" strokecolor="white [3212]" strokeweight="2pt">
                  <v:stroke joinstyle="miter"/>
                </v:line>
                <v:shape id="_x0000_s1031" type="#_x0000_t202" style="position:absolute;top:29504;width:75463;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" filled="f" stroked="f" strokeweight=".5pt">
                  <v:textbox>
                    <w:txbxContent>
                      <w:p w14:paraId="7B295F16" w14:textId="1768B547" w:rsidR="00262BED" w:rsidRPr="00262BED" w:rsidRDefault="00C65D80" w:rsidP="00235853">
                        <w:pPr>
                          <w:pStyle w:val="Subtitle"/>
                        </w:pPr>
                        <w:r>
                          <w:t>A case summary</w:t>
                        </w:r>
                      </w:p>
                    </w:txbxContent>
                  </v:textbox>
                </v:shape>
              </v:group>
            </w:pict>
          </mc:Fallback>
        </mc:AlternateContent>
      </w:r>
      <w:r w:rsidR="00E23ACE">
        <w:rPr>
          <w:noProof/>
        </w:rPr>
        <mc:AlternateContent>
          <mc:Choice Requires="wps">
            <w:drawing>
              <wp:anchor distT="0" distB="0" distL="114300" distR="114300" simplePos="0" relativeHeight="251685888" behindDoc="0" locked="0" layoutInCell="1" allowOverlap="1" wp14:anchorId="2612F2EA" wp14:editId="7C8F7065">
                <wp:simplePos x="0" y="0"/>
                <wp:positionH relativeFrom="column">
                  <wp:posOffset>4639075</wp:posOffset>
                </wp:positionH>
                <wp:positionV relativeFrom="paragraph">
                  <wp:posOffset>8597265</wp:posOffset>
                </wp:positionV>
                <wp:extent cx="2048256" cy="382397"/>
                <wp:effectExtent l="0" t="0" r="0" b="0"/>
                <wp:wrapNone/>
                <wp:docPr id="2036535871" name="Text Box 21"/>
                <wp:cNvGraphicFramePr/>
                <a:graphic xmlns:a="http://schemas.openxmlformats.org/drawingml/2006/main">
                  <a:graphicData uri="http://schemas.microsoft.com/office/word/2010/wordprocessingShape">
                    <wps:wsp>
                      <wps:cNvSpPr txBox="1"/>
                      <wps:spPr>
                        <a:xfrm>
                          <a:off x="0" y="0"/>
                          <a:ext cx="2048256" cy="382397"/>
                        </a:xfrm>
                        <a:prstGeom prst="rect">
                          <a:avLst/>
                        </a:prstGeom>
                        <a:noFill/>
                        <a:ln w="6350">
                          <a:noFill/>
                        </a:ln>
                      </wps:spPr>
                      <wps:txbx>
                        <w:txbxContent>
                          <w:p w14:paraId="27451D67" w14:textId="6A1B16E2" w:rsidR="00262BED" w:rsidRPr="00262BED" w:rsidRDefault="00262BED" w:rsidP="00235853">
                            <w:pPr>
                              <w:pStyle w:val="Subtitle"/>
                            </w:pPr>
                            <w:r w:rsidRPr="00262BED">
                              <w:t xml:space="preserve">Law Student Review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2F2EA" id="Text Box 21" o:spid="_x0000_s1032" type="#_x0000_t202" style="position:absolute;margin-left:365.3pt;margin-top:676.95pt;width:161.3pt;height:3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" filled="f" stroked="f" strokeweight=".5pt">
                <v:textbox>
                  <w:txbxContent>
                    <w:p w14:paraId="27451D67" w14:textId="6A1B16E2" w:rsidR="00262BED" w:rsidRPr="00262BED" w:rsidRDefault="00262BED" w:rsidP="00235853">
                      <w:pPr>
                        <w:pStyle w:val="Subtitle"/>
                      </w:pPr>
                      <w:r w:rsidRPr="00262BED">
                        <w:t xml:space="preserve">Law Student Review </w:t>
                      </w:r>
                    </w:p>
                  </w:txbxContent>
                </v:textbox>
              </v:shape>
            </w:pict>
          </mc:Fallback>
        </mc:AlternateContent>
      </w:r>
      <w:r w:rsidR="00E23ACE">
        <w:rPr>
          <w:noProof/>
        </w:rPr>
        <mc:AlternateContent>
          <mc:Choice Requires="wps">
            <w:drawing>
              <wp:anchor distT="0" distB="0" distL="114300" distR="114300" simplePos="0" relativeHeight="251684864" behindDoc="0" locked="0" layoutInCell="1" allowOverlap="1" wp14:anchorId="7A1C0EEE" wp14:editId="26FF2C93">
                <wp:simplePos x="0" y="0"/>
                <wp:positionH relativeFrom="column">
                  <wp:posOffset>-598552</wp:posOffset>
                </wp:positionH>
                <wp:positionV relativeFrom="paragraph">
                  <wp:posOffset>8594852</wp:posOffset>
                </wp:positionV>
                <wp:extent cx="2047875" cy="389890"/>
                <wp:effectExtent l="0" t="0" r="0" b="0"/>
                <wp:wrapNone/>
                <wp:docPr id="1600177898" name="Text Box 21"/>
                <wp:cNvGraphicFramePr/>
                <a:graphic xmlns:a="http://schemas.openxmlformats.org/drawingml/2006/main">
                  <a:graphicData uri="http://schemas.microsoft.com/office/word/2010/wordprocessingShape">
                    <wps:wsp>
                      <wps:cNvSpPr txBox="1"/>
                      <wps:spPr>
                        <a:xfrm>
                          <a:off x="0" y="0"/>
                          <a:ext cx="2047875" cy="389890"/>
                        </a:xfrm>
                        <a:prstGeom prst="rect">
                          <a:avLst/>
                        </a:prstGeom>
                        <a:noFill/>
                        <a:ln w="6350">
                          <a:noFill/>
                        </a:ln>
                      </wps:spPr>
                      <wps:txbx>
                        <w:txbxContent>
                          <w:p w14:paraId="3B17B765" w14:textId="531D5235" w:rsidR="000F108B" w:rsidRDefault="000F108B" w:rsidP="00C65D80">
                            <w:pPr>
                              <w:pStyle w:val="Subtitle"/>
                            </w:pPr>
                            <w:r w:rsidRPr="00262BED">
                              <w:t xml:space="preserve">By </w:t>
                            </w:r>
                            <w:r w:rsidR="009406AC">
                              <w:t xml:space="preserve">Sylvia </w:t>
                            </w:r>
                            <w:r w:rsidR="00697E2B">
                              <w:t>Hassarati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C0EEE" id="_x0000_s1033" type="#_x0000_t202" style="position:absolute;margin-left:-47.15pt;margin-top:676.75pt;width:161.25pt;height:30.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" filled="f" stroked="f" strokeweight=".5pt">
                <v:textbox>
                  <w:txbxContent>
                    <w:p w14:paraId="3B17B765" w14:textId="531D5235" w:rsidR="000F108B" w:rsidRDefault="000F108B" w:rsidP="00C65D80">
                      <w:pPr>
                        <w:pStyle w:val="Subtitle"/>
                      </w:pPr>
                      <w:r w:rsidRPr="00262BED">
                        <w:t xml:space="preserve">By </w:t>
                      </w:r>
                      <w:r w:rsidR="009406AC">
                        <w:t xml:space="preserve">Sylvia </w:t>
                      </w:r>
                      <w:proofErr w:type="spellStart"/>
                      <w:r w:rsidR="00697E2B">
                        <w:t>Hassarati</w:t>
                      </w:r>
                      <w:proofErr w:type="spellEnd"/>
                    </w:p>
                  </w:txbxContent>
                </v:textbox>
              </v:shape>
            </w:pict>
          </mc:Fallback>
        </mc:AlternateContent>
      </w:r>
      <w:r w:rsidR="007A4BF8">
        <w:rPr>
          <w:noProof/>
        </w:rPr>
        <mc:AlternateContent>
          <mc:Choice Requires="wps">
            <w:drawing>
              <wp:anchor distT="0" distB="0" distL="114300" distR="114300" simplePos="0" relativeHeight="251667456" behindDoc="0" locked="0" layoutInCell="1" allowOverlap="1" wp14:anchorId="7760C708" wp14:editId="15B218CC">
                <wp:simplePos x="0" y="0"/>
                <wp:positionH relativeFrom="column">
                  <wp:posOffset>-746760</wp:posOffset>
                </wp:positionH>
                <wp:positionV relativeFrom="paragraph">
                  <wp:posOffset>-914400</wp:posOffset>
                </wp:positionV>
                <wp:extent cx="7107428" cy="0"/>
                <wp:effectExtent l="0" t="12700" r="17780" b="12700"/>
                <wp:wrapNone/>
                <wp:docPr id="38297992" name="Straight Connector 27"/>
                <wp:cNvGraphicFramePr/>
                <a:graphic xmlns:a="http://schemas.openxmlformats.org/drawingml/2006/main">
                  <a:graphicData uri="http://schemas.microsoft.com/office/word/2010/wordprocessingShape">
                    <wps:wsp>
                      <wps:cNvCnPr/>
                      <wps:spPr>
                        <a:xfrm>
                          <a:off x="0" y="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26F7FF" id="Straight Connector 2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8pt,-1in" to="500.85pt,-1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" strokecolor="white [3212]" strokeweight="2pt">
                <v:stroke joinstyle="miter"/>
              </v:line>
            </w:pict>
          </mc:Fallback>
        </mc:AlternateContent>
      </w:r>
      <w:r w:rsidR="000F108B">
        <w:br w:type="page"/>
      </w:r>
    </w:p>
    <w:p w14:paraId="58624E8C" w14:textId="76326D65" w:rsidR="00850E58" w:rsidRPr="00850E58" w:rsidRDefault="001F059D" w:rsidP="00850E58">
      <w:pPr>
        <w:pStyle w:val="Heading1"/>
      </w:pPr>
      <w:r w:rsidRPr="00E23ACE">
        <w:lastRenderedPageBreak/>
        <w:t xml:space="preserve">I </w:t>
      </w:r>
      <w:r w:rsidR="00850E58">
        <w:t>CITATION AND CASE DETAILS</w:t>
      </w:r>
    </w:p>
    <w:p w14:paraId="4E6C34F7" w14:textId="77777777" w:rsidR="00850E58" w:rsidRPr="008064CA" w:rsidRDefault="00850E58" w:rsidP="00850E58">
      <w:pPr>
        <w:spacing w:before="240" w:line="276" w:lineRule="auto"/>
        <w:rPr>
          <w:rFonts w:eastAsia="Arial"/>
          <w:lang w:val="en-GB" w:eastAsia="en-GB"/>
        </w:rPr>
      </w:pPr>
      <w:r w:rsidRPr="008064CA">
        <w:rPr>
          <w:rFonts w:eastAsia="Arial"/>
          <w:lang w:val="en-GB" w:eastAsia="en-GB"/>
        </w:rPr>
        <w:t xml:space="preserve">In the case Hood v Minister </w:t>
      </w:r>
      <w:r w:rsidRPr="008064CA">
        <w:rPr>
          <w:rFonts w:eastAsia="Arial"/>
          <w:i/>
          <w:iCs/>
          <w:lang w:val="en-GB" w:eastAsia="en-GB"/>
        </w:rPr>
        <w:t>for Immigration</w:t>
      </w:r>
      <w:r w:rsidRPr="008064CA">
        <w:rPr>
          <w:rFonts w:eastAsia="Arial"/>
          <w:lang w:val="en-GB" w:eastAsia="en-GB"/>
        </w:rPr>
        <w:t xml:space="preserve"> [2025] FCA 1336, applicant David George Maclellan Hood applied for judicial review within the Federal Court of Australia concerning the respondent Assistant Minister for Immigration's decision, who personally exercised ministerial power under s 501BA of the</w:t>
      </w:r>
      <w:r w:rsidRPr="008064CA">
        <w:rPr>
          <w:rFonts w:eastAsia="Arial"/>
          <w:i/>
          <w:iCs/>
          <w:lang w:val="en-GB" w:eastAsia="en-GB"/>
        </w:rPr>
        <w:t xml:space="preserve"> Migration Act </w:t>
      </w:r>
      <w:r w:rsidRPr="008064CA">
        <w:rPr>
          <w:rFonts w:eastAsia="Arial"/>
          <w:lang w:val="en-GB" w:eastAsia="en-GB"/>
        </w:rPr>
        <w:t>1958</w:t>
      </w:r>
      <w:r w:rsidRPr="008064CA">
        <w:rPr>
          <w:rFonts w:eastAsia="Arial"/>
          <w:i/>
          <w:iCs/>
          <w:lang w:val="en-GB" w:eastAsia="en-GB"/>
        </w:rPr>
        <w:t xml:space="preserve"> </w:t>
      </w:r>
      <w:r w:rsidRPr="008064CA">
        <w:rPr>
          <w:rFonts w:eastAsia="Arial"/>
          <w:lang w:val="en-GB" w:eastAsia="en-GB"/>
        </w:rPr>
        <w:t>(</w:t>
      </w:r>
      <w:proofErr w:type="spellStart"/>
      <w:r w:rsidRPr="008064CA">
        <w:rPr>
          <w:rFonts w:eastAsia="Arial"/>
          <w:lang w:val="en-GB" w:eastAsia="en-GB"/>
        </w:rPr>
        <w:t>Cth</w:t>
      </w:r>
      <w:proofErr w:type="spellEnd"/>
      <w:r w:rsidRPr="008064CA">
        <w:rPr>
          <w:rFonts w:eastAsia="Arial"/>
          <w:lang w:val="en-GB" w:eastAsia="en-GB"/>
        </w:rPr>
        <w:t>) to cancel Hood's absorbed person visa, overriding the Administrative Appeals Tribunal (AAT) decision. The matter was heard by Kennett J as a single judge decision whereby all reasoning, ratio decidendi and obiter dicta derives solely from him.</w:t>
      </w:r>
    </w:p>
    <w:p w14:paraId="38D0BC02" w14:textId="4284797F" w:rsidR="00850E58" w:rsidRPr="00850E58" w:rsidRDefault="00850E58" w:rsidP="00850E58">
      <w:pPr>
        <w:jc w:val="center"/>
        <w:outlineLvl w:val="0"/>
        <w:rPr>
          <w:b/>
          <w:bCs/>
          <w:color w:val="000000" w:themeColor="text1"/>
          <w:sz w:val="28"/>
          <w:szCs w:val="28"/>
        </w:rPr>
      </w:pPr>
      <w:r w:rsidRPr="00850E58">
        <w:rPr>
          <w:b/>
          <w:bCs/>
          <w:color w:val="000000" w:themeColor="text1"/>
          <w:sz w:val="28"/>
          <w:szCs w:val="28"/>
        </w:rPr>
        <w:t>I</w:t>
      </w:r>
      <w:r>
        <w:rPr>
          <w:b/>
          <w:bCs/>
          <w:color w:val="000000" w:themeColor="text1"/>
          <w:sz w:val="28"/>
          <w:szCs w:val="28"/>
        </w:rPr>
        <w:t>I MATERIAL FACTS</w:t>
      </w:r>
    </w:p>
    <w:p w14:paraId="2283E571" w14:textId="4481D904" w:rsidR="00850E58" w:rsidRPr="00BA31E4" w:rsidRDefault="00850E58" w:rsidP="00850E58">
      <w:pPr>
        <w:spacing w:before="240" w:line="276" w:lineRule="auto"/>
        <w:rPr>
          <w:rFonts w:eastAsia="Arial"/>
          <w:lang w:val="en-GB" w:eastAsia="en-GB"/>
        </w:rPr>
      </w:pPr>
      <w:r w:rsidRPr="00BA31E4">
        <w:rPr>
          <w:rFonts w:eastAsia="Arial"/>
          <w:lang w:val="en-GB" w:eastAsia="en-GB"/>
        </w:rPr>
        <w:t xml:space="preserve">The Applicant David George Maclellan Hood, who was born in the United Kingdom in 1950, </w:t>
      </w:r>
      <w:proofErr w:type="gramStart"/>
      <w:r w:rsidRPr="00BA31E4">
        <w:rPr>
          <w:rFonts w:eastAsia="Arial"/>
          <w:lang w:val="en-GB" w:eastAsia="en-GB"/>
        </w:rPr>
        <w:t>and,</w:t>
      </w:r>
      <w:proofErr w:type="gramEnd"/>
      <w:r w:rsidRPr="00BA31E4">
        <w:rPr>
          <w:rFonts w:eastAsia="Arial"/>
          <w:lang w:val="en-GB" w:eastAsia="en-GB"/>
        </w:rPr>
        <w:t xml:space="preserve"> had resided in Australia since 1952, was granted by automatic operation of the law an absorbed visa in 1994 under legislation s 34 of the Migration Act 1958 (</w:t>
      </w:r>
      <w:proofErr w:type="spellStart"/>
      <w:r w:rsidRPr="00BA31E4">
        <w:rPr>
          <w:rFonts w:eastAsia="Arial"/>
          <w:lang w:val="en-GB" w:eastAsia="en-GB"/>
        </w:rPr>
        <w:t>Cth</w:t>
      </w:r>
      <w:proofErr w:type="spellEnd"/>
      <w:r w:rsidRPr="00BA31E4">
        <w:rPr>
          <w:rFonts w:eastAsia="Arial"/>
          <w:lang w:val="en-GB" w:eastAsia="en-GB"/>
        </w:rPr>
        <w:t xml:space="preserve">). However, </w:t>
      </w:r>
      <w:proofErr w:type="gramStart"/>
      <w:r w:rsidRPr="00BA31E4">
        <w:rPr>
          <w:rFonts w:eastAsia="Arial"/>
          <w:lang w:val="en-GB" w:eastAsia="en-GB"/>
        </w:rPr>
        <w:t>as a result of</w:t>
      </w:r>
      <w:proofErr w:type="gramEnd"/>
      <w:r w:rsidRPr="00BA31E4">
        <w:rPr>
          <w:rFonts w:eastAsia="Arial"/>
          <w:lang w:val="en-GB" w:eastAsia="en-GB"/>
        </w:rPr>
        <w:t xml:space="preserve"> Hood's later offences involving the supply of prohibited drugs in 2005 and 2017, he was consequently sentenced to an aggregate term of imprisonment of 8 years and 9 months. During this </w:t>
      </w:r>
      <w:r w:rsidR="00C70A63" w:rsidRPr="00BA31E4">
        <w:rPr>
          <w:rFonts w:eastAsia="Arial"/>
          <w:lang w:val="en-GB" w:eastAsia="en-GB"/>
        </w:rPr>
        <w:t>time,</w:t>
      </w:r>
      <w:r w:rsidRPr="00BA31E4">
        <w:rPr>
          <w:rFonts w:eastAsia="Arial"/>
          <w:lang w:val="en-GB" w:eastAsia="en-GB"/>
        </w:rPr>
        <w:t xml:space="preserve"> he was additionally sentenced to 3 years of imprisonment for an offence involving proceeds of a crime. According to section 501(3A), ministers must cancel someone's visa if they have been sentenced to a 'substantial criminal record'. </w:t>
      </w:r>
      <w:proofErr w:type="gramStart"/>
      <w:r w:rsidRPr="00BA31E4">
        <w:rPr>
          <w:rFonts w:eastAsia="Arial"/>
          <w:lang w:val="en-GB" w:eastAsia="en-GB"/>
        </w:rPr>
        <w:t>Subsequent to</w:t>
      </w:r>
      <w:proofErr w:type="gramEnd"/>
      <w:r w:rsidRPr="00BA31E4">
        <w:rPr>
          <w:rFonts w:eastAsia="Arial"/>
          <w:lang w:val="en-GB" w:eastAsia="en-GB"/>
        </w:rPr>
        <w:t xml:space="preserve"> this, Hood's conviction involving 8 years and 9 months resulted in a delegate of the Minister cancelling his visa under s 501(3A) on 22 </w:t>
      </w:r>
      <w:r w:rsidR="00C70A63" w:rsidRPr="00BA31E4">
        <w:rPr>
          <w:rFonts w:eastAsia="Arial"/>
          <w:lang w:val="en-GB" w:eastAsia="en-GB"/>
        </w:rPr>
        <w:t>March</w:t>
      </w:r>
      <w:r w:rsidRPr="00BA31E4">
        <w:rPr>
          <w:rFonts w:eastAsia="Arial"/>
          <w:lang w:val="en-GB" w:eastAsia="en-GB"/>
        </w:rPr>
        <w:t xml:space="preserve"> 2019. Hood requested a revocation under s 501CA of the Act, whereby a delegate dismissed this request to revoke the cancellation of Hoods absorbed visa under s 501</w:t>
      </w:r>
      <w:proofErr w:type="gramStart"/>
      <w:r w:rsidRPr="00BA31E4">
        <w:rPr>
          <w:rFonts w:eastAsia="Arial"/>
          <w:lang w:val="en-GB" w:eastAsia="en-GB"/>
        </w:rPr>
        <w:t>CA(</w:t>
      </w:r>
      <w:proofErr w:type="gramEnd"/>
      <w:r w:rsidRPr="00BA31E4">
        <w:rPr>
          <w:rFonts w:eastAsia="Arial"/>
          <w:lang w:val="en-GB" w:eastAsia="en-GB"/>
        </w:rPr>
        <w:t xml:space="preserve">4). </w:t>
      </w:r>
    </w:p>
    <w:p w14:paraId="3905D4E0" w14:textId="713B40A0" w:rsidR="00850E58" w:rsidRPr="008064CA" w:rsidRDefault="00850E58" w:rsidP="00850E58">
      <w:pPr>
        <w:spacing w:before="240" w:line="276" w:lineRule="auto"/>
        <w:rPr>
          <w:rFonts w:eastAsia="Arial"/>
          <w:sz w:val="22"/>
          <w:szCs w:val="22"/>
          <w:lang w:val="en-GB" w:eastAsia="en-GB"/>
        </w:rPr>
      </w:pPr>
      <w:r w:rsidRPr="00BA31E4">
        <w:rPr>
          <w:rFonts w:eastAsia="Arial"/>
          <w:lang w:val="en-GB" w:eastAsia="en-GB"/>
        </w:rPr>
        <w:t xml:space="preserve">However, Hood challenged this outcome with the Administrative Appeals Tribunal (AAT), which upon review set aside the delegates decision and decided to revoke the cancellation of the </w:t>
      </w:r>
      <w:r w:rsidR="00C70A63" w:rsidRPr="00BA31E4">
        <w:rPr>
          <w:rFonts w:eastAsia="Arial"/>
          <w:lang w:val="en-GB" w:eastAsia="en-GB"/>
        </w:rPr>
        <w:t>applicant’s</w:t>
      </w:r>
      <w:r w:rsidRPr="00BA31E4">
        <w:rPr>
          <w:rFonts w:eastAsia="Arial"/>
          <w:lang w:val="en-GB" w:eastAsia="en-GB"/>
        </w:rPr>
        <w:t xml:space="preserve"> visa on 13 March 2020. On 9 December 2024 the assistant </w:t>
      </w:r>
      <w:r w:rsidR="00C70A63" w:rsidRPr="00BA31E4">
        <w:rPr>
          <w:rFonts w:eastAsia="Arial"/>
          <w:lang w:val="en-GB" w:eastAsia="en-GB"/>
        </w:rPr>
        <w:t>minister</w:t>
      </w:r>
      <w:r w:rsidRPr="00BA31E4">
        <w:rPr>
          <w:rFonts w:eastAsia="Arial"/>
          <w:lang w:val="en-GB" w:eastAsia="en-GB"/>
        </w:rPr>
        <w:t xml:space="preserve"> for immigration decided to exercise ministerial power in act s 501</w:t>
      </w:r>
      <w:proofErr w:type="gramStart"/>
      <w:r w:rsidRPr="00BA31E4">
        <w:rPr>
          <w:rFonts w:eastAsia="Arial"/>
          <w:lang w:val="en-GB" w:eastAsia="en-GB"/>
        </w:rPr>
        <w:t>BA(</w:t>
      </w:r>
      <w:proofErr w:type="gramEnd"/>
      <w:r w:rsidRPr="00BA31E4">
        <w:rPr>
          <w:rFonts w:eastAsia="Arial"/>
          <w:lang w:val="en-GB" w:eastAsia="en-GB"/>
        </w:rPr>
        <w:t>2) to override the AAT decision and cancel the visa. Applicant Hood applied for an extension of time to seek review regarding this decision on 19 February 2025, however due to the missed legal deadline of 37 days to challenge a ministerial decision provided for in s 477</w:t>
      </w:r>
      <w:proofErr w:type="gramStart"/>
      <w:r w:rsidRPr="00BA31E4">
        <w:rPr>
          <w:rFonts w:eastAsia="Arial"/>
          <w:lang w:val="en-GB" w:eastAsia="en-GB"/>
        </w:rPr>
        <w:t>A(</w:t>
      </w:r>
      <w:proofErr w:type="gramEnd"/>
      <w:r w:rsidRPr="00BA31E4">
        <w:rPr>
          <w:rFonts w:eastAsia="Arial"/>
          <w:lang w:val="en-GB" w:eastAsia="en-GB"/>
        </w:rPr>
        <w:t>1) of the Act, Hood had to acquire permission to file his case late first, which the Federal Court permitted</w:t>
      </w:r>
      <w:r w:rsidRPr="008064CA">
        <w:rPr>
          <w:rFonts w:eastAsia="Arial"/>
          <w:sz w:val="22"/>
          <w:szCs w:val="22"/>
          <w:lang w:val="en-GB" w:eastAsia="en-GB"/>
        </w:rPr>
        <w:t>.</w:t>
      </w:r>
    </w:p>
    <w:p w14:paraId="1F26C0BD" w14:textId="0E097963" w:rsidR="00850E58" w:rsidRPr="00850E58" w:rsidRDefault="00850E58" w:rsidP="00850E58">
      <w:pPr>
        <w:jc w:val="center"/>
        <w:outlineLvl w:val="0"/>
        <w:rPr>
          <w:b/>
          <w:bCs/>
          <w:color w:val="000000" w:themeColor="text1"/>
          <w:sz w:val="28"/>
          <w:szCs w:val="28"/>
        </w:rPr>
      </w:pPr>
      <w:r w:rsidRPr="00850E58">
        <w:rPr>
          <w:b/>
          <w:bCs/>
          <w:color w:val="000000" w:themeColor="text1"/>
          <w:sz w:val="28"/>
          <w:szCs w:val="28"/>
        </w:rPr>
        <w:t>I</w:t>
      </w:r>
      <w:r>
        <w:rPr>
          <w:b/>
          <w:bCs/>
          <w:color w:val="000000" w:themeColor="text1"/>
          <w:sz w:val="28"/>
          <w:szCs w:val="28"/>
        </w:rPr>
        <w:t>II LEGAL ISSUES AND RELEVANT LAW</w:t>
      </w:r>
    </w:p>
    <w:p w14:paraId="1E3EBEE7" w14:textId="44195916" w:rsidR="00850E58" w:rsidRPr="00BA31E4" w:rsidRDefault="00850E58" w:rsidP="00850E58">
      <w:pPr>
        <w:spacing w:before="240" w:line="276" w:lineRule="auto"/>
        <w:rPr>
          <w:rFonts w:eastAsia="Arial"/>
          <w:lang w:val="en-GB" w:eastAsia="en-GB"/>
        </w:rPr>
      </w:pPr>
      <w:r w:rsidRPr="00BA31E4">
        <w:rPr>
          <w:rFonts w:eastAsia="Arial"/>
          <w:lang w:val="en-GB" w:eastAsia="en-GB"/>
        </w:rPr>
        <w:t>The central legal issue in this case is whether the Assistant Minister for immigration lawfully exercised ministerial power under s 501BA of the Migration Act 1958 (</w:t>
      </w:r>
      <w:proofErr w:type="spellStart"/>
      <w:r w:rsidRPr="00BA31E4">
        <w:rPr>
          <w:rFonts w:eastAsia="Arial"/>
          <w:lang w:val="en-GB" w:eastAsia="en-GB"/>
        </w:rPr>
        <w:t>Cth</w:t>
      </w:r>
      <w:proofErr w:type="spellEnd"/>
      <w:r w:rsidRPr="00BA31E4">
        <w:rPr>
          <w:rFonts w:eastAsia="Arial"/>
          <w:lang w:val="en-GB" w:eastAsia="en-GB"/>
        </w:rPr>
        <w:t xml:space="preserve">), which permits the Minister to set aside the tribunal decision, in this case the AAT, and cancel a visa when a person fails the character test and cancellation is in the national interest, whereby no natural justice obligations apply to the decision. This issue alongside relevant laws concerned can be seen in the </w:t>
      </w:r>
      <w:proofErr w:type="gramStart"/>
      <w:r w:rsidRPr="00BA31E4">
        <w:rPr>
          <w:rFonts w:eastAsia="Arial"/>
          <w:lang w:val="en-GB" w:eastAsia="en-GB"/>
        </w:rPr>
        <w:t>applicants</w:t>
      </w:r>
      <w:proofErr w:type="gramEnd"/>
      <w:r w:rsidRPr="00BA31E4">
        <w:rPr>
          <w:rFonts w:eastAsia="Arial"/>
          <w:lang w:val="en-GB" w:eastAsia="en-GB"/>
        </w:rPr>
        <w:t xml:space="preserve"> ground of </w:t>
      </w:r>
      <w:r w:rsidR="00C70A63" w:rsidRPr="00BA31E4">
        <w:rPr>
          <w:rFonts w:eastAsia="Arial"/>
          <w:lang w:val="en-GB" w:eastAsia="en-GB"/>
        </w:rPr>
        <w:t>review. The</w:t>
      </w:r>
      <w:r w:rsidRPr="00BA31E4">
        <w:rPr>
          <w:rFonts w:eastAsia="Arial"/>
          <w:lang w:val="en-GB" w:eastAsia="en-GB"/>
        </w:rPr>
        <w:t xml:space="preserve"> first ground being </w:t>
      </w:r>
      <w:proofErr w:type="gramStart"/>
      <w:r w:rsidRPr="00BA31E4">
        <w:rPr>
          <w:rFonts w:eastAsia="Arial"/>
          <w:lang w:val="en-GB" w:eastAsia="en-GB"/>
        </w:rPr>
        <w:t>whether or not</w:t>
      </w:r>
      <w:proofErr w:type="gramEnd"/>
      <w:r w:rsidRPr="00BA31E4">
        <w:rPr>
          <w:rFonts w:eastAsia="Arial"/>
          <w:lang w:val="en-GB" w:eastAsia="en-GB"/>
        </w:rPr>
        <w:t xml:space="preserve"> the power under s 501BA was lawful for the Assistant Minister to override the decision made by the AAT provided that the AAT had been abolished and replaced by the Administrative Review Tribunal (ART) during this time. Specifically, s 501BA requires the ministerial override authority to be directed at a decision made by the ART, raising the issue of if it still applies to an AAT decision. The second ground regards whether the </w:t>
      </w:r>
      <w:r w:rsidRPr="00BA31E4">
        <w:rPr>
          <w:rFonts w:eastAsia="Arial"/>
          <w:lang w:val="en-GB" w:eastAsia="en-GB"/>
        </w:rPr>
        <w:lastRenderedPageBreak/>
        <w:t xml:space="preserve">ministerial power under s 501BA (2) had expired, which requires the Minister to exercise power within a reasonable time after the original tribunal decision, or risking losing that power entirely given the delay of 4 years and 9 months. The third ground concerns whether the respondent or his predecessors had previously </w:t>
      </w:r>
      <w:proofErr w:type="gramStart"/>
      <w:r w:rsidRPr="00BA31E4">
        <w:rPr>
          <w:rFonts w:eastAsia="Arial"/>
          <w:lang w:val="en-GB" w:eastAsia="en-GB"/>
        </w:rPr>
        <w:t>made a decision</w:t>
      </w:r>
      <w:proofErr w:type="gramEnd"/>
      <w:r w:rsidRPr="00BA31E4">
        <w:rPr>
          <w:rFonts w:eastAsia="Arial"/>
          <w:lang w:val="en-GB" w:eastAsia="en-GB"/>
        </w:rPr>
        <w:t xml:space="preserve"> to not cancel the visa following the AAT decision, as a result removing the authority to later act. Though, this ground had not been pressed at the hearing. </w:t>
      </w:r>
    </w:p>
    <w:p w14:paraId="682E78E2" w14:textId="77777777" w:rsidR="00850E58" w:rsidRPr="00BA31E4" w:rsidRDefault="00850E58" w:rsidP="00850E58">
      <w:pPr>
        <w:spacing w:before="240" w:line="276" w:lineRule="auto"/>
        <w:rPr>
          <w:rFonts w:eastAsia="Arial"/>
          <w:lang w:val="en-GB" w:eastAsia="en-GB"/>
        </w:rPr>
      </w:pPr>
      <w:r w:rsidRPr="00BA31E4">
        <w:rPr>
          <w:rFonts w:eastAsia="Arial"/>
          <w:lang w:val="en-GB" w:eastAsia="en-GB"/>
        </w:rPr>
        <w:t>The fourth ground regards whether the ministerial power under s 501BA (2) was legally unreasonable given the extended delay of nearly 4 years and 9 months. Particularly, under the principle of legal unreasonableness, a decision may be invalidated where it lacks "evident and intelligible justification".</w:t>
      </w:r>
    </w:p>
    <w:p w14:paraId="342A1998" w14:textId="6624A1FF" w:rsidR="00850E58" w:rsidRPr="00850E58" w:rsidRDefault="00850E58" w:rsidP="00850E58">
      <w:pPr>
        <w:jc w:val="center"/>
        <w:outlineLvl w:val="0"/>
        <w:rPr>
          <w:b/>
          <w:bCs/>
          <w:color w:val="000000" w:themeColor="text1"/>
          <w:sz w:val="28"/>
          <w:szCs w:val="28"/>
        </w:rPr>
      </w:pPr>
      <w:r w:rsidRPr="00850E58">
        <w:rPr>
          <w:b/>
          <w:bCs/>
          <w:color w:val="000000" w:themeColor="text1"/>
          <w:sz w:val="28"/>
          <w:szCs w:val="28"/>
        </w:rPr>
        <w:t>I</w:t>
      </w:r>
      <w:r>
        <w:rPr>
          <w:b/>
          <w:bCs/>
          <w:color w:val="000000" w:themeColor="text1"/>
          <w:sz w:val="28"/>
          <w:szCs w:val="28"/>
        </w:rPr>
        <w:t>V DECISION</w:t>
      </w:r>
    </w:p>
    <w:p w14:paraId="130AA14E" w14:textId="77777777" w:rsidR="00850E58" w:rsidRPr="00BA31E4" w:rsidRDefault="00850E58" w:rsidP="00850E58">
      <w:pPr>
        <w:spacing w:before="240" w:line="276" w:lineRule="auto"/>
        <w:rPr>
          <w:rFonts w:eastAsia="Arial"/>
          <w:lang w:val="en-GB" w:eastAsia="en-GB"/>
        </w:rPr>
      </w:pPr>
      <w:r w:rsidRPr="00BA31E4">
        <w:rPr>
          <w:rFonts w:eastAsia="Arial"/>
          <w:lang w:val="en-GB" w:eastAsia="en-GB"/>
        </w:rPr>
        <w:t xml:space="preserve">The decision by the Federal Court (Kennett J) granted an order of certiorari which quashed the Assistant Ministers decision </w:t>
      </w:r>
      <w:proofErr w:type="gramStart"/>
      <w:r w:rsidRPr="00BA31E4">
        <w:rPr>
          <w:rFonts w:eastAsia="Arial"/>
          <w:lang w:val="en-GB" w:eastAsia="en-GB"/>
        </w:rPr>
        <w:t>in</w:t>
      </w:r>
      <w:proofErr w:type="gramEnd"/>
      <w:r w:rsidRPr="00BA31E4">
        <w:rPr>
          <w:rFonts w:eastAsia="Arial"/>
          <w:lang w:val="en-GB" w:eastAsia="en-GB"/>
        </w:rPr>
        <w:t xml:space="preserve"> 9 December 2024 as the court found that the ministerial power under s 501BA had expired due to the unreasonable delay of 9 years and 4 months.</w:t>
      </w:r>
    </w:p>
    <w:p w14:paraId="19DAE336" w14:textId="0ECA4616" w:rsidR="00850E58" w:rsidRPr="00850E58" w:rsidRDefault="00850E58" w:rsidP="00850E58">
      <w:pPr>
        <w:jc w:val="center"/>
        <w:outlineLvl w:val="0"/>
        <w:rPr>
          <w:b/>
          <w:bCs/>
          <w:color w:val="000000" w:themeColor="text1"/>
          <w:sz w:val="28"/>
          <w:szCs w:val="28"/>
        </w:rPr>
      </w:pPr>
      <w:r>
        <w:rPr>
          <w:b/>
          <w:bCs/>
          <w:color w:val="000000" w:themeColor="text1"/>
          <w:sz w:val="28"/>
          <w:szCs w:val="28"/>
        </w:rPr>
        <w:t>V RATIO DECINDENDI</w:t>
      </w:r>
    </w:p>
    <w:p w14:paraId="7D4B5918" w14:textId="77777777" w:rsidR="00850E58" w:rsidRPr="00BA31E4" w:rsidRDefault="00850E58" w:rsidP="00850E58">
      <w:pPr>
        <w:spacing w:before="240" w:line="276" w:lineRule="auto"/>
        <w:rPr>
          <w:rFonts w:eastAsia="Arial"/>
          <w:lang w:val="en-GB" w:eastAsia="en-GB"/>
        </w:rPr>
      </w:pPr>
      <w:r w:rsidRPr="00BA31E4">
        <w:rPr>
          <w:rFonts w:eastAsia="Arial"/>
          <w:lang w:val="en-GB" w:eastAsia="en-GB"/>
        </w:rPr>
        <w:t xml:space="preserve">The ratio decidendi is founded on applicant Hood's second ground of review, which alleges that it is implicit in s 501BA the power exercised by a Minister "expires or ceases to be available if not exercised within a reasonable time". It is the ratio because it is the only ground which the court decided in Hoods favour and based its outcome on. On the facts, the court held that the delay of 4 years and 9 months exceeded a reasonable time. The Governments argument for resource constraints to justify this delay was rejected, as the court held that resource constraints are </w:t>
      </w:r>
      <w:proofErr w:type="gramStart"/>
      <w:r w:rsidRPr="00BA31E4">
        <w:rPr>
          <w:rFonts w:eastAsia="Arial"/>
          <w:lang w:val="en-GB" w:eastAsia="en-GB"/>
        </w:rPr>
        <w:t>to a large extent</w:t>
      </w:r>
      <w:proofErr w:type="gramEnd"/>
      <w:r w:rsidRPr="00BA31E4">
        <w:rPr>
          <w:rFonts w:eastAsia="Arial"/>
          <w:lang w:val="en-GB" w:eastAsia="en-GB"/>
        </w:rPr>
        <w:t xml:space="preserve"> the "consequence of decisions about priorities" rather than "inviolable limitations". This is the ratio because it is the ground decided upon in the applicants favour whereby the Assistant Ministers decision was quashed.</w:t>
      </w:r>
    </w:p>
    <w:p w14:paraId="34B1EAB5" w14:textId="43C9856F" w:rsidR="00850E58" w:rsidRPr="00850E58" w:rsidRDefault="00850E58" w:rsidP="00850E58">
      <w:pPr>
        <w:jc w:val="center"/>
        <w:outlineLvl w:val="0"/>
        <w:rPr>
          <w:b/>
          <w:bCs/>
          <w:color w:val="000000" w:themeColor="text1"/>
          <w:sz w:val="28"/>
          <w:szCs w:val="28"/>
        </w:rPr>
      </w:pPr>
      <w:r>
        <w:rPr>
          <w:b/>
          <w:bCs/>
          <w:color w:val="000000" w:themeColor="text1"/>
          <w:sz w:val="28"/>
          <w:szCs w:val="28"/>
        </w:rPr>
        <w:t>VI IMPORTANT OBITER</w:t>
      </w:r>
    </w:p>
    <w:p w14:paraId="7AD051B3" w14:textId="0EF3354E" w:rsidR="00850E58" w:rsidRPr="008228E8" w:rsidRDefault="00850E58" w:rsidP="00850E58">
      <w:pPr>
        <w:spacing w:before="240" w:line="276" w:lineRule="auto"/>
        <w:rPr>
          <w:rFonts w:eastAsia="Arial"/>
          <w:lang w:val="en-GB" w:eastAsia="en-GB"/>
        </w:rPr>
      </w:pPr>
      <w:r w:rsidRPr="008228E8">
        <w:rPr>
          <w:rFonts w:eastAsia="Arial"/>
          <w:lang w:val="en-GB" w:eastAsia="en-GB"/>
        </w:rPr>
        <w:t xml:space="preserve">The important obiter dicta can be found in Hood's first and fourth ground of review. Ground three is not considered orbiter as it was ultimately not </w:t>
      </w:r>
      <w:r w:rsidR="00C70A63" w:rsidRPr="008228E8">
        <w:rPr>
          <w:rFonts w:eastAsia="Arial"/>
          <w:lang w:val="en-GB" w:eastAsia="en-GB"/>
        </w:rPr>
        <w:t>pressed. The</w:t>
      </w:r>
      <w:r w:rsidRPr="008228E8">
        <w:rPr>
          <w:rFonts w:eastAsia="Arial"/>
          <w:lang w:val="en-GB" w:eastAsia="en-GB"/>
        </w:rPr>
        <w:t xml:space="preserve"> first ground of review, concerning whether or not the power under s 501BA was lawful for the Assistant Minister to override the decision made by the AAT provided that the AAT had been abolished and replaced by the Administrative Review Tribunal (ART) was necessary to establish that the power existed at all, hence its importance, despite that it did not determine the final decision. The court reached this through reading item 26 of Schedule 16 of the Traditional act in its plain terms, which treated anything done by the AAT as if it had been done by ART under new </w:t>
      </w:r>
      <w:r w:rsidR="00C70A63" w:rsidRPr="008228E8">
        <w:rPr>
          <w:rFonts w:eastAsia="Arial"/>
          <w:lang w:val="en-GB" w:eastAsia="en-GB"/>
        </w:rPr>
        <w:t>legislation. The</w:t>
      </w:r>
      <w:r w:rsidRPr="008228E8">
        <w:rPr>
          <w:rFonts w:eastAsia="Arial"/>
          <w:lang w:val="en-GB" w:eastAsia="en-GB"/>
        </w:rPr>
        <w:t xml:space="preserve"> fourth ground of review, which concerns whether the ministerial power under 501BA was legally unreasonable is important orbiter dicta as it provides important guidance for future cases regarding the limits of legal </w:t>
      </w:r>
      <w:r w:rsidR="00C70A63" w:rsidRPr="008228E8">
        <w:rPr>
          <w:rFonts w:eastAsia="Arial"/>
          <w:lang w:val="en-GB" w:eastAsia="en-GB"/>
        </w:rPr>
        <w:t>unreasonable</w:t>
      </w:r>
      <w:r w:rsidRPr="008228E8">
        <w:rPr>
          <w:rFonts w:eastAsia="Arial"/>
          <w:lang w:val="en-GB" w:eastAsia="en-GB"/>
        </w:rPr>
        <w:t>. Kennet J stated that it was "not strictly necessary to address ground 4"as Hood had already succeeded on ground 2, however, the judge addressed it regardless and found that even if the power had not expired, Hood would have lost on legal unreasonableness.</w:t>
      </w:r>
    </w:p>
    <w:p w14:paraId="3A28EF3D" w14:textId="4735C4C0" w:rsidR="00850E58" w:rsidRPr="00850E58" w:rsidRDefault="00850E58" w:rsidP="00850E58">
      <w:pPr>
        <w:jc w:val="center"/>
        <w:outlineLvl w:val="0"/>
        <w:rPr>
          <w:b/>
          <w:bCs/>
          <w:color w:val="000000" w:themeColor="text1"/>
          <w:sz w:val="28"/>
          <w:szCs w:val="28"/>
        </w:rPr>
      </w:pPr>
      <w:r>
        <w:rPr>
          <w:b/>
          <w:bCs/>
          <w:color w:val="000000" w:themeColor="text1"/>
          <w:sz w:val="28"/>
          <w:szCs w:val="28"/>
        </w:rPr>
        <w:lastRenderedPageBreak/>
        <w:t>VII COMMENTARY</w:t>
      </w:r>
    </w:p>
    <w:p w14:paraId="0AB4A3C1" w14:textId="4372B783" w:rsidR="00850E58" w:rsidRPr="008228E8" w:rsidRDefault="00850E58" w:rsidP="00850E58">
      <w:pPr>
        <w:spacing w:before="240" w:line="276" w:lineRule="auto"/>
        <w:rPr>
          <w:rFonts w:eastAsia="Arial"/>
          <w:lang w:val="en-GB" w:eastAsia="en-GB"/>
        </w:rPr>
      </w:pPr>
      <w:r w:rsidRPr="008228E8">
        <w:rPr>
          <w:rFonts w:eastAsia="Arial"/>
          <w:lang w:val="en-GB" w:eastAsia="en-GB"/>
        </w:rPr>
        <w:t xml:space="preserve">The decision of Kennett J in the Federal Court of Australia to grant an order of certiorari to quash the Assistant Ministers decision </w:t>
      </w:r>
      <w:proofErr w:type="gramStart"/>
      <w:r w:rsidRPr="008228E8">
        <w:rPr>
          <w:rFonts w:eastAsia="Arial"/>
          <w:lang w:val="en-GB" w:eastAsia="en-GB"/>
        </w:rPr>
        <w:t>in</w:t>
      </w:r>
      <w:proofErr w:type="gramEnd"/>
      <w:r w:rsidRPr="008228E8">
        <w:rPr>
          <w:rFonts w:eastAsia="Arial"/>
          <w:lang w:val="en-GB" w:eastAsia="en-GB"/>
        </w:rPr>
        <w:t xml:space="preserve"> 9 December 2024 and restore Hood's absorbed person visa is a just and ideal outcome </w:t>
      </w:r>
      <w:r w:rsidR="00C70A63" w:rsidRPr="008228E8">
        <w:rPr>
          <w:rFonts w:eastAsia="Arial"/>
          <w:lang w:val="en-GB" w:eastAsia="en-GB"/>
        </w:rPr>
        <w:t>in regard to</w:t>
      </w:r>
      <w:r w:rsidRPr="008228E8">
        <w:rPr>
          <w:rFonts w:eastAsia="Arial"/>
          <w:lang w:val="en-GB" w:eastAsia="en-GB"/>
        </w:rPr>
        <w:t xml:space="preserve"> its social and legal significance because it effectively reflects current Australian values of justice and fairness, whilst also setting the tone for future case decisions. To begin with, Hood's background of residing in Australia since the age of two years old and remaining within the country for the rest of his life connects deeply to the concept of an absorbed visa itself, under the Migration Act </w:t>
      </w:r>
      <w:r w:rsidR="00C70A63" w:rsidRPr="008228E8">
        <w:rPr>
          <w:rFonts w:eastAsia="Arial"/>
          <w:lang w:val="en-GB" w:eastAsia="en-GB"/>
        </w:rPr>
        <w:t>1958,</w:t>
      </w:r>
      <w:r w:rsidRPr="008228E8">
        <w:rPr>
          <w:rFonts w:eastAsia="Arial"/>
          <w:lang w:val="en-GB" w:eastAsia="en-GB"/>
        </w:rPr>
        <w:t xml:space="preserve"> whereby Hood has been absorbed and integrated into Australian culture. To force Hood to re-establish his life into a foreign country with an Australian Education and Australian culture is against Australian principles and is ultimately a form of unnecessary and extreme punishment. Additionally, Hood is capable of change and unlikely to reoffend, which the legal system acknowledged when Kennett J granted certiorari, reflecting justice within Australia's legal system by prioritising rehabilitative values over dismissal and deportation by providing Hood with another chance in Australia to act right. Finally, the decision to sustain Hood's absorbed visa is ideal by showcasing Australia's Justice system to protect individual rights against unchecked ministerial powers.</w:t>
      </w:r>
    </w:p>
    <w:p w14:paraId="4EFAC97A" w14:textId="77777777" w:rsidR="00850E58" w:rsidRPr="008228E8" w:rsidRDefault="00850E58" w:rsidP="00850E58">
      <w:pPr>
        <w:spacing w:before="240" w:line="276" w:lineRule="auto"/>
        <w:rPr>
          <w:rFonts w:eastAsia="Arial"/>
          <w:lang w:val="en-GB" w:eastAsia="en-GB"/>
        </w:rPr>
      </w:pPr>
      <w:r w:rsidRPr="008228E8">
        <w:rPr>
          <w:rFonts w:eastAsia="Arial"/>
          <w:lang w:val="en-GB" w:eastAsia="en-GB"/>
        </w:rPr>
        <w:t>Revisiting the first statement that Hood's background makes him effectively Australian and hence to force him to re-establish his life in a foreign country is against Australian values, The Australian Rights Human Commission report reinforce this belief through its emphasis on how "Decision-makers therefore must have regard to the length of time the visa holder has resided in Australia, including whether the person arrived in Australia as a young child."Highlighting, that Hood's long residence in Australia, provided he had grown up within Australia, plays a pivotal role in determining the operation of justice in regards to the legislation, s 501BA of the</w:t>
      </w:r>
      <w:r w:rsidRPr="008228E8">
        <w:rPr>
          <w:rFonts w:eastAsia="Arial"/>
          <w:i/>
          <w:iCs/>
          <w:lang w:val="en-GB" w:eastAsia="en-GB"/>
        </w:rPr>
        <w:t xml:space="preserve"> Migration Act </w:t>
      </w:r>
      <w:r w:rsidRPr="008228E8">
        <w:rPr>
          <w:rFonts w:eastAsia="Arial"/>
          <w:lang w:val="en-GB" w:eastAsia="en-GB"/>
        </w:rPr>
        <w:t>1958</w:t>
      </w:r>
      <w:r w:rsidRPr="008228E8">
        <w:rPr>
          <w:rFonts w:eastAsia="Arial"/>
          <w:i/>
          <w:iCs/>
          <w:lang w:val="en-GB" w:eastAsia="en-GB"/>
        </w:rPr>
        <w:t xml:space="preserve"> </w:t>
      </w:r>
      <w:r w:rsidRPr="008228E8">
        <w:rPr>
          <w:rFonts w:eastAsia="Arial"/>
          <w:lang w:val="en-GB" w:eastAsia="en-GB"/>
        </w:rPr>
        <w:t>(</w:t>
      </w:r>
      <w:proofErr w:type="spellStart"/>
      <w:r w:rsidRPr="008228E8">
        <w:rPr>
          <w:rFonts w:eastAsia="Arial"/>
          <w:lang w:val="en-GB" w:eastAsia="en-GB"/>
        </w:rPr>
        <w:t>Cth</w:t>
      </w:r>
      <w:proofErr w:type="spellEnd"/>
      <w:r w:rsidRPr="008228E8">
        <w:rPr>
          <w:rFonts w:eastAsia="Arial"/>
          <w:lang w:val="en-GB" w:eastAsia="en-GB"/>
        </w:rPr>
        <w:t>) to remove his absorbed person visa.</w:t>
      </w:r>
    </w:p>
    <w:p w14:paraId="0610272A" w14:textId="798CE458" w:rsidR="00850E58" w:rsidRPr="008228E8" w:rsidRDefault="00C70A63" w:rsidP="00850E58">
      <w:pPr>
        <w:spacing w:before="240" w:line="276" w:lineRule="auto"/>
        <w:rPr>
          <w:rFonts w:eastAsia="Arial"/>
          <w:color w:val="282A30"/>
          <w:lang w:val="en-GB" w:eastAsia="en-GB"/>
        </w:rPr>
      </w:pPr>
      <w:r w:rsidRPr="008228E8">
        <w:rPr>
          <w:rFonts w:eastAsia="Arial"/>
          <w:lang w:val="en-GB" w:eastAsia="en-GB"/>
        </w:rPr>
        <w:t>Furthermore</w:t>
      </w:r>
      <w:r w:rsidR="00850E58" w:rsidRPr="008228E8">
        <w:rPr>
          <w:rFonts w:eastAsia="Arial"/>
          <w:lang w:val="en-GB" w:eastAsia="en-GB"/>
        </w:rPr>
        <w:t>, to extend on the second statement regarding the Kennett J decision effectively reflecting Australian ideals through demonstrating a rehabilitative approach rather than deportation and ultimately unnecessary punishment, the importance of the decided approach can be seen in articles such as that by Gerry Georgatos, 'Misusing the Australian Legal System to Deport Long-Term Residents', which highlights how deportation is a 'second punishment and against Australian ideals when rehabilitation is possible. This is evidenced in the extract, "</w:t>
      </w:r>
      <w:r w:rsidR="00850E58" w:rsidRPr="008228E8">
        <w:rPr>
          <w:rFonts w:eastAsia="Arial"/>
          <w:color w:val="282A30"/>
          <w:lang w:val="en-GB" w:eastAsia="en-GB"/>
        </w:rPr>
        <w:t>Many of those targeted under s 501 were convicted of crimes in their youth, decades ago, often during periods of substance abuse, poverty, or trauma. They have since served their sentences, many rehabilitated, and led law-abiding lives. Cancelling their visa decades later amounts to a second punishment"</w:t>
      </w:r>
    </w:p>
    <w:p w14:paraId="34BB2191" w14:textId="2525B6D5" w:rsidR="00850E58" w:rsidRPr="008228E8" w:rsidRDefault="00850E58" w:rsidP="00850E58">
      <w:pPr>
        <w:spacing w:before="240" w:line="276" w:lineRule="auto"/>
        <w:rPr>
          <w:rFonts w:eastAsia="Arial"/>
          <w:lang w:val="en-GB" w:eastAsia="en-GB"/>
        </w:rPr>
      </w:pPr>
      <w:r w:rsidRPr="008228E8">
        <w:rPr>
          <w:rFonts w:eastAsia="Arial"/>
          <w:lang w:val="en-GB" w:eastAsia="en-GB"/>
        </w:rPr>
        <w:t xml:space="preserve">Finally, the case demonstrates the satisfactory decision of Kennett J through legally and socially exercising Australian ideals by protecting individual rights against unchecked powers and ultimately acting as a potential precedent. The importance of this case in protecting individual rights against unchecked powers is reinforced by a report conducted by Melbourne University and by the case of </w:t>
      </w:r>
      <w:r w:rsidRPr="008228E8">
        <w:rPr>
          <w:rFonts w:eastAsia="Arial"/>
          <w:i/>
          <w:iCs/>
          <w:lang w:val="en-GB" w:eastAsia="en-GB"/>
        </w:rPr>
        <w:t>Nystrom v Minister for Immigration and Multicultural and Indigenous Affairs</w:t>
      </w:r>
      <w:r w:rsidRPr="008228E8">
        <w:rPr>
          <w:rFonts w:eastAsia="Arial"/>
          <w:color w:val="282A30"/>
          <w:lang w:val="en-GB" w:eastAsia="en-GB"/>
        </w:rPr>
        <w:t xml:space="preserve"> [2005] FCAFC 121</w:t>
      </w:r>
      <w:r w:rsidRPr="008228E8">
        <w:rPr>
          <w:rFonts w:eastAsia="Arial"/>
          <w:lang w:val="en-GB" w:eastAsia="en-GB"/>
        </w:rPr>
        <w:t xml:space="preserve">, whereby unchecked power led to the deportation of Nystrom to </w:t>
      </w:r>
      <w:r w:rsidR="00C70A63" w:rsidRPr="008228E8">
        <w:rPr>
          <w:rFonts w:eastAsia="Arial"/>
          <w:lang w:val="en-GB" w:eastAsia="en-GB"/>
        </w:rPr>
        <w:t>Sweden</w:t>
      </w:r>
      <w:r w:rsidRPr="008228E8">
        <w:rPr>
          <w:rFonts w:eastAsia="Arial"/>
          <w:lang w:val="en-GB" w:eastAsia="en-GB"/>
        </w:rPr>
        <w:t xml:space="preserve"> in 2006.</w:t>
      </w:r>
    </w:p>
    <w:p w14:paraId="0A039112" w14:textId="35B42B88" w:rsidR="00850E58" w:rsidRPr="005C514F" w:rsidRDefault="00850E58" w:rsidP="00850E58">
      <w:pPr>
        <w:spacing w:before="240" w:line="276" w:lineRule="auto"/>
        <w:rPr>
          <w:rFonts w:eastAsia="Arial"/>
          <w:sz w:val="22"/>
          <w:szCs w:val="22"/>
          <w:lang w:val="en-GB" w:eastAsia="en-GB"/>
        </w:rPr>
      </w:pPr>
      <w:r w:rsidRPr="008228E8">
        <w:rPr>
          <w:rFonts w:eastAsia="Arial"/>
          <w:lang w:val="en-GB" w:eastAsia="en-GB"/>
        </w:rPr>
        <w:lastRenderedPageBreak/>
        <w:t>The report produced by the University of Melbourne titled, "Australia’s visa cancellation powers have created a prison to deportation pipeline". found that visa cancellation powers have led to substantial issues which harm individual rights, particularly, causing separation of families and disrupting communities, while forcing individuals to establish their life into countries which they have no connection, and thus ultimately punishing individuals and creating hardship within their life. This is evident in Clarie Loughnan's observation that the issues of visa cancellations is the, "permanent separation of families, disrupted communities", as well as that these deportations are often to "countries in which they have no connection", highlighting how the legislation s 501BA of the</w:t>
      </w:r>
      <w:r w:rsidRPr="008228E8">
        <w:rPr>
          <w:rFonts w:eastAsia="Arial"/>
          <w:i/>
          <w:iCs/>
          <w:lang w:val="en-GB" w:eastAsia="en-GB"/>
        </w:rPr>
        <w:t xml:space="preserve"> Migration Act </w:t>
      </w:r>
      <w:r w:rsidRPr="008228E8">
        <w:rPr>
          <w:rFonts w:eastAsia="Arial"/>
          <w:lang w:val="en-GB" w:eastAsia="en-GB"/>
        </w:rPr>
        <w:t>1958</w:t>
      </w:r>
      <w:r w:rsidRPr="008228E8">
        <w:rPr>
          <w:rFonts w:eastAsia="Arial"/>
          <w:i/>
          <w:iCs/>
          <w:lang w:val="en-GB" w:eastAsia="en-GB"/>
        </w:rPr>
        <w:t xml:space="preserve"> </w:t>
      </w:r>
      <w:r w:rsidRPr="008228E8">
        <w:rPr>
          <w:rFonts w:eastAsia="Arial"/>
          <w:lang w:val="en-GB" w:eastAsia="en-GB"/>
        </w:rPr>
        <w:t>(</w:t>
      </w:r>
      <w:proofErr w:type="spellStart"/>
      <w:r w:rsidRPr="008228E8">
        <w:rPr>
          <w:rFonts w:eastAsia="Arial"/>
          <w:lang w:val="en-GB" w:eastAsia="en-GB"/>
        </w:rPr>
        <w:t>Cth</w:t>
      </w:r>
      <w:proofErr w:type="spellEnd"/>
      <w:r w:rsidRPr="008228E8">
        <w:rPr>
          <w:rFonts w:eastAsia="Arial"/>
          <w:lang w:val="en-GB" w:eastAsia="en-GB"/>
        </w:rPr>
        <w:t xml:space="preserve">) can be unchecked, thus on this basis, the decision made by Kennett J as a common law, may used as precedent in future cases to override unjust ministerial powers which cancel a future absorbed person visa. </w:t>
      </w:r>
      <w:r w:rsidR="00C70A63" w:rsidRPr="008228E8">
        <w:rPr>
          <w:rFonts w:eastAsia="Arial"/>
          <w:lang w:val="en-GB" w:eastAsia="en-GB"/>
        </w:rPr>
        <w:t>Furthermore</w:t>
      </w:r>
      <w:r w:rsidRPr="008228E8">
        <w:rPr>
          <w:rFonts w:eastAsia="Arial"/>
          <w:lang w:val="en-GB" w:eastAsia="en-GB"/>
        </w:rPr>
        <w:t xml:space="preserve">, the case, </w:t>
      </w:r>
      <w:r w:rsidRPr="008228E8">
        <w:rPr>
          <w:rFonts w:eastAsia="Arial"/>
          <w:i/>
          <w:iCs/>
          <w:lang w:val="en-GB" w:eastAsia="en-GB"/>
        </w:rPr>
        <w:t>Nystrom v Minister for Immigration and Multicultural and Indigenous Affairs</w:t>
      </w:r>
      <w:r w:rsidRPr="008228E8">
        <w:rPr>
          <w:rFonts w:eastAsia="Arial"/>
          <w:color w:val="282A30"/>
          <w:lang w:val="en-GB" w:eastAsia="en-GB"/>
        </w:rPr>
        <w:t xml:space="preserve"> [2005] FCAFC 121</w:t>
      </w:r>
      <w:r w:rsidRPr="008228E8">
        <w:rPr>
          <w:rFonts w:eastAsia="Arial"/>
          <w:lang w:val="en-GB" w:eastAsia="en-GB"/>
        </w:rPr>
        <w:t xml:space="preserve"> is a significant case whereby unchecked power had been exercised and led to Nystrom being deported to Sweden in 2006 due to a cancellation of his absorbed visa on the basis of a no longer satisfied character test in section 501(6) of the Migration Act 1958 (</w:t>
      </w:r>
      <w:proofErr w:type="spellStart"/>
      <w:r w:rsidRPr="008228E8">
        <w:rPr>
          <w:rFonts w:eastAsia="Arial"/>
          <w:lang w:val="en-GB" w:eastAsia="en-GB"/>
        </w:rPr>
        <w:t>Cth</w:t>
      </w:r>
      <w:proofErr w:type="spellEnd"/>
      <w:r w:rsidRPr="008228E8">
        <w:rPr>
          <w:rFonts w:eastAsia="Arial"/>
          <w:lang w:val="en-GB" w:eastAsia="en-GB"/>
        </w:rPr>
        <w:t xml:space="preserve">). The United Nations Human Rights Committee concluded that his own country was Australia and that his deportation was 'arbitrary' under the ICCPR, violating articles 12(4), 17, </w:t>
      </w:r>
      <w:proofErr w:type="gramStart"/>
      <w:r w:rsidRPr="008228E8">
        <w:rPr>
          <w:rFonts w:eastAsia="Arial"/>
          <w:lang w:val="en-GB" w:eastAsia="en-GB"/>
        </w:rPr>
        <w:t>and,</w:t>
      </w:r>
      <w:proofErr w:type="gramEnd"/>
      <w:r w:rsidRPr="008228E8">
        <w:rPr>
          <w:rFonts w:eastAsia="Arial"/>
          <w:lang w:val="en-GB" w:eastAsia="en-GB"/>
        </w:rPr>
        <w:t xml:space="preserve"> 23(1), leading to his eventual remedy and </w:t>
      </w:r>
      <w:proofErr w:type="gramStart"/>
      <w:r w:rsidRPr="008228E8">
        <w:rPr>
          <w:rFonts w:eastAsia="Arial"/>
          <w:lang w:val="en-GB" w:eastAsia="en-GB"/>
        </w:rPr>
        <w:t>return back</w:t>
      </w:r>
      <w:proofErr w:type="gramEnd"/>
      <w:r w:rsidRPr="008228E8">
        <w:rPr>
          <w:rFonts w:eastAsia="Arial"/>
          <w:lang w:val="en-GB" w:eastAsia="en-GB"/>
        </w:rPr>
        <w:t xml:space="preserve"> to Australia. This case supports the decision made by Kennett J through reinforcing the importance of just operation of the law which align with social legal standards</w:t>
      </w:r>
      <w:r w:rsidRPr="005C514F">
        <w:rPr>
          <w:rFonts w:eastAsia="Arial"/>
          <w:sz w:val="22"/>
          <w:szCs w:val="22"/>
          <w:lang w:val="en-GB" w:eastAsia="en-GB"/>
        </w:rPr>
        <w:t>.</w:t>
      </w:r>
    </w:p>
    <w:p w14:paraId="05590318" w14:textId="2C47C945" w:rsidR="00850E58" w:rsidRPr="00850E58" w:rsidRDefault="00850E58" w:rsidP="00850E58">
      <w:pPr>
        <w:jc w:val="center"/>
        <w:outlineLvl w:val="0"/>
        <w:rPr>
          <w:b/>
          <w:bCs/>
          <w:color w:val="000000" w:themeColor="text1"/>
          <w:sz w:val="28"/>
          <w:szCs w:val="28"/>
        </w:rPr>
      </w:pPr>
      <w:r>
        <w:rPr>
          <w:b/>
          <w:bCs/>
          <w:color w:val="000000" w:themeColor="text1"/>
          <w:sz w:val="28"/>
          <w:szCs w:val="28"/>
        </w:rPr>
        <w:t>VIII CONCLUDING STATEMENT</w:t>
      </w:r>
    </w:p>
    <w:p w14:paraId="64E5C62B" w14:textId="77777777" w:rsidR="00850E58" w:rsidRPr="008228E8" w:rsidRDefault="00850E58" w:rsidP="00850E58">
      <w:pPr>
        <w:spacing w:before="240" w:line="276" w:lineRule="auto"/>
        <w:rPr>
          <w:rFonts w:eastAsia="Arial"/>
          <w:lang w:val="en-GB" w:eastAsia="en-GB"/>
        </w:rPr>
      </w:pPr>
      <w:r w:rsidRPr="008228E8">
        <w:rPr>
          <w:rFonts w:eastAsia="Arial"/>
          <w:lang w:val="en-GB" w:eastAsia="en-GB"/>
        </w:rPr>
        <w:t>Conclusively, through personal studies across a variety of sources online in addition to Hood's case itself, particularly, research including, reports conducted by Melbourne University, The Australian Rights Human Commission, Independent Australia, and finally, the case of, Nystrom v Minister for Immigration and Multicultural and Indigenous Affairs</w:t>
      </w:r>
      <w:r w:rsidRPr="008228E8">
        <w:rPr>
          <w:rFonts w:eastAsia="Arial"/>
          <w:color w:val="282A30"/>
          <w:lang w:val="en-GB" w:eastAsia="en-GB"/>
        </w:rPr>
        <w:t xml:space="preserve"> [2005] FCAFC 12</w:t>
      </w:r>
      <w:r w:rsidRPr="008228E8">
        <w:rPr>
          <w:rFonts w:eastAsia="Arial"/>
          <w:lang w:val="en-GB" w:eastAsia="en-GB"/>
        </w:rPr>
        <w:t>, my stance regarding the well conducted decision of Kennett J has been supported in regards to his use of certiorari to quash the Assistant Ministers decision in 9 December 2024, which effectively demonstrates an ideal exercise of law on the basis of its social and legal significance by aligning with Australian societal values for a rehabilitative approach rather than punishment, as well as, through setting the correct tone for future legal case decisions.</w:t>
      </w:r>
    </w:p>
    <w:p w14:paraId="5DF051F6" w14:textId="77777777" w:rsidR="00850E58" w:rsidRPr="008228E8" w:rsidRDefault="00850E58" w:rsidP="00850E58">
      <w:pPr>
        <w:spacing w:before="480" w:after="120" w:line="276" w:lineRule="auto"/>
        <w:outlineLvl w:val="0"/>
        <w:rPr>
          <w:rFonts w:eastAsia="Arial"/>
          <w:b/>
          <w:bCs/>
          <w:lang w:val="en-GB" w:eastAsia="en-GB"/>
        </w:rPr>
      </w:pPr>
      <w:bookmarkStart w:id="0" w:name="_fkrzzy70z4ri" w:colFirst="0" w:colLast="0"/>
      <w:bookmarkEnd w:id="0"/>
    </w:p>
    <w:p w14:paraId="67852B3F" w14:textId="77777777" w:rsidR="00850E58" w:rsidRPr="00850E58" w:rsidRDefault="00850E58" w:rsidP="00850E58">
      <w:pPr>
        <w:spacing w:before="480" w:after="120" w:line="276" w:lineRule="auto"/>
        <w:outlineLvl w:val="0"/>
        <w:rPr>
          <w:rFonts w:ascii="Arial" w:eastAsia="Arial" w:hAnsi="Arial" w:cs="Arial"/>
          <w:b/>
          <w:bCs/>
          <w:sz w:val="46"/>
          <w:szCs w:val="46"/>
          <w:lang w:val="en-GB" w:eastAsia="en-GB"/>
        </w:rPr>
      </w:pPr>
      <w:bookmarkStart w:id="1" w:name="_se7o0699502y" w:colFirst="0" w:colLast="0"/>
      <w:bookmarkEnd w:id="1"/>
    </w:p>
    <w:p w14:paraId="7AD90AC4" w14:textId="77777777" w:rsidR="00850E58" w:rsidRPr="00850E58" w:rsidRDefault="00850E58" w:rsidP="00850E58">
      <w:pPr>
        <w:spacing w:before="480" w:after="120" w:line="276" w:lineRule="auto"/>
        <w:outlineLvl w:val="0"/>
        <w:rPr>
          <w:rFonts w:ascii="Arial" w:eastAsia="Arial" w:hAnsi="Arial" w:cs="Arial"/>
          <w:b/>
          <w:bCs/>
          <w:sz w:val="46"/>
          <w:szCs w:val="46"/>
          <w:lang w:val="en-GB" w:eastAsia="en-GB"/>
        </w:rPr>
      </w:pPr>
      <w:bookmarkStart w:id="2" w:name="_192ddyy1g070" w:colFirst="0" w:colLast="0"/>
      <w:bookmarkEnd w:id="2"/>
    </w:p>
    <w:p w14:paraId="53B95D1B" w14:textId="77777777" w:rsidR="00425D8B" w:rsidRDefault="00425D8B" w:rsidP="00850E58">
      <w:pPr>
        <w:spacing w:before="480" w:after="120" w:line="276" w:lineRule="auto"/>
        <w:outlineLvl w:val="0"/>
        <w:rPr>
          <w:rFonts w:ascii="Arial" w:eastAsia="Arial" w:hAnsi="Arial" w:cs="Arial"/>
          <w:b/>
          <w:bCs/>
          <w:sz w:val="46"/>
          <w:szCs w:val="46"/>
          <w:lang w:val="en-GB" w:eastAsia="en-GB"/>
        </w:rPr>
      </w:pPr>
      <w:bookmarkStart w:id="3" w:name="_spqy9gdc2mqt" w:colFirst="0" w:colLast="0"/>
      <w:bookmarkEnd w:id="3"/>
    </w:p>
    <w:p w14:paraId="6C517E46" w14:textId="77777777" w:rsidR="00425D8B" w:rsidRDefault="00425D8B" w:rsidP="00850E58">
      <w:pPr>
        <w:spacing w:before="480" w:after="120" w:line="276" w:lineRule="auto"/>
        <w:outlineLvl w:val="0"/>
        <w:rPr>
          <w:rFonts w:ascii="Arial" w:eastAsia="Arial" w:hAnsi="Arial" w:cs="Arial"/>
          <w:b/>
          <w:bCs/>
          <w:sz w:val="46"/>
          <w:szCs w:val="46"/>
          <w:lang w:val="en-GB" w:eastAsia="en-GB"/>
        </w:rPr>
      </w:pPr>
    </w:p>
    <w:p w14:paraId="6785B0E6" w14:textId="74177606" w:rsidR="001A00ED" w:rsidRDefault="002171F8" w:rsidP="002171F8">
      <w:pPr>
        <w:spacing w:before="240" w:line="276" w:lineRule="auto"/>
        <w:jc w:val="center"/>
        <w:rPr>
          <w:rFonts w:ascii="Arial" w:eastAsia="Arial" w:hAnsi="Arial" w:cs="Arial"/>
          <w:b/>
          <w:bCs/>
          <w:sz w:val="22"/>
          <w:szCs w:val="22"/>
          <w:lang w:val="en-GB" w:eastAsia="en-GB"/>
        </w:rPr>
      </w:pPr>
      <w:r>
        <w:rPr>
          <w:b/>
          <w:bCs/>
          <w:color w:val="000000" w:themeColor="text1"/>
          <w:sz w:val="28"/>
          <w:szCs w:val="28"/>
        </w:rPr>
        <w:t>BIBLIOGRAPHY</w:t>
      </w:r>
    </w:p>
    <w:p w14:paraId="5197938B" w14:textId="28878BBB" w:rsidR="001A00ED" w:rsidRPr="00F04BE0" w:rsidRDefault="00F04BE0" w:rsidP="00F04BE0">
      <w:pPr>
        <w:spacing w:before="240" w:line="276" w:lineRule="auto"/>
        <w:jc w:val="center"/>
        <w:rPr>
          <w:rFonts w:ascii="Arial" w:eastAsia="Arial" w:hAnsi="Arial" w:cs="Arial"/>
          <w:i/>
          <w:iCs/>
          <w:sz w:val="22"/>
          <w:szCs w:val="22"/>
          <w:lang w:val="en-GB" w:eastAsia="en-GB"/>
        </w:rPr>
      </w:pPr>
      <w:proofErr w:type="gramStart"/>
      <w:r w:rsidRPr="00F04BE0">
        <w:rPr>
          <w:rFonts w:ascii="Arial" w:eastAsia="Arial" w:hAnsi="Arial" w:cs="Arial"/>
          <w:sz w:val="22"/>
          <w:szCs w:val="22"/>
          <w:lang w:val="en-GB" w:eastAsia="en-GB"/>
        </w:rPr>
        <w:t>A</w:t>
      </w:r>
      <w:proofErr w:type="gramEnd"/>
      <w:r w:rsidRPr="00F04BE0">
        <w:rPr>
          <w:rFonts w:ascii="Arial" w:eastAsia="Arial" w:hAnsi="Arial" w:cs="Arial"/>
          <w:sz w:val="22"/>
          <w:szCs w:val="22"/>
          <w:lang w:val="en-GB" w:eastAsia="en-GB"/>
        </w:rPr>
        <w:t xml:space="preserve"> </w:t>
      </w:r>
      <w:r w:rsidRPr="00F04BE0">
        <w:rPr>
          <w:rFonts w:ascii="Arial" w:eastAsia="Arial" w:hAnsi="Arial" w:cs="Arial"/>
          <w:i/>
          <w:iCs/>
          <w:sz w:val="22"/>
          <w:szCs w:val="22"/>
          <w:lang w:val="en-GB" w:eastAsia="en-GB"/>
        </w:rPr>
        <w:t>Articles/Books/Reports</w:t>
      </w:r>
    </w:p>
    <w:p w14:paraId="3B6ED95C" w14:textId="77777777" w:rsidR="00031AD1" w:rsidRPr="00850E58" w:rsidRDefault="00031AD1" w:rsidP="00B0726C">
      <w:pPr>
        <w:spacing w:before="240" w:line="276" w:lineRule="auto"/>
        <w:rPr>
          <w:rFonts w:ascii="Arial" w:eastAsia="Arial" w:hAnsi="Arial" w:cs="Arial"/>
          <w:color w:val="1155CC"/>
          <w:sz w:val="22"/>
          <w:szCs w:val="22"/>
          <w:u w:val="single"/>
          <w:lang w:val="en-GB" w:eastAsia="en-GB"/>
        </w:rPr>
      </w:pPr>
      <w:r w:rsidRPr="00850E58">
        <w:rPr>
          <w:rFonts w:ascii="Arial" w:eastAsia="Arial" w:hAnsi="Arial" w:cs="Arial"/>
          <w:sz w:val="22"/>
          <w:szCs w:val="22"/>
          <w:lang w:val="en-GB" w:eastAsia="en-GB"/>
        </w:rPr>
        <w:t xml:space="preserve">'What are the Human Rights Issues Raised by Refusal or Cancellation of Visas under Section 501?', </w:t>
      </w:r>
      <w:r w:rsidRPr="00850E58">
        <w:rPr>
          <w:rFonts w:ascii="Arial" w:eastAsia="Arial" w:hAnsi="Arial" w:cs="Arial"/>
          <w:i/>
          <w:iCs/>
          <w:sz w:val="22"/>
          <w:szCs w:val="22"/>
          <w:lang w:val="en-GB" w:eastAsia="en-GB"/>
        </w:rPr>
        <w:t>Australian Human Rights Commission</w:t>
      </w:r>
      <w:r w:rsidRPr="00850E58">
        <w:rPr>
          <w:rFonts w:ascii="Arial" w:eastAsia="Arial" w:hAnsi="Arial" w:cs="Arial"/>
          <w:sz w:val="22"/>
          <w:szCs w:val="22"/>
          <w:lang w:val="en-GB" w:eastAsia="en-GB"/>
        </w:rPr>
        <w:t xml:space="preserve"> (Web Page) &lt;</w:t>
      </w:r>
      <w:hyperlink r:id="rId8">
        <w:r w:rsidRPr="00850E58">
          <w:rPr>
            <w:rFonts w:ascii="Arial" w:eastAsia="Arial" w:hAnsi="Arial" w:cs="Arial"/>
            <w:color w:val="1155CC"/>
            <w:sz w:val="22"/>
            <w:szCs w:val="22"/>
            <w:u w:val="single"/>
            <w:lang w:val="en-GB" w:eastAsia="en-GB"/>
          </w:rPr>
          <w:t>https://humanrights.gov.au/our-work/4-what-are-human-rights-issues-raised-refusal-or-cancellation-visas-under-section-501\&gt;</w:t>
        </w:r>
      </w:hyperlink>
    </w:p>
    <w:p w14:paraId="4C8F2905" w14:textId="77777777" w:rsidR="00031AD1" w:rsidRPr="00850E58" w:rsidRDefault="00031AD1" w:rsidP="00B0726C">
      <w:pPr>
        <w:spacing w:before="240" w:line="276" w:lineRule="auto"/>
        <w:rPr>
          <w:rFonts w:ascii="Arial" w:eastAsia="Arial" w:hAnsi="Arial" w:cs="Arial"/>
          <w:sz w:val="22"/>
          <w:szCs w:val="22"/>
          <w:lang w:val="en-GB" w:eastAsia="en-GB"/>
        </w:rPr>
      </w:pPr>
      <w:r w:rsidRPr="00850E58">
        <w:rPr>
          <w:rFonts w:ascii="Arial" w:eastAsia="Arial" w:hAnsi="Arial" w:cs="Arial"/>
          <w:sz w:val="22"/>
          <w:szCs w:val="22"/>
          <w:lang w:val="en-GB" w:eastAsia="en-GB"/>
        </w:rPr>
        <w:t xml:space="preserve">Georgatos, Gerry, 'Misusing the Australian Legal System to Deport Long-Term Residents', </w:t>
      </w:r>
      <w:r w:rsidRPr="00850E58">
        <w:rPr>
          <w:rFonts w:ascii="Arial" w:eastAsia="Arial" w:hAnsi="Arial" w:cs="Arial"/>
          <w:i/>
          <w:iCs/>
          <w:sz w:val="22"/>
          <w:szCs w:val="22"/>
          <w:lang w:val="en-GB" w:eastAsia="en-GB"/>
        </w:rPr>
        <w:t>Independent Australia</w:t>
      </w:r>
      <w:r w:rsidRPr="00850E58">
        <w:rPr>
          <w:rFonts w:ascii="Arial" w:eastAsia="Arial" w:hAnsi="Arial" w:cs="Arial"/>
          <w:sz w:val="22"/>
          <w:szCs w:val="22"/>
          <w:lang w:val="en-GB" w:eastAsia="en-GB"/>
        </w:rPr>
        <w:t xml:space="preserve"> (Web Page) &lt;</w:t>
      </w:r>
      <w:hyperlink r:id="rId9">
        <w:r w:rsidRPr="00850E58">
          <w:rPr>
            <w:rFonts w:ascii="Arial" w:eastAsia="Arial" w:hAnsi="Arial" w:cs="Arial"/>
            <w:color w:val="1155CC"/>
            <w:sz w:val="22"/>
            <w:szCs w:val="22"/>
            <w:u w:val="single"/>
            <w:lang w:val="en-GB" w:eastAsia="en-GB"/>
          </w:rPr>
          <w:t>https://independentaustralia.net/politics/politics-display/misusing-the-australian-legal-system-to-deport-long-term-residents,19847</w:t>
        </w:r>
      </w:hyperlink>
      <w:r w:rsidRPr="00850E58">
        <w:rPr>
          <w:rFonts w:ascii="Arial" w:eastAsia="Arial" w:hAnsi="Arial" w:cs="Arial"/>
          <w:sz w:val="22"/>
          <w:szCs w:val="22"/>
          <w:lang w:val="en-GB" w:eastAsia="en-GB"/>
        </w:rPr>
        <w:t>&gt;</w:t>
      </w:r>
    </w:p>
    <w:p w14:paraId="2B258C25" w14:textId="77777777" w:rsidR="00031AD1" w:rsidRPr="00850E58" w:rsidRDefault="00031AD1" w:rsidP="00B0726C">
      <w:pPr>
        <w:spacing w:before="240" w:line="276" w:lineRule="auto"/>
        <w:rPr>
          <w:rFonts w:ascii="Arial" w:eastAsia="Arial" w:hAnsi="Arial" w:cs="Arial"/>
          <w:sz w:val="22"/>
          <w:szCs w:val="22"/>
          <w:lang w:val="en-GB" w:eastAsia="en-GB"/>
        </w:rPr>
      </w:pPr>
      <w:r w:rsidRPr="00850E58">
        <w:rPr>
          <w:rFonts w:ascii="Arial" w:eastAsia="Arial" w:hAnsi="Arial" w:cs="Arial"/>
          <w:i/>
          <w:iCs/>
          <w:sz w:val="22"/>
          <w:szCs w:val="22"/>
          <w:lang w:val="en-GB" w:eastAsia="en-GB"/>
        </w:rPr>
        <w:t>‘</w:t>
      </w:r>
      <w:r w:rsidRPr="00850E58">
        <w:rPr>
          <w:rFonts w:ascii="Arial" w:eastAsia="Arial" w:hAnsi="Arial" w:cs="Arial"/>
          <w:sz w:val="22"/>
          <w:szCs w:val="22"/>
          <w:lang w:val="en-GB" w:eastAsia="en-GB"/>
        </w:rPr>
        <w:t xml:space="preserve">Australia’s Visa Cancellation Powers Have Created a Prison to Deportation Pipeline’, </w:t>
      </w:r>
      <w:r w:rsidRPr="00850E58">
        <w:rPr>
          <w:rFonts w:ascii="Arial" w:eastAsia="Arial" w:hAnsi="Arial" w:cs="Arial"/>
          <w:i/>
          <w:iCs/>
          <w:sz w:val="22"/>
          <w:szCs w:val="22"/>
          <w:lang w:val="en-GB" w:eastAsia="en-GB"/>
        </w:rPr>
        <w:t>University of Melbourne</w:t>
      </w:r>
      <w:r w:rsidRPr="00850E58">
        <w:rPr>
          <w:rFonts w:ascii="Arial" w:eastAsia="Arial" w:hAnsi="Arial" w:cs="Arial"/>
          <w:sz w:val="22"/>
          <w:szCs w:val="22"/>
          <w:lang w:val="en-GB" w:eastAsia="en-GB"/>
        </w:rPr>
        <w:t xml:space="preserve"> (Web Page, 14 November </w:t>
      </w:r>
      <w:proofErr w:type="gramStart"/>
      <w:r w:rsidRPr="00850E58">
        <w:rPr>
          <w:rFonts w:ascii="Arial" w:eastAsia="Arial" w:hAnsi="Arial" w:cs="Arial"/>
          <w:sz w:val="22"/>
          <w:szCs w:val="22"/>
          <w:lang w:val="en-GB" w:eastAsia="en-GB"/>
        </w:rPr>
        <w:t>2024)&lt;</w:t>
      </w:r>
      <w:proofErr w:type="gramEnd"/>
      <w:r>
        <w:fldChar w:fldCharType="begin"/>
      </w:r>
      <w:r>
        <w:instrText>HYPERLINK "https://arts.unimelb.edu.au/news/australias-visa-cancellation-powers-have-created-a-prison-to-deportation-pipeline" \h</w:instrText>
      </w:r>
      <w:r>
        <w:fldChar w:fldCharType="separate"/>
      </w:r>
      <w:r w:rsidRPr="00850E58">
        <w:rPr>
          <w:rFonts w:ascii="Arial" w:eastAsia="Arial" w:hAnsi="Arial" w:cs="Arial"/>
          <w:color w:val="1155CC"/>
          <w:sz w:val="22"/>
          <w:szCs w:val="22"/>
          <w:u w:val="single"/>
          <w:lang w:val="en-GB" w:eastAsia="en-GB"/>
        </w:rPr>
        <w:t>https://arts.unimelb.edu.au/news/australias-visa-cancellation-powers-have-created-a-prison-to-deportation-pipeline</w:t>
      </w:r>
      <w:r>
        <w:fldChar w:fldCharType="end"/>
      </w:r>
      <w:r w:rsidRPr="00850E58">
        <w:rPr>
          <w:rFonts w:ascii="Arial" w:eastAsia="Arial" w:hAnsi="Arial" w:cs="Arial"/>
          <w:sz w:val="22"/>
          <w:szCs w:val="22"/>
          <w:lang w:val="en-GB" w:eastAsia="en-GB"/>
        </w:rPr>
        <w:t>&gt;</w:t>
      </w:r>
    </w:p>
    <w:p w14:paraId="1E622B7F" w14:textId="7F773866" w:rsidR="001A00ED" w:rsidRPr="00031AD1" w:rsidRDefault="00031AD1" w:rsidP="00850E58">
      <w:pPr>
        <w:spacing w:before="240" w:line="276" w:lineRule="auto"/>
        <w:rPr>
          <w:rFonts w:ascii="Arial" w:eastAsia="Arial" w:hAnsi="Arial" w:cs="Arial"/>
          <w:color w:val="1155CC"/>
          <w:sz w:val="22"/>
          <w:szCs w:val="22"/>
          <w:u w:val="single"/>
          <w:lang w:val="en-GB" w:eastAsia="en-GB"/>
        </w:rPr>
      </w:pPr>
      <w:r w:rsidRPr="00850E58">
        <w:rPr>
          <w:rFonts w:ascii="Arial" w:eastAsia="Arial" w:hAnsi="Arial" w:cs="Arial"/>
          <w:sz w:val="22"/>
          <w:szCs w:val="22"/>
          <w:lang w:val="en-GB" w:eastAsia="en-GB"/>
        </w:rPr>
        <w:t>'</w:t>
      </w:r>
      <w:r w:rsidRPr="00850E58">
        <w:rPr>
          <w:rFonts w:ascii="Arial" w:eastAsia="Arial" w:hAnsi="Arial" w:cs="Arial"/>
          <w:i/>
          <w:iCs/>
          <w:sz w:val="22"/>
          <w:szCs w:val="22"/>
          <w:lang w:val="en-GB" w:eastAsia="en-GB"/>
        </w:rPr>
        <w:t>There's No Place Like Home: The Case of Mr Nystrom</w:t>
      </w:r>
      <w:r w:rsidRPr="00850E58">
        <w:rPr>
          <w:rFonts w:ascii="Arial" w:eastAsia="Arial" w:hAnsi="Arial" w:cs="Arial"/>
          <w:sz w:val="22"/>
          <w:szCs w:val="22"/>
          <w:lang w:val="en-GB" w:eastAsia="en-GB"/>
        </w:rPr>
        <w:t xml:space="preserve">', </w:t>
      </w:r>
      <w:r w:rsidRPr="00850E58">
        <w:rPr>
          <w:rFonts w:ascii="Arial" w:eastAsia="Arial" w:hAnsi="Arial" w:cs="Arial"/>
          <w:i/>
          <w:iCs/>
          <w:sz w:val="22"/>
          <w:szCs w:val="22"/>
          <w:lang w:val="en-GB" w:eastAsia="en-GB"/>
        </w:rPr>
        <w:t xml:space="preserve">Human Rights Law </w:t>
      </w:r>
      <w:proofErr w:type="gramStart"/>
      <w:r w:rsidRPr="00850E58">
        <w:rPr>
          <w:rFonts w:ascii="Arial" w:eastAsia="Arial" w:hAnsi="Arial" w:cs="Arial"/>
          <w:i/>
          <w:iCs/>
          <w:sz w:val="22"/>
          <w:szCs w:val="22"/>
          <w:lang w:val="en-GB" w:eastAsia="en-GB"/>
        </w:rPr>
        <w:t>Centre</w:t>
      </w:r>
      <w:r w:rsidRPr="00850E58">
        <w:rPr>
          <w:rFonts w:ascii="Arial" w:eastAsia="Arial" w:hAnsi="Arial" w:cs="Arial"/>
          <w:sz w:val="22"/>
          <w:szCs w:val="22"/>
          <w:lang w:val="en-GB" w:eastAsia="en-GB"/>
        </w:rPr>
        <w:t>,(</w:t>
      </w:r>
      <w:proofErr w:type="gramEnd"/>
      <w:r w:rsidRPr="00850E58">
        <w:rPr>
          <w:rFonts w:ascii="Arial" w:eastAsia="Arial" w:hAnsi="Arial" w:cs="Arial"/>
          <w:sz w:val="22"/>
          <w:szCs w:val="22"/>
          <w:lang w:val="en-GB" w:eastAsia="en-GB"/>
        </w:rPr>
        <w:t>WebPage)&lt;</w:t>
      </w:r>
      <w:hyperlink r:id="rId10">
        <w:r w:rsidRPr="00850E58">
          <w:rPr>
            <w:rFonts w:ascii="Arial" w:eastAsia="Arial" w:hAnsi="Arial" w:cs="Arial"/>
            <w:color w:val="1155CC"/>
            <w:sz w:val="22"/>
            <w:szCs w:val="22"/>
            <w:u w:val="single"/>
            <w:lang w:val="en-GB" w:eastAsia="en-GB"/>
          </w:rPr>
          <w:t>https://www.hrlc.org.au/case-summaries/theres-no-place-like-home-the-case-of-mr-nystrom/\&gt;</w:t>
        </w:r>
      </w:hyperlink>
    </w:p>
    <w:p w14:paraId="69C4CBC5" w14:textId="199598CA" w:rsidR="00850E58" w:rsidRPr="00F04BE0" w:rsidRDefault="001A00ED" w:rsidP="00F04BE0">
      <w:pPr>
        <w:spacing w:before="240" w:line="276" w:lineRule="auto"/>
        <w:jc w:val="center"/>
        <w:rPr>
          <w:rFonts w:ascii="Arial" w:eastAsia="Arial" w:hAnsi="Arial" w:cs="Arial"/>
          <w:sz w:val="22"/>
          <w:szCs w:val="22"/>
          <w:lang w:val="en-GB" w:eastAsia="en-GB"/>
        </w:rPr>
      </w:pPr>
      <w:r w:rsidRPr="00F04BE0">
        <w:rPr>
          <w:rFonts w:ascii="Arial" w:eastAsia="Arial" w:hAnsi="Arial" w:cs="Arial"/>
          <w:sz w:val="22"/>
          <w:szCs w:val="22"/>
          <w:lang w:val="en-GB" w:eastAsia="en-GB"/>
        </w:rPr>
        <w:t xml:space="preserve">B </w:t>
      </w:r>
      <w:r w:rsidR="00850E58" w:rsidRPr="00F04BE0">
        <w:rPr>
          <w:rFonts w:ascii="Arial" w:eastAsia="Arial" w:hAnsi="Arial" w:cs="Arial"/>
          <w:i/>
          <w:iCs/>
          <w:sz w:val="22"/>
          <w:szCs w:val="22"/>
          <w:lang w:val="en-GB" w:eastAsia="en-GB"/>
        </w:rPr>
        <w:t>Cases</w:t>
      </w:r>
    </w:p>
    <w:p w14:paraId="3DCA2599" w14:textId="77777777" w:rsidR="00850E58" w:rsidRPr="00850E58" w:rsidRDefault="00850E58" w:rsidP="00850E58">
      <w:pPr>
        <w:spacing w:before="240" w:line="276" w:lineRule="auto"/>
        <w:rPr>
          <w:rFonts w:ascii="Arial" w:eastAsia="Arial" w:hAnsi="Arial" w:cs="Arial"/>
          <w:sz w:val="22"/>
          <w:szCs w:val="22"/>
          <w:lang w:val="en-GB" w:eastAsia="en-GB"/>
        </w:rPr>
      </w:pPr>
      <w:r w:rsidRPr="00850E58">
        <w:rPr>
          <w:rFonts w:ascii="Arial" w:eastAsia="Arial" w:hAnsi="Arial" w:cs="Arial"/>
          <w:i/>
          <w:iCs/>
          <w:sz w:val="22"/>
          <w:szCs w:val="22"/>
          <w:lang w:val="en-GB" w:eastAsia="en-GB"/>
        </w:rPr>
        <w:t xml:space="preserve">Hood v Assistant Minister for Immigration [2025] </w:t>
      </w:r>
      <w:r w:rsidRPr="00850E58">
        <w:rPr>
          <w:rFonts w:ascii="Arial" w:eastAsia="Arial" w:hAnsi="Arial" w:cs="Arial"/>
          <w:sz w:val="22"/>
          <w:szCs w:val="22"/>
          <w:lang w:val="en-GB" w:eastAsia="en-GB"/>
        </w:rPr>
        <w:t>FCA</w:t>
      </w:r>
      <w:r w:rsidRPr="00850E58">
        <w:rPr>
          <w:rFonts w:ascii="Arial" w:eastAsia="Arial" w:hAnsi="Arial" w:cs="Arial"/>
          <w:i/>
          <w:iCs/>
          <w:sz w:val="22"/>
          <w:szCs w:val="22"/>
          <w:lang w:val="en-GB" w:eastAsia="en-GB"/>
        </w:rPr>
        <w:t xml:space="preserve"> </w:t>
      </w:r>
      <w:r w:rsidRPr="00850E58">
        <w:rPr>
          <w:rFonts w:ascii="Arial" w:eastAsia="Arial" w:hAnsi="Arial" w:cs="Arial"/>
          <w:sz w:val="22"/>
          <w:szCs w:val="22"/>
          <w:lang w:val="en-GB" w:eastAsia="en-GB"/>
        </w:rPr>
        <w:t>1336</w:t>
      </w:r>
    </w:p>
    <w:p w14:paraId="0F11410B" w14:textId="77777777" w:rsidR="00850E58" w:rsidRPr="00850E58" w:rsidRDefault="00850E58" w:rsidP="00850E58">
      <w:pPr>
        <w:spacing w:before="240" w:line="276" w:lineRule="auto"/>
        <w:rPr>
          <w:rFonts w:ascii="Arial" w:eastAsia="Arial" w:hAnsi="Arial" w:cs="Arial"/>
          <w:sz w:val="22"/>
          <w:szCs w:val="22"/>
          <w:lang w:val="en-GB" w:eastAsia="en-GB"/>
        </w:rPr>
      </w:pPr>
      <w:r w:rsidRPr="00850E58">
        <w:rPr>
          <w:rFonts w:ascii="Arial" w:eastAsia="Arial" w:hAnsi="Arial" w:cs="Arial"/>
          <w:i/>
          <w:iCs/>
          <w:sz w:val="22"/>
          <w:szCs w:val="22"/>
          <w:lang w:val="en-GB" w:eastAsia="en-GB"/>
        </w:rPr>
        <w:t>Nystrom v Minister for Immigration and Multicultural and Indigenous Affairs</w:t>
      </w:r>
      <w:r w:rsidRPr="00850E58">
        <w:rPr>
          <w:rFonts w:ascii="Arial" w:eastAsia="Arial" w:hAnsi="Arial" w:cs="Arial"/>
          <w:sz w:val="22"/>
          <w:szCs w:val="22"/>
          <w:lang w:val="en-GB" w:eastAsia="en-GB"/>
        </w:rPr>
        <w:t xml:space="preserve"> [2005] FCAFC 121.</w:t>
      </w:r>
    </w:p>
    <w:p w14:paraId="23F8EA09" w14:textId="5A57C097" w:rsidR="00850E58" w:rsidRPr="00F04BE0" w:rsidRDefault="00F04BE0" w:rsidP="00F04BE0">
      <w:pPr>
        <w:spacing w:before="240" w:line="276" w:lineRule="auto"/>
        <w:jc w:val="center"/>
        <w:rPr>
          <w:rFonts w:ascii="Arial" w:eastAsia="Arial" w:hAnsi="Arial" w:cs="Arial"/>
          <w:sz w:val="22"/>
          <w:szCs w:val="22"/>
          <w:lang w:val="en-GB" w:eastAsia="en-GB"/>
        </w:rPr>
      </w:pPr>
      <w:r>
        <w:rPr>
          <w:rFonts w:ascii="Arial" w:eastAsia="Arial" w:hAnsi="Arial" w:cs="Arial"/>
          <w:sz w:val="22"/>
          <w:szCs w:val="22"/>
          <w:lang w:val="en-GB" w:eastAsia="en-GB"/>
        </w:rPr>
        <w:t xml:space="preserve">C </w:t>
      </w:r>
      <w:r w:rsidR="00850E58" w:rsidRPr="00F04BE0">
        <w:rPr>
          <w:rFonts w:ascii="Arial" w:eastAsia="Arial" w:hAnsi="Arial" w:cs="Arial"/>
          <w:i/>
          <w:iCs/>
          <w:sz w:val="22"/>
          <w:szCs w:val="22"/>
          <w:lang w:val="en-GB" w:eastAsia="en-GB"/>
        </w:rPr>
        <w:t>Legislation</w:t>
      </w:r>
    </w:p>
    <w:p w14:paraId="1F372719" w14:textId="77777777" w:rsidR="00850E58" w:rsidRPr="00850E58" w:rsidRDefault="00850E58" w:rsidP="00850E58">
      <w:pPr>
        <w:spacing w:before="240" w:line="276" w:lineRule="auto"/>
        <w:rPr>
          <w:rFonts w:ascii="Arial" w:eastAsia="Arial" w:hAnsi="Arial" w:cs="Arial"/>
          <w:sz w:val="22"/>
          <w:szCs w:val="22"/>
          <w:lang w:val="en-GB" w:eastAsia="en-GB"/>
        </w:rPr>
      </w:pPr>
      <w:r w:rsidRPr="00850E58">
        <w:rPr>
          <w:rFonts w:ascii="Arial" w:eastAsia="Arial" w:hAnsi="Arial" w:cs="Arial"/>
          <w:i/>
          <w:iCs/>
          <w:sz w:val="22"/>
          <w:szCs w:val="22"/>
          <w:lang w:val="en-GB" w:eastAsia="en-GB"/>
        </w:rPr>
        <w:t>Migration Act</w:t>
      </w:r>
      <w:r w:rsidRPr="00850E58">
        <w:rPr>
          <w:rFonts w:ascii="Arial" w:eastAsia="Arial" w:hAnsi="Arial" w:cs="Arial"/>
          <w:sz w:val="22"/>
          <w:szCs w:val="22"/>
          <w:lang w:val="en-GB" w:eastAsia="en-GB"/>
        </w:rPr>
        <w:t xml:space="preserve"> 1958 (</w:t>
      </w:r>
      <w:proofErr w:type="spellStart"/>
      <w:r w:rsidRPr="00850E58">
        <w:rPr>
          <w:rFonts w:ascii="Arial" w:eastAsia="Arial" w:hAnsi="Arial" w:cs="Arial"/>
          <w:sz w:val="22"/>
          <w:szCs w:val="22"/>
          <w:lang w:val="en-GB" w:eastAsia="en-GB"/>
        </w:rPr>
        <w:t>Cth</w:t>
      </w:r>
      <w:proofErr w:type="spellEnd"/>
      <w:r w:rsidRPr="00850E58">
        <w:rPr>
          <w:rFonts w:ascii="Arial" w:eastAsia="Arial" w:hAnsi="Arial" w:cs="Arial"/>
          <w:sz w:val="22"/>
          <w:szCs w:val="22"/>
          <w:lang w:val="en-GB" w:eastAsia="en-GB"/>
        </w:rPr>
        <w:t>)</w:t>
      </w:r>
    </w:p>
    <w:p w14:paraId="54B204E1" w14:textId="0F40E8D1" w:rsidR="000F108B" w:rsidRDefault="000F108B" w:rsidP="00235853">
      <w:r>
        <w:br w:type="page"/>
      </w:r>
    </w:p>
    <w:p w14:paraId="698F75F1" w14:textId="1ED3DC73" w:rsidR="000F108B" w:rsidRDefault="001C6A9D" w:rsidP="00235853">
      <w:r>
        <w:rPr>
          <w:noProof/>
        </w:rPr>
        <w:lastRenderedPageBreak/>
        <mc:AlternateContent>
          <mc:Choice Requires="wpg">
            <w:drawing>
              <wp:anchor distT="0" distB="0" distL="114300" distR="114300" simplePos="0" relativeHeight="251681792" behindDoc="0" locked="0" layoutInCell="1" allowOverlap="1" wp14:anchorId="121B674F" wp14:editId="1C551674">
                <wp:simplePos x="0" y="0"/>
                <wp:positionH relativeFrom="column">
                  <wp:posOffset>-685800</wp:posOffset>
                </wp:positionH>
                <wp:positionV relativeFrom="paragraph">
                  <wp:posOffset>1902460</wp:posOffset>
                </wp:positionV>
                <wp:extent cx="7546340" cy="1084580"/>
                <wp:effectExtent l="0" t="12700" r="0" b="7620"/>
                <wp:wrapNone/>
                <wp:docPr id="168221322" name="Group 31"/>
                <wp:cNvGraphicFramePr/>
                <a:graphic xmlns:a="http://schemas.openxmlformats.org/drawingml/2006/main">
                  <a:graphicData uri="http://schemas.microsoft.com/office/word/2010/wordprocessingGroup">
                    <wpg:wgp>
                      <wpg:cNvGrpSpPr/>
                      <wpg:grpSpPr>
                        <a:xfrm>
                          <a:off x="0" y="0"/>
                          <a:ext cx="7546340" cy="1084580"/>
                          <a:chOff x="35306" y="1597660"/>
                          <a:chExt cx="7546340" cy="1085088"/>
                        </a:xfrm>
                      </wpg:grpSpPr>
                      <wps:wsp>
                        <wps:cNvPr id="1493187613" name="Text Box 27"/>
                        <wps:cNvSpPr txBox="1"/>
                        <wps:spPr>
                          <a:xfrm>
                            <a:off x="35306" y="1914008"/>
                            <a:ext cx="7546340" cy="488193"/>
                          </a:xfrm>
                          <a:prstGeom prst="rect">
                            <a:avLst/>
                          </a:prstGeom>
                          <a:noFill/>
                          <a:ln w="6350">
                            <a:noFill/>
                          </a:ln>
                        </wps:spPr>
                        <wps:txbx>
                          <w:txbxContent>
                            <w:p w14:paraId="2AEBA7A0" w14:textId="4F439EFE" w:rsidR="009470FA" w:rsidRPr="001C6A9D" w:rsidRDefault="009470FA" w:rsidP="001C6A9D">
                              <w:pPr>
                                <w:pStyle w:val="Title"/>
                                <w:rPr>
                                  <w:rStyle w:val="Strong"/>
                                </w:rPr>
                              </w:pPr>
                              <w:r w:rsidRPr="001C6A9D">
                                <w:rPr>
                                  <w:rStyle w:val="Strong"/>
                                </w:rPr>
                                <w:t>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6141420" name="Straight Connector 27"/>
                        <wps:cNvCnPr/>
                        <wps:spPr>
                          <a:xfrm>
                            <a:off x="256032" y="159766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089456829" name="Straight Connector 27"/>
                        <wps:cNvCnPr/>
                        <wps:spPr>
                          <a:xfrm>
                            <a:off x="256032" y="2682748"/>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1B674F" id="_x0000_s1034" style="position:absolute;margin-left:-54pt;margin-top:149.8pt;width:594.2pt;height:85.4pt;z-index:251681792;mso-width-relative:margin;mso-height-relative:margin" coordorigin="353,15976" coordsize="75463,10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">
                <v:shape id="_x0000_s1035" type="#_x0000_t202" style="position:absolute;left:353;top:19140;width:75463;height:4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" filled="f" stroked="f" strokeweight=".5pt">
                  <v:textbox>
                    <w:txbxContent>
                      <w:p w14:paraId="2AEBA7A0" w14:textId="4F439EFE" w:rsidR="009470FA" w:rsidRPr="001C6A9D" w:rsidRDefault="009470FA" w:rsidP="001C6A9D">
                        <w:pPr>
                          <w:pStyle w:val="Title"/>
                          <w:rPr>
                            <w:rStyle w:val="Strong"/>
                          </w:rPr>
                        </w:pPr>
                        <w:r w:rsidRPr="001C6A9D">
                          <w:rPr>
                            <w:rStyle w:val="Strong"/>
                          </w:rPr>
                          <w:t>LAW STUDENT REVIEW</w:t>
                        </w:r>
                      </w:p>
                    </w:txbxContent>
                  </v:textbox>
                </v:shape>
                <v:line id="Straight Connector 27" o:spid="_x0000_s1036" style="position:absolute;visibility:visible;mso-wrap-style:square" from="2560,15976" to="73634,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" strokecolor="white [3212]" strokeweight="2pt">
                  <v:stroke joinstyle="miter"/>
                </v:line>
                <v:line id="Straight Connector 27" o:spid="_x0000_s1037" style="position:absolute;visibility:visible;mso-wrap-style:square" from="2560,26827" to="73634,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" strokecolor="white [3212]" strokeweight="2pt">
                  <v:stroke joinstyle="miter"/>
                </v:line>
              </v:group>
            </w:pict>
          </mc:Fallback>
        </mc:AlternateContent>
      </w:r>
      <w:r w:rsidR="0095632F">
        <w:rPr>
          <w:noProof/>
        </w:rPr>
        <mc:AlternateContent>
          <mc:Choice Requires="wps">
            <w:drawing>
              <wp:anchor distT="0" distB="0" distL="114300" distR="114300" simplePos="0" relativeHeight="251683840" behindDoc="0" locked="0" layoutInCell="1" allowOverlap="1" wp14:anchorId="2BE59E55" wp14:editId="40BCEAFD">
                <wp:simplePos x="0" y="0"/>
                <wp:positionH relativeFrom="column">
                  <wp:posOffset>-161544</wp:posOffset>
                </wp:positionH>
                <wp:positionV relativeFrom="paragraph">
                  <wp:posOffset>3340608</wp:posOffset>
                </wp:positionV>
                <wp:extent cx="6449568" cy="560832"/>
                <wp:effectExtent l="0" t="0" r="0" b="0"/>
                <wp:wrapNone/>
                <wp:docPr id="1144751722" name="Text Box 27"/>
                <wp:cNvGraphicFramePr/>
                <a:graphic xmlns:a="http://schemas.openxmlformats.org/drawingml/2006/main">
                  <a:graphicData uri="http://schemas.microsoft.com/office/word/2010/wordprocessingShape">
                    <wps:wsp>
                      <wps:cNvSpPr txBox="1"/>
                      <wps:spPr>
                        <a:xfrm>
                          <a:off x="0" y="0"/>
                          <a:ext cx="6449568" cy="560832"/>
                        </a:xfrm>
                        <a:prstGeom prst="rect">
                          <a:avLst/>
                        </a:prstGeom>
                        <a:noFill/>
                        <a:ln w="6350">
                          <a:noFill/>
                        </a:ln>
                      </wps:spPr>
                      <wps:txb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E59E55" id="_x0000_t202" coordsize="21600,21600" o:spt="202" path="m,l,21600r21600,l21600,xe">
                <v:stroke joinstyle="miter"/>
                <v:path gradientshapeok="t" o:connecttype="rect"/>
              </v:shapetype>
              <v:shape id="Text Box 27" o:spid="_x0000_s1038" type="#_x0000_t202" style="position:absolute;margin-left:-12.7pt;margin-top:263.05pt;width:507.85pt;height:44.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" filled="f" stroked="f" strokeweight=".5pt">
                <v:textbo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v:textbox>
              </v:shape>
            </w:pict>
          </mc:Fallback>
        </mc:AlternateContent>
      </w:r>
      <w:r w:rsidR="008A391C">
        <w:rPr>
          <w:noProof/>
        </w:rPr>
        <mc:AlternateContent>
          <mc:Choice Requires="wps">
            <w:drawing>
              <wp:anchor distT="0" distB="0" distL="114300" distR="114300" simplePos="0" relativeHeight="251646972" behindDoc="0" locked="0" layoutInCell="1" allowOverlap="1" wp14:anchorId="2CEEBA33" wp14:editId="49F2EF74">
                <wp:simplePos x="0" y="0"/>
                <wp:positionH relativeFrom="column">
                  <wp:posOffset>-685165</wp:posOffset>
                </wp:positionH>
                <wp:positionV relativeFrom="paragraph">
                  <wp:posOffset>-926465</wp:posOffset>
                </wp:positionV>
                <wp:extent cx="7545720" cy="10668000"/>
                <wp:effectExtent l="0" t="0" r="10795" b="12700"/>
                <wp:wrapNone/>
                <wp:docPr id="1958028090" name="Rectangle 32"/>
                <wp:cNvGraphicFramePr/>
                <a:graphic xmlns:a="http://schemas.openxmlformats.org/drawingml/2006/main">
                  <a:graphicData uri="http://schemas.microsoft.com/office/word/2010/wordprocessingShape">
                    <wps:wsp>
                      <wps:cNvSpPr/>
                      <wps:spPr>
                        <a:xfrm>
                          <a:off x="0" y="0"/>
                          <a:ext cx="7545720" cy="10668000"/>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028557" id="Rectangle 32" o:spid="_x0000_s1026" style="position:absolute;margin-left:-53.95pt;margin-top:-72.95pt;width:594.15pt;height:840pt;z-index:2516469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" fillcolor="#0e2841 [3215]" strokecolor="#030e13 [484]" strokeweight="1pt"/>
            </w:pict>
          </mc:Fallback>
        </mc:AlternateContent>
      </w:r>
      <w:r w:rsidR="00EF6D7D">
        <w:rPr>
          <w:noProof/>
        </w:rPr>
        <mc:AlternateContent>
          <mc:Choice Requires="wps">
            <w:drawing>
              <wp:anchor distT="0" distB="0" distL="114300" distR="114300" simplePos="0" relativeHeight="251662336" behindDoc="0" locked="0" layoutInCell="1" allowOverlap="1" wp14:anchorId="0C3EA4BA" wp14:editId="6ACC2562">
                <wp:simplePos x="0" y="0"/>
                <wp:positionH relativeFrom="column">
                  <wp:posOffset>-685800</wp:posOffset>
                </wp:positionH>
                <wp:positionV relativeFrom="paragraph">
                  <wp:posOffset>-926592</wp:posOffset>
                </wp:positionV>
                <wp:extent cx="6668770" cy="0"/>
                <wp:effectExtent l="0" t="0" r="11430" b="12700"/>
                <wp:wrapNone/>
                <wp:docPr id="1913028425" name="Straight Connector 22"/>
                <wp:cNvGraphicFramePr/>
                <a:graphic xmlns:a="http://schemas.openxmlformats.org/drawingml/2006/main">
                  <a:graphicData uri="http://schemas.microsoft.com/office/word/2010/wordprocessingShape">
                    <wps:wsp>
                      <wps:cNvCnPr/>
                      <wps:spPr>
                        <a:xfrm>
                          <a:off x="0" y="0"/>
                          <a:ext cx="666877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82638F" id="Straight Connector 2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72.95pt" to="471.1pt,-7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" strokecolor="white [3212]" strokeweight=".5pt">
                <v:stroke joinstyle="miter"/>
              </v:line>
            </w:pict>
          </mc:Fallback>
        </mc:AlternateContent>
      </w:r>
    </w:p>
    <w:sectPr w:rsidR="000F108B" w:rsidSect="00334ADB">
      <w:footerReference w:type="even" r:id="rId11"/>
      <w:footerReference w:type="default" r:id="rId12"/>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4FE6D8" w14:textId="77777777" w:rsidR="00E52383" w:rsidRDefault="00E52383" w:rsidP="00235853">
      <w:r>
        <w:separator/>
      </w:r>
    </w:p>
  </w:endnote>
  <w:endnote w:type="continuationSeparator" w:id="0">
    <w:p w14:paraId="45170B90" w14:textId="77777777" w:rsidR="00E52383" w:rsidRDefault="00E52383" w:rsidP="0023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31162930"/>
      <w:docPartObj>
        <w:docPartGallery w:val="Page Numbers (Bottom of Page)"/>
        <w:docPartUnique/>
      </w:docPartObj>
    </w:sdtPr>
    <w:sdtContent>
      <w:p w14:paraId="4E6ABFC8" w14:textId="3653FED2" w:rsidR="00334ADB" w:rsidRDefault="00334ADB" w:rsidP="0023585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0A742B" w14:textId="77777777" w:rsidR="00334ADB" w:rsidRDefault="00334ADB" w:rsidP="00235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B0F5DF" w14:textId="32A2F460" w:rsidR="00334ADB" w:rsidRDefault="00000000" w:rsidP="00235853">
    <w:pPr>
      <w:pStyle w:val="Footer"/>
      <w:jc w:val="right"/>
    </w:pPr>
    <w:sdt>
      <w:sdtPr>
        <w:rPr>
          <w:rStyle w:val="PageNumber"/>
        </w:rPr>
        <w:id w:val="1063142190"/>
        <w:docPartObj>
          <w:docPartGallery w:val="Page Numbers (Bottom of Page)"/>
          <w:docPartUnique/>
        </w:docPartObj>
      </w:sdtPr>
      <w:sdtContent>
        <w:r w:rsidR="00334ADB">
          <w:rPr>
            <w:rStyle w:val="PageNumber"/>
          </w:rPr>
          <w:fldChar w:fldCharType="begin"/>
        </w:r>
        <w:r w:rsidR="00334ADB">
          <w:rPr>
            <w:rStyle w:val="PageNumber"/>
          </w:rPr>
          <w:instrText xml:space="preserve"> PAGE </w:instrText>
        </w:r>
        <w:r w:rsidR="00334ADB">
          <w:rPr>
            <w:rStyle w:val="PageNumber"/>
          </w:rPr>
          <w:fldChar w:fldCharType="separate"/>
        </w:r>
        <w:r w:rsidR="00334ADB">
          <w:rPr>
            <w:rStyle w:val="PageNumber"/>
            <w:noProof/>
          </w:rPr>
          <w:t>3</w:t>
        </w:r>
        <w:r w:rsidR="00334ADB">
          <w:rPr>
            <w:rStyle w:val="PageNumber"/>
          </w:rPr>
          <w:fldChar w:fldCharType="end"/>
        </w:r>
      </w:sdtContent>
    </w:sdt>
    <w:r w:rsidR="00235853">
      <w:rPr>
        <w:rStyle w:val="PageNumber"/>
      </w:rPr>
      <w:t xml:space="preserve"> </w:t>
    </w:r>
    <w:r w:rsidR="00334ADB">
      <w: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C02BE9" w14:textId="77777777" w:rsidR="00E52383" w:rsidRDefault="00E52383" w:rsidP="00235853">
      <w:r>
        <w:separator/>
      </w:r>
    </w:p>
  </w:footnote>
  <w:footnote w:type="continuationSeparator" w:id="0">
    <w:p w14:paraId="4E6CB4AF" w14:textId="77777777" w:rsidR="00E52383" w:rsidRDefault="00E52383" w:rsidP="00235853">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8B"/>
    <w:rsid w:val="00031AD1"/>
    <w:rsid w:val="000678C6"/>
    <w:rsid w:val="0007301A"/>
    <w:rsid w:val="0008172E"/>
    <w:rsid w:val="000926F1"/>
    <w:rsid w:val="000A4193"/>
    <w:rsid w:val="000A7F76"/>
    <w:rsid w:val="000B2023"/>
    <w:rsid w:val="000D128E"/>
    <w:rsid w:val="000F108B"/>
    <w:rsid w:val="00111C95"/>
    <w:rsid w:val="00134090"/>
    <w:rsid w:val="00137E3E"/>
    <w:rsid w:val="00147DC9"/>
    <w:rsid w:val="00166E10"/>
    <w:rsid w:val="00175486"/>
    <w:rsid w:val="001A00ED"/>
    <w:rsid w:val="001A3BD0"/>
    <w:rsid w:val="001B7DFD"/>
    <w:rsid w:val="001C6A9D"/>
    <w:rsid w:val="001F059D"/>
    <w:rsid w:val="001F21E4"/>
    <w:rsid w:val="001F7490"/>
    <w:rsid w:val="001F7F8C"/>
    <w:rsid w:val="0021596B"/>
    <w:rsid w:val="002171F8"/>
    <w:rsid w:val="00220042"/>
    <w:rsid w:val="0023078B"/>
    <w:rsid w:val="00235853"/>
    <w:rsid w:val="00240E95"/>
    <w:rsid w:val="00262BED"/>
    <w:rsid w:val="0027444B"/>
    <w:rsid w:val="00285268"/>
    <w:rsid w:val="00294CA4"/>
    <w:rsid w:val="002D6AA4"/>
    <w:rsid w:val="002F23C0"/>
    <w:rsid w:val="00300E0C"/>
    <w:rsid w:val="0032017D"/>
    <w:rsid w:val="00334ADB"/>
    <w:rsid w:val="0033580E"/>
    <w:rsid w:val="00341B1E"/>
    <w:rsid w:val="00344A17"/>
    <w:rsid w:val="00356093"/>
    <w:rsid w:val="003A02E1"/>
    <w:rsid w:val="003A188F"/>
    <w:rsid w:val="003A1CFB"/>
    <w:rsid w:val="003B7C76"/>
    <w:rsid w:val="003C2E5F"/>
    <w:rsid w:val="003E43B4"/>
    <w:rsid w:val="003E7BC4"/>
    <w:rsid w:val="00404131"/>
    <w:rsid w:val="00405FCE"/>
    <w:rsid w:val="00425D8B"/>
    <w:rsid w:val="004428B7"/>
    <w:rsid w:val="00454AE5"/>
    <w:rsid w:val="0046317F"/>
    <w:rsid w:val="00464656"/>
    <w:rsid w:val="0046610A"/>
    <w:rsid w:val="00480B5D"/>
    <w:rsid w:val="00482078"/>
    <w:rsid w:val="00483774"/>
    <w:rsid w:val="00483FDC"/>
    <w:rsid w:val="004D2AC4"/>
    <w:rsid w:val="004D4240"/>
    <w:rsid w:val="004E3D64"/>
    <w:rsid w:val="004E66C5"/>
    <w:rsid w:val="004F4891"/>
    <w:rsid w:val="00531BB6"/>
    <w:rsid w:val="00553DD0"/>
    <w:rsid w:val="00564DFA"/>
    <w:rsid w:val="00571DCD"/>
    <w:rsid w:val="00580005"/>
    <w:rsid w:val="00580B86"/>
    <w:rsid w:val="0058507A"/>
    <w:rsid w:val="00596E11"/>
    <w:rsid w:val="005A2FB7"/>
    <w:rsid w:val="005A6F4D"/>
    <w:rsid w:val="005C514F"/>
    <w:rsid w:val="005D092F"/>
    <w:rsid w:val="005E1FFE"/>
    <w:rsid w:val="00601F4E"/>
    <w:rsid w:val="00602F53"/>
    <w:rsid w:val="006059CA"/>
    <w:rsid w:val="00610E85"/>
    <w:rsid w:val="00613015"/>
    <w:rsid w:val="006137B4"/>
    <w:rsid w:val="00621706"/>
    <w:rsid w:val="00630EB4"/>
    <w:rsid w:val="00634D86"/>
    <w:rsid w:val="00691C4F"/>
    <w:rsid w:val="00697E2B"/>
    <w:rsid w:val="006B0791"/>
    <w:rsid w:val="006B7BEF"/>
    <w:rsid w:val="006C0C11"/>
    <w:rsid w:val="006C458F"/>
    <w:rsid w:val="006F60E7"/>
    <w:rsid w:val="006F651C"/>
    <w:rsid w:val="00714231"/>
    <w:rsid w:val="00727A61"/>
    <w:rsid w:val="0076135F"/>
    <w:rsid w:val="0076785F"/>
    <w:rsid w:val="007769FF"/>
    <w:rsid w:val="00777AB9"/>
    <w:rsid w:val="007969BD"/>
    <w:rsid w:val="007A4BF8"/>
    <w:rsid w:val="007B1D20"/>
    <w:rsid w:val="007B71B0"/>
    <w:rsid w:val="007C4F96"/>
    <w:rsid w:val="007D2217"/>
    <w:rsid w:val="007F17E8"/>
    <w:rsid w:val="0080058C"/>
    <w:rsid w:val="00805941"/>
    <w:rsid w:val="00806120"/>
    <w:rsid w:val="008064CA"/>
    <w:rsid w:val="0080654C"/>
    <w:rsid w:val="008132C3"/>
    <w:rsid w:val="008215DC"/>
    <w:rsid w:val="008228E8"/>
    <w:rsid w:val="00840943"/>
    <w:rsid w:val="00843BE6"/>
    <w:rsid w:val="00850E58"/>
    <w:rsid w:val="0085433B"/>
    <w:rsid w:val="00893441"/>
    <w:rsid w:val="008A391C"/>
    <w:rsid w:val="008B0CF6"/>
    <w:rsid w:val="008B7194"/>
    <w:rsid w:val="008B7902"/>
    <w:rsid w:val="008F57CF"/>
    <w:rsid w:val="009035F2"/>
    <w:rsid w:val="009142C9"/>
    <w:rsid w:val="00924A66"/>
    <w:rsid w:val="00930211"/>
    <w:rsid w:val="0093046D"/>
    <w:rsid w:val="009360C2"/>
    <w:rsid w:val="009406AC"/>
    <w:rsid w:val="00944B71"/>
    <w:rsid w:val="009470FA"/>
    <w:rsid w:val="0095632F"/>
    <w:rsid w:val="00962EBB"/>
    <w:rsid w:val="009929D2"/>
    <w:rsid w:val="00997C34"/>
    <w:rsid w:val="009C531C"/>
    <w:rsid w:val="009D06C6"/>
    <w:rsid w:val="009E12BB"/>
    <w:rsid w:val="009E1A7D"/>
    <w:rsid w:val="00A01517"/>
    <w:rsid w:val="00A03A12"/>
    <w:rsid w:val="00A0638E"/>
    <w:rsid w:val="00A502FB"/>
    <w:rsid w:val="00A540EA"/>
    <w:rsid w:val="00A71761"/>
    <w:rsid w:val="00A830C0"/>
    <w:rsid w:val="00A97FC9"/>
    <w:rsid w:val="00AA3760"/>
    <w:rsid w:val="00AA67FB"/>
    <w:rsid w:val="00AD2504"/>
    <w:rsid w:val="00B02D14"/>
    <w:rsid w:val="00B15DDE"/>
    <w:rsid w:val="00B33213"/>
    <w:rsid w:val="00B46C49"/>
    <w:rsid w:val="00B832BA"/>
    <w:rsid w:val="00B868C3"/>
    <w:rsid w:val="00B97C02"/>
    <w:rsid w:val="00BA00F7"/>
    <w:rsid w:val="00BA31E4"/>
    <w:rsid w:val="00BB66EB"/>
    <w:rsid w:val="00BC443F"/>
    <w:rsid w:val="00BC6547"/>
    <w:rsid w:val="00BD62C4"/>
    <w:rsid w:val="00BE5553"/>
    <w:rsid w:val="00C00C1E"/>
    <w:rsid w:val="00C20D65"/>
    <w:rsid w:val="00C41993"/>
    <w:rsid w:val="00C63EA7"/>
    <w:rsid w:val="00C65049"/>
    <w:rsid w:val="00C65D80"/>
    <w:rsid w:val="00C70A63"/>
    <w:rsid w:val="00C8782D"/>
    <w:rsid w:val="00C94C21"/>
    <w:rsid w:val="00CB7B0F"/>
    <w:rsid w:val="00CE2659"/>
    <w:rsid w:val="00D1061C"/>
    <w:rsid w:val="00D30760"/>
    <w:rsid w:val="00D5782C"/>
    <w:rsid w:val="00D67988"/>
    <w:rsid w:val="00D74462"/>
    <w:rsid w:val="00D75D0F"/>
    <w:rsid w:val="00D774EF"/>
    <w:rsid w:val="00D94C07"/>
    <w:rsid w:val="00DC1F28"/>
    <w:rsid w:val="00DE365C"/>
    <w:rsid w:val="00DE7698"/>
    <w:rsid w:val="00DF314C"/>
    <w:rsid w:val="00E00CF1"/>
    <w:rsid w:val="00E0232C"/>
    <w:rsid w:val="00E030D6"/>
    <w:rsid w:val="00E160C6"/>
    <w:rsid w:val="00E179B4"/>
    <w:rsid w:val="00E23ACE"/>
    <w:rsid w:val="00E35F81"/>
    <w:rsid w:val="00E45958"/>
    <w:rsid w:val="00E52383"/>
    <w:rsid w:val="00E6116E"/>
    <w:rsid w:val="00E6236F"/>
    <w:rsid w:val="00E660C7"/>
    <w:rsid w:val="00E95486"/>
    <w:rsid w:val="00EC40F3"/>
    <w:rsid w:val="00ED0087"/>
    <w:rsid w:val="00EE1AFE"/>
    <w:rsid w:val="00EF6D7D"/>
    <w:rsid w:val="00EF7F99"/>
    <w:rsid w:val="00F04BE0"/>
    <w:rsid w:val="00F05EA0"/>
    <w:rsid w:val="00F1081F"/>
    <w:rsid w:val="00F15FF2"/>
    <w:rsid w:val="00F166DC"/>
    <w:rsid w:val="00F22977"/>
    <w:rsid w:val="00F3602A"/>
    <w:rsid w:val="00F52A96"/>
    <w:rsid w:val="00F6790F"/>
    <w:rsid w:val="00F6794E"/>
    <w:rsid w:val="00F7100D"/>
    <w:rsid w:val="00F73151"/>
    <w:rsid w:val="00F74AD5"/>
    <w:rsid w:val="00F76D99"/>
    <w:rsid w:val="00F772BB"/>
    <w:rsid w:val="00F81255"/>
    <w:rsid w:val="00F84D64"/>
    <w:rsid w:val="00F972AD"/>
    <w:rsid w:val="00FA4988"/>
    <w:rsid w:val="00FA4E12"/>
    <w:rsid w:val="00FB2581"/>
    <w:rsid w:val="00FB5B18"/>
    <w:rsid w:val="00FD42E0"/>
    <w:rsid w:val="00FD531E"/>
    <w:rsid w:val="00FE034A"/>
    <w:rsid w:val="00FE6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7C0F"/>
  <w15:chartTrackingRefBased/>
  <w15:docId w15:val="{5B7C685B-599E-F249-9F2E-FA1E023E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53"/>
    <w:pPr>
      <w:spacing w:after="240" w:line="360" w:lineRule="auto"/>
    </w:pPr>
    <w:rPr>
      <w:rFonts w:ascii="Times New Roman" w:hAnsi="Times New Roman" w:cs="Times New Roman"/>
    </w:rPr>
  </w:style>
  <w:style w:type="paragraph" w:styleId="Heading1">
    <w:name w:val="heading 1"/>
    <w:basedOn w:val="Normal"/>
    <w:next w:val="Normal"/>
    <w:link w:val="Heading1Char"/>
    <w:uiPriority w:val="9"/>
    <w:qFormat/>
    <w:rsid w:val="00E23ACE"/>
    <w:pPr>
      <w:jc w:val="center"/>
      <w:outlineLvl w:val="0"/>
    </w:pPr>
    <w:rPr>
      <w:b/>
      <w:bCs/>
      <w:color w:val="000000" w:themeColor="text1"/>
      <w:sz w:val="28"/>
      <w:szCs w:val="28"/>
    </w:rPr>
  </w:style>
  <w:style w:type="paragraph" w:styleId="Heading2">
    <w:name w:val="heading 2"/>
    <w:basedOn w:val="Normal"/>
    <w:next w:val="Normal"/>
    <w:link w:val="Heading2Char"/>
    <w:uiPriority w:val="9"/>
    <w:unhideWhenUsed/>
    <w:qFormat/>
    <w:rsid w:val="00235853"/>
    <w:pPr>
      <w:outlineLvl w:val="1"/>
    </w:pPr>
    <w:rPr>
      <w:u w:val="single"/>
    </w:rPr>
  </w:style>
  <w:style w:type="paragraph" w:styleId="Heading3">
    <w:name w:val="heading 3"/>
    <w:basedOn w:val="Normal"/>
    <w:next w:val="Normal"/>
    <w:link w:val="Heading3Char"/>
    <w:uiPriority w:val="9"/>
    <w:semiHidden/>
    <w:unhideWhenUsed/>
    <w:qFormat/>
    <w:rsid w:val="000F1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0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0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0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0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ACE"/>
    <w:rPr>
      <w:rFonts w:ascii="Times New Roman"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235853"/>
    <w:rPr>
      <w:rFonts w:ascii="Times New Roman" w:hAnsi="Times New Roman" w:cs="Times New Roman"/>
      <w:u w:val="single"/>
    </w:rPr>
  </w:style>
  <w:style w:type="character" w:customStyle="1" w:styleId="Heading3Char">
    <w:name w:val="Heading 3 Char"/>
    <w:basedOn w:val="DefaultParagraphFont"/>
    <w:link w:val="Heading3"/>
    <w:uiPriority w:val="9"/>
    <w:semiHidden/>
    <w:rsid w:val="000F1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08B"/>
    <w:rPr>
      <w:rFonts w:eastAsiaTheme="majorEastAsia" w:cstheme="majorBidi"/>
      <w:color w:val="272727" w:themeColor="text1" w:themeTint="D8"/>
    </w:rPr>
  </w:style>
  <w:style w:type="paragraph" w:styleId="Title">
    <w:name w:val="Title"/>
    <w:basedOn w:val="Normal"/>
    <w:next w:val="Normal"/>
    <w:link w:val="TitleChar"/>
    <w:uiPriority w:val="10"/>
    <w:qFormat/>
    <w:rsid w:val="001C6A9D"/>
    <w:pPr>
      <w:jc w:val="center"/>
    </w:pPr>
    <w:rPr>
      <w:color w:val="FFFFFF" w:themeColor="background1"/>
      <w:sz w:val="48"/>
      <w:szCs w:val="48"/>
    </w:rPr>
  </w:style>
  <w:style w:type="character" w:customStyle="1" w:styleId="TitleChar">
    <w:name w:val="Title Char"/>
    <w:basedOn w:val="DefaultParagraphFont"/>
    <w:link w:val="Title"/>
    <w:uiPriority w:val="10"/>
    <w:rsid w:val="001C6A9D"/>
    <w:rPr>
      <w:rFonts w:ascii="Times New Roman" w:hAnsi="Times New Roman" w:cs="Times New Roman"/>
      <w:color w:val="FFFFFF" w:themeColor="background1"/>
      <w:sz w:val="48"/>
      <w:szCs w:val="48"/>
    </w:rPr>
  </w:style>
  <w:style w:type="paragraph" w:styleId="Subtitle">
    <w:name w:val="Subtitle"/>
    <w:basedOn w:val="Normal"/>
    <w:next w:val="Normal"/>
    <w:link w:val="SubtitleChar"/>
    <w:uiPriority w:val="11"/>
    <w:qFormat/>
    <w:rsid w:val="00262BED"/>
    <w:pPr>
      <w:spacing w:after="0"/>
      <w:jc w:val="center"/>
    </w:pPr>
    <w:rPr>
      <w:i/>
      <w:iCs/>
      <w:color w:val="FFFFFF" w:themeColor="background1"/>
      <w:sz w:val="36"/>
      <w:szCs w:val="36"/>
    </w:rPr>
  </w:style>
  <w:style w:type="character" w:customStyle="1" w:styleId="SubtitleChar">
    <w:name w:val="Subtitle Char"/>
    <w:basedOn w:val="DefaultParagraphFont"/>
    <w:link w:val="Subtitle"/>
    <w:uiPriority w:val="11"/>
    <w:rsid w:val="00262BED"/>
    <w:rPr>
      <w:rFonts w:ascii="Times New Roman" w:hAnsi="Times New Roman" w:cs="Times New Roman"/>
      <w:i/>
      <w:iCs/>
      <w:color w:val="FFFFFF" w:themeColor="background1"/>
      <w:sz w:val="36"/>
      <w:szCs w:val="36"/>
    </w:rPr>
  </w:style>
  <w:style w:type="paragraph" w:styleId="Quote">
    <w:name w:val="Quote"/>
    <w:basedOn w:val="Normal"/>
    <w:next w:val="Normal"/>
    <w:link w:val="QuoteChar"/>
    <w:uiPriority w:val="29"/>
    <w:qFormat/>
    <w:rsid w:val="000F10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08B"/>
    <w:rPr>
      <w:i/>
      <w:iCs/>
      <w:color w:val="404040" w:themeColor="text1" w:themeTint="BF"/>
    </w:rPr>
  </w:style>
  <w:style w:type="paragraph" w:styleId="ListParagraph">
    <w:name w:val="List Paragraph"/>
    <w:basedOn w:val="Normal"/>
    <w:uiPriority w:val="34"/>
    <w:qFormat/>
    <w:rsid w:val="000F108B"/>
    <w:pPr>
      <w:ind w:left="720"/>
      <w:contextualSpacing/>
    </w:pPr>
  </w:style>
  <w:style w:type="character" w:styleId="IntenseEmphasis">
    <w:name w:val="Intense Emphasis"/>
    <w:basedOn w:val="DefaultParagraphFont"/>
    <w:uiPriority w:val="21"/>
    <w:qFormat/>
    <w:rsid w:val="000F108B"/>
    <w:rPr>
      <w:i/>
      <w:iCs/>
      <w:color w:val="0F4761" w:themeColor="accent1" w:themeShade="BF"/>
    </w:rPr>
  </w:style>
  <w:style w:type="paragraph" w:styleId="IntenseQuote">
    <w:name w:val="Intense Quote"/>
    <w:basedOn w:val="Normal"/>
    <w:next w:val="Normal"/>
    <w:link w:val="IntenseQuoteChar"/>
    <w:uiPriority w:val="30"/>
    <w:qFormat/>
    <w:rsid w:val="000F1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08B"/>
    <w:rPr>
      <w:i/>
      <w:iCs/>
      <w:color w:val="0F4761" w:themeColor="accent1" w:themeShade="BF"/>
    </w:rPr>
  </w:style>
  <w:style w:type="character" w:styleId="IntenseReference">
    <w:name w:val="Intense Reference"/>
    <w:basedOn w:val="DefaultParagraphFont"/>
    <w:uiPriority w:val="32"/>
    <w:qFormat/>
    <w:rsid w:val="000F108B"/>
    <w:rPr>
      <w:b/>
      <w:bCs/>
      <w:smallCaps/>
      <w:color w:val="0F4761" w:themeColor="accent1" w:themeShade="BF"/>
      <w:spacing w:val="5"/>
    </w:rPr>
  </w:style>
  <w:style w:type="paragraph" w:styleId="Header">
    <w:name w:val="header"/>
    <w:basedOn w:val="Normal"/>
    <w:link w:val="HeaderChar"/>
    <w:uiPriority w:val="99"/>
    <w:unhideWhenUsed/>
    <w:rsid w:val="00334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ADB"/>
    <w:rPr>
      <w:rFonts w:ascii="Times New Roman" w:hAnsi="Times New Roman" w:cs="Times New Roman"/>
      <w:sz w:val="22"/>
      <w:szCs w:val="22"/>
    </w:rPr>
  </w:style>
  <w:style w:type="paragraph" w:styleId="Footer">
    <w:name w:val="footer"/>
    <w:basedOn w:val="Normal"/>
    <w:link w:val="FooterChar"/>
    <w:uiPriority w:val="99"/>
    <w:unhideWhenUsed/>
    <w:rsid w:val="00334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ADB"/>
    <w:rPr>
      <w:rFonts w:ascii="Times New Roman" w:hAnsi="Times New Roman" w:cs="Times New Roman"/>
      <w:sz w:val="22"/>
      <w:szCs w:val="22"/>
    </w:rPr>
  </w:style>
  <w:style w:type="character" w:styleId="PageNumber">
    <w:name w:val="page number"/>
    <w:basedOn w:val="DefaultParagraphFont"/>
    <w:uiPriority w:val="99"/>
    <w:semiHidden/>
    <w:unhideWhenUsed/>
    <w:rsid w:val="00334ADB"/>
  </w:style>
  <w:style w:type="character" w:styleId="SubtleEmphasis">
    <w:name w:val="Subtle Emphasis"/>
    <w:uiPriority w:val="19"/>
    <w:qFormat/>
    <w:rsid w:val="00E23ACE"/>
    <w:rPr>
      <w:sz w:val="24"/>
      <w:szCs w:val="24"/>
    </w:rPr>
  </w:style>
  <w:style w:type="character" w:styleId="Strong">
    <w:name w:val="Strong"/>
    <w:uiPriority w:val="22"/>
    <w:qFormat/>
    <w:rsid w:val="001C6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manrights.gov.au/our-work/4-what-are-human-rights-issues-raised-refusal-or-cancellation-visas-under-section-501%5C%3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hrlc.org.au/case-summaries/theres-no-place-like-home-the-case-of-mr-nystrom/%5C%3E" TargetMode="External"/><Relationship Id="rId4" Type="http://schemas.openxmlformats.org/officeDocument/2006/relationships/webSettings" Target="webSettings.xml"/><Relationship Id="rId9" Type="http://schemas.openxmlformats.org/officeDocument/2006/relationships/hyperlink" Target="https://independentaustralia.net/politics/politics-display/misusing-the-australian-legal-system-to-deport-long-term-residents,1984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8C12E-0CC6-9048-B462-92C22EB89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2170</Words>
  <Characters>12371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Macvean</dc:creator>
  <cp:keywords/>
  <dc:description/>
  <cp:lastModifiedBy>Benjamin Macvean</cp:lastModifiedBy>
  <cp:revision>3</cp:revision>
  <dcterms:created xsi:type="dcterms:W3CDTF">2026-06-20T05:09:00Z</dcterms:created>
  <dcterms:modified xsi:type="dcterms:W3CDTF">2026-07-23T10:04:00Z</dcterms:modified>
</cp:coreProperties>
</file>