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C56382" w14:textId="7723D311" w:rsidR="000F108B" w:rsidRDefault="00480628" w:rsidP="00235853">
      <w:r>
        <w:rPr>
          <w:noProof/>
        </w:rPr>
        <mc:AlternateContent>
          <mc:Choice Requires="wpg">
            <w:drawing>
              <wp:anchor distT="0" distB="0" distL="114300" distR="114300" simplePos="0" relativeHeight="251677696" behindDoc="0" locked="0" layoutInCell="1" allowOverlap="1" wp14:anchorId="62F50521" wp14:editId="76649E40">
                <wp:simplePos x="0" y="0"/>
                <wp:positionH relativeFrom="column">
                  <wp:posOffset>-757052</wp:posOffset>
                </wp:positionH>
                <wp:positionV relativeFrom="paragraph">
                  <wp:posOffset>-913575</wp:posOffset>
                </wp:positionV>
                <wp:extent cx="7692324" cy="10741025"/>
                <wp:effectExtent l="0" t="0" r="0" b="15875"/>
                <wp:wrapNone/>
                <wp:docPr id="78740683" name="Group 31"/>
                <wp:cNvGraphicFramePr/>
                <a:graphic xmlns:a="http://schemas.openxmlformats.org/drawingml/2006/main">
                  <a:graphicData uri="http://schemas.microsoft.com/office/word/2010/wordprocessingGroup">
                    <wpg:wgp>
                      <wpg:cNvGrpSpPr/>
                      <wpg:grpSpPr>
                        <a:xfrm>
                          <a:off x="0" y="0"/>
                          <a:ext cx="7692324" cy="10741025"/>
                          <a:chOff x="-73151" y="-181038"/>
                          <a:chExt cx="7692644" cy="10741152"/>
                        </a:xfrm>
                      </wpg:grpSpPr>
                      <wps:wsp>
                        <wps:cNvPr id="698615390" name="Rectangle 26"/>
                        <wps:cNvSpPr/>
                        <wps:spPr>
                          <a:xfrm>
                            <a:off x="-73151" y="-181038"/>
                            <a:ext cx="7619492" cy="10741152"/>
                          </a:xfrm>
                          <a:prstGeom prst="rect">
                            <a:avLst/>
                          </a:prstGeom>
                          <a:solidFill>
                            <a:schemeClr val="tx1">
                              <a:alpha val="19000"/>
                            </a:schemeClr>
                          </a:solidFill>
                          <a:ln>
                            <a:solidFill>
                              <a:schemeClr val="accent1">
                                <a:shade val="1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A91EC1" w14:textId="77777777" w:rsidR="00F73151" w:rsidRDefault="00F73151" w:rsidP="00F7315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2621601" name="Text Box 27"/>
                        <wps:cNvSpPr txBox="1"/>
                        <wps:spPr>
                          <a:xfrm>
                            <a:off x="-73136" y="1901952"/>
                            <a:ext cx="7692629" cy="512064"/>
                          </a:xfrm>
                          <a:prstGeom prst="rect">
                            <a:avLst/>
                          </a:prstGeom>
                          <a:noFill/>
                          <a:ln w="6350">
                            <a:noFill/>
                          </a:ln>
                        </wps:spPr>
                        <wps:txbx>
                          <w:txbxContent>
                            <w:p w14:paraId="0923727F" w14:textId="69F29B12" w:rsidR="001F059D" w:rsidRPr="001C6A9D" w:rsidRDefault="001676C3" w:rsidP="001C6A9D">
                              <w:pPr>
                                <w:pStyle w:val="Title"/>
                              </w:pPr>
                              <w:r>
                                <w:t>Measured and Managed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2844352" name="Straight Connector 27"/>
                        <wps:cNvCnPr/>
                        <wps:spPr>
                          <a:xfrm>
                            <a:off x="317019" y="1597660"/>
                            <a:ext cx="6913077"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76197336" name="Straight Connector 27"/>
                        <wps:cNvCnPr/>
                        <wps:spPr>
                          <a:xfrm>
                            <a:off x="317019" y="2682748"/>
                            <a:ext cx="691307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674965720" name="Text Box 27"/>
                        <wps:cNvSpPr txBox="1"/>
                        <wps:spPr>
                          <a:xfrm>
                            <a:off x="0" y="2950464"/>
                            <a:ext cx="7546341" cy="1129171"/>
                          </a:xfrm>
                          <a:prstGeom prst="rect">
                            <a:avLst/>
                          </a:prstGeom>
                          <a:noFill/>
                          <a:ln w="6350">
                            <a:noFill/>
                          </a:ln>
                        </wps:spPr>
                        <wps:txbx>
                          <w:txbxContent>
                            <w:p w14:paraId="7B295F16" w14:textId="46E15519" w:rsidR="00262BED" w:rsidRPr="00262BED" w:rsidRDefault="00581651" w:rsidP="00235853">
                              <w:pPr>
                                <w:pStyle w:val="Subtitle"/>
                              </w:pPr>
                              <w:r>
                                <w:t>A Commentary on the Work</w:t>
                              </w:r>
                              <w:r w:rsidR="004F5299">
                                <w:t xml:space="preserve"> Health and Safety Amendment (Digital Wor</w:t>
                              </w:r>
                              <w:r w:rsidR="001F7E70">
                                <w:t>k Systems</w:t>
                              </w:r>
                              <w:r w:rsidR="00E465E4">
                                <w:t xml:space="preserve">) Act </w:t>
                              </w:r>
                              <w:r w:rsidR="001676C3">
                                <w:t>2026 (NSW)</w:t>
                              </w:r>
                              <w:r w:rsidR="004F5299">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2F50521" id="Group 31" o:spid="_x0000_s1026" style="position:absolute;margin-left:-59.6pt;margin-top:-71.95pt;width:605.7pt;height:845.75pt;z-index:251677696;mso-width-relative:margin" coordorigin="-731,-1810" coordsize="76926,107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">
                <v:rect id="Rectangle 26" o:spid="_x0000_s1027" style="position:absolute;left:-731;top:-1810;width:76194;height:10741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" fillcolor="black [3213]" strokecolor="#030e13 [484]" strokeweight="1pt">
                  <v:fill opacity="12336f"/>
                  <v:textbox>
                    <w:txbxContent>
                      <w:p w14:paraId="39A91EC1" w14:textId="77777777" w:rsidR="00F73151" w:rsidRDefault="00F73151" w:rsidP="00F73151">
                        <w:pPr>
                          <w:jc w:val="center"/>
                        </w:pPr>
                      </w:p>
                    </w:txbxContent>
                  </v:textbox>
                </v:rect>
                <v:shapetype id="_x0000_t202" coordsize="21600,21600" o:spt="202" path="m,l,21600r21600,l21600,xe">
                  <v:stroke joinstyle="miter"/>
                  <v:path gradientshapeok="t" o:connecttype="rect"/>
                </v:shapetype>
                <v:shape id="_x0000_s1028" type="#_x0000_t202" style="position:absolute;left:-731;top:19019;width:76925;height:51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" filled="f" stroked="f" strokeweight=".5pt">
                  <v:textbox>
                    <w:txbxContent>
                      <w:p w14:paraId="0923727F" w14:textId="69F29B12" w:rsidR="001F059D" w:rsidRPr="001C6A9D" w:rsidRDefault="001676C3" w:rsidP="001C6A9D">
                        <w:pPr>
                          <w:pStyle w:val="Title"/>
                        </w:pPr>
                        <w:r>
                          <w:t>Measured and Managed</w:t>
                        </w:r>
                      </w:p>
                    </w:txbxContent>
                  </v:textbox>
                </v:shape>
                <v:line id="Straight Connector 27" o:spid="_x0000_s1029" style="position:absolute;visibility:visible;mso-wrap-style:square" from="3170,15976" to="72300,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" strokecolor="white [3212]" strokeweight="2pt">
                  <v:stroke joinstyle="miter"/>
                </v:line>
                <v:line id="Straight Connector 27" o:spid="_x0000_s1030" style="position:absolute;visibility:visible;mso-wrap-style:square" from="3170,26827" to="72300,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" strokecolor="white [3212]" strokeweight="2pt">
                  <v:stroke joinstyle="miter"/>
                </v:line>
                <v:shape id="_x0000_s1031" type="#_x0000_t202" style="position:absolute;top:29504;width:75463;height:112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" filled="f" stroked="f" strokeweight=".5pt">
                  <v:textbox>
                    <w:txbxContent>
                      <w:p w14:paraId="7B295F16" w14:textId="46E15519" w:rsidR="00262BED" w:rsidRPr="00262BED" w:rsidRDefault="00581651" w:rsidP="00235853">
                        <w:pPr>
                          <w:pStyle w:val="Subtitle"/>
                        </w:pPr>
                        <w:r>
                          <w:t>A Commentary on the Work</w:t>
                        </w:r>
                        <w:r w:rsidR="004F5299">
                          <w:t xml:space="preserve"> Health and Safety Amendment (Digital Wor</w:t>
                        </w:r>
                        <w:r w:rsidR="001F7E70">
                          <w:t>k Systems</w:t>
                        </w:r>
                        <w:r w:rsidR="00E465E4">
                          <w:t xml:space="preserve">) Act </w:t>
                        </w:r>
                        <w:r w:rsidR="001676C3">
                          <w:t>2026 (NSW)</w:t>
                        </w:r>
                        <w:r w:rsidR="004F5299">
                          <w:t xml:space="preserve"> </w:t>
                        </w:r>
                      </w:p>
                    </w:txbxContent>
                  </v:textbox>
                </v:shape>
              </v:group>
            </w:pict>
          </mc:Fallback>
        </mc:AlternateContent>
      </w:r>
      <w:r w:rsidR="003009B1">
        <w:rPr>
          <w:b/>
          <w:bCs/>
          <w:noProof/>
          <w:color w:val="000000" w:themeColor="text1"/>
          <w:sz w:val="28"/>
          <w:szCs w:val="28"/>
        </w:rPr>
        <w:drawing>
          <wp:anchor distT="0" distB="0" distL="114300" distR="114300" simplePos="0" relativeHeight="251645947" behindDoc="0" locked="0" layoutInCell="1" allowOverlap="1" wp14:anchorId="2B9AFBE6" wp14:editId="34652A63">
            <wp:simplePos x="0" y="0"/>
            <wp:positionH relativeFrom="column">
              <wp:posOffset>-1497330</wp:posOffset>
            </wp:positionH>
            <wp:positionV relativeFrom="paragraph">
              <wp:posOffset>-1414145</wp:posOffset>
            </wp:positionV>
            <wp:extent cx="8362315" cy="12869545"/>
            <wp:effectExtent l="0" t="0" r="0" b="0"/>
            <wp:wrapNone/>
            <wp:docPr id="806226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226673" name="Picture 806226673"/>
                    <pic:cNvPicPr/>
                  </pic:nvPicPr>
                  <pic:blipFill>
                    <a:blip r:embed="rId7">
                      <a:extLst>
                        <a:ext uri="{28A0092B-C50C-407E-A947-70E740481C1C}">
                          <a14:useLocalDpi xmlns:a14="http://schemas.microsoft.com/office/drawing/2010/main" val="0"/>
                        </a:ext>
                      </a:extLst>
                    </a:blip>
                    <a:stretch>
                      <a:fillRect/>
                    </a:stretch>
                  </pic:blipFill>
                  <pic:spPr>
                    <a:xfrm>
                      <a:off x="0" y="0"/>
                      <a:ext cx="8362315" cy="12869545"/>
                    </a:xfrm>
                    <a:prstGeom prst="rect">
                      <a:avLst/>
                    </a:prstGeom>
                  </pic:spPr>
                </pic:pic>
              </a:graphicData>
            </a:graphic>
            <wp14:sizeRelH relativeFrom="margin">
              <wp14:pctWidth>0</wp14:pctWidth>
            </wp14:sizeRelH>
            <wp14:sizeRelV relativeFrom="margin">
              <wp14:pctHeight>0</wp14:pctHeight>
            </wp14:sizeRelV>
          </wp:anchor>
        </w:drawing>
      </w:r>
      <w:r w:rsidR="00E23ACE">
        <w:rPr>
          <w:noProof/>
        </w:rPr>
        <mc:AlternateContent>
          <mc:Choice Requires="wps">
            <w:drawing>
              <wp:anchor distT="0" distB="0" distL="114300" distR="114300" simplePos="0" relativeHeight="251685888" behindDoc="0" locked="0" layoutInCell="1" allowOverlap="1" wp14:anchorId="2612F2EA" wp14:editId="7C8F7065">
                <wp:simplePos x="0" y="0"/>
                <wp:positionH relativeFrom="column">
                  <wp:posOffset>4639075</wp:posOffset>
                </wp:positionH>
                <wp:positionV relativeFrom="paragraph">
                  <wp:posOffset>8597265</wp:posOffset>
                </wp:positionV>
                <wp:extent cx="2048256" cy="382397"/>
                <wp:effectExtent l="0" t="0" r="0" b="0"/>
                <wp:wrapNone/>
                <wp:docPr id="2036535871" name="Text Box 21"/>
                <wp:cNvGraphicFramePr/>
                <a:graphic xmlns:a="http://schemas.openxmlformats.org/drawingml/2006/main">
                  <a:graphicData uri="http://schemas.microsoft.com/office/word/2010/wordprocessingShape">
                    <wps:wsp>
                      <wps:cNvSpPr txBox="1"/>
                      <wps:spPr>
                        <a:xfrm>
                          <a:off x="0" y="0"/>
                          <a:ext cx="2048256" cy="382397"/>
                        </a:xfrm>
                        <a:prstGeom prst="rect">
                          <a:avLst/>
                        </a:prstGeom>
                        <a:noFill/>
                        <a:ln w="6350">
                          <a:noFill/>
                        </a:ln>
                      </wps:spPr>
                      <wps:txbx>
                        <w:txbxContent>
                          <w:p w14:paraId="27451D67" w14:textId="6A1B16E2" w:rsidR="00262BED" w:rsidRPr="00262BED" w:rsidRDefault="00262BED" w:rsidP="00235853">
                            <w:pPr>
                              <w:pStyle w:val="Subtitle"/>
                            </w:pPr>
                            <w:r w:rsidRPr="00262BED">
                              <w:t xml:space="preserve">Law Student Review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12F2EA" id="Text Box 21" o:spid="_x0000_s1032" type="#_x0000_t202" style="position:absolute;margin-left:365.3pt;margin-top:676.95pt;width:161.3pt;height:3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" filled="f" stroked="f" strokeweight=".5pt">
                <v:textbox>
                  <w:txbxContent>
                    <w:p w14:paraId="27451D67" w14:textId="6A1B16E2" w:rsidR="00262BED" w:rsidRPr="00262BED" w:rsidRDefault="00262BED" w:rsidP="00235853">
                      <w:pPr>
                        <w:pStyle w:val="Subtitle"/>
                      </w:pPr>
                      <w:r w:rsidRPr="00262BED">
                        <w:t xml:space="preserve">Law Student Review </w:t>
                      </w:r>
                    </w:p>
                  </w:txbxContent>
                </v:textbox>
              </v:shape>
            </w:pict>
          </mc:Fallback>
        </mc:AlternateContent>
      </w:r>
      <w:r w:rsidR="00E23ACE">
        <w:rPr>
          <w:noProof/>
        </w:rPr>
        <mc:AlternateContent>
          <mc:Choice Requires="wps">
            <w:drawing>
              <wp:anchor distT="0" distB="0" distL="114300" distR="114300" simplePos="0" relativeHeight="251684864" behindDoc="0" locked="0" layoutInCell="1" allowOverlap="1" wp14:anchorId="7A1C0EEE" wp14:editId="1B33E0B3">
                <wp:simplePos x="0" y="0"/>
                <wp:positionH relativeFrom="column">
                  <wp:posOffset>-598552</wp:posOffset>
                </wp:positionH>
                <wp:positionV relativeFrom="paragraph">
                  <wp:posOffset>8594852</wp:posOffset>
                </wp:positionV>
                <wp:extent cx="2047875" cy="389890"/>
                <wp:effectExtent l="0" t="0" r="0" b="0"/>
                <wp:wrapNone/>
                <wp:docPr id="1600177898" name="Text Box 21"/>
                <wp:cNvGraphicFramePr/>
                <a:graphic xmlns:a="http://schemas.openxmlformats.org/drawingml/2006/main">
                  <a:graphicData uri="http://schemas.microsoft.com/office/word/2010/wordprocessingShape">
                    <wps:wsp>
                      <wps:cNvSpPr txBox="1"/>
                      <wps:spPr>
                        <a:xfrm>
                          <a:off x="0" y="0"/>
                          <a:ext cx="2047875" cy="389890"/>
                        </a:xfrm>
                        <a:prstGeom prst="rect">
                          <a:avLst/>
                        </a:prstGeom>
                        <a:noFill/>
                        <a:ln w="6350">
                          <a:noFill/>
                        </a:ln>
                      </wps:spPr>
                      <wps:txbx>
                        <w:txbxContent>
                          <w:p w14:paraId="3B17B765" w14:textId="19884028" w:rsidR="000F108B" w:rsidRDefault="000F108B" w:rsidP="001676C3">
                            <w:pPr>
                              <w:pStyle w:val="Subtitle"/>
                            </w:pPr>
                            <w:r w:rsidRPr="00262BED">
                              <w:t xml:space="preserve">By </w:t>
                            </w:r>
                            <w:r w:rsidR="00E95E96">
                              <w:t>Marcus Valjak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C0EEE" id="_x0000_s1033" type="#_x0000_t202" style="position:absolute;margin-left:-47.15pt;margin-top:676.75pt;width:161.25pt;height:30.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" filled="f" stroked="f" strokeweight=".5pt">
                <v:textbox>
                  <w:txbxContent>
                    <w:p w14:paraId="3B17B765" w14:textId="19884028" w:rsidR="000F108B" w:rsidRDefault="000F108B" w:rsidP="001676C3">
                      <w:pPr>
                        <w:pStyle w:val="Subtitle"/>
                      </w:pPr>
                      <w:r w:rsidRPr="00262BED">
                        <w:t xml:space="preserve">By </w:t>
                      </w:r>
                      <w:r w:rsidR="00E95E96">
                        <w:t xml:space="preserve">Marcus </w:t>
                      </w:r>
                      <w:proofErr w:type="spellStart"/>
                      <w:r w:rsidR="00E95E96">
                        <w:t>Valjak</w:t>
                      </w:r>
                      <w:proofErr w:type="spellEnd"/>
                    </w:p>
                  </w:txbxContent>
                </v:textbox>
              </v:shape>
            </w:pict>
          </mc:Fallback>
        </mc:AlternateContent>
      </w:r>
      <w:r w:rsidR="007A4BF8">
        <w:rPr>
          <w:noProof/>
        </w:rPr>
        <mc:AlternateContent>
          <mc:Choice Requires="wps">
            <w:drawing>
              <wp:anchor distT="0" distB="0" distL="114300" distR="114300" simplePos="0" relativeHeight="251667456" behindDoc="0" locked="0" layoutInCell="1" allowOverlap="1" wp14:anchorId="7760C708" wp14:editId="15B218CC">
                <wp:simplePos x="0" y="0"/>
                <wp:positionH relativeFrom="column">
                  <wp:posOffset>-746760</wp:posOffset>
                </wp:positionH>
                <wp:positionV relativeFrom="paragraph">
                  <wp:posOffset>-914400</wp:posOffset>
                </wp:positionV>
                <wp:extent cx="7107428" cy="0"/>
                <wp:effectExtent l="0" t="12700" r="17780" b="12700"/>
                <wp:wrapNone/>
                <wp:docPr id="38297992" name="Straight Connector 27"/>
                <wp:cNvGraphicFramePr/>
                <a:graphic xmlns:a="http://schemas.openxmlformats.org/drawingml/2006/main">
                  <a:graphicData uri="http://schemas.microsoft.com/office/word/2010/wordprocessingShape">
                    <wps:wsp>
                      <wps:cNvCnPr/>
                      <wps:spPr>
                        <a:xfrm>
                          <a:off x="0" y="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C26F7FF" id="Straight Connector 27"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8pt,-1in" to="500.85pt,-1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" strokecolor="white [3212]" strokeweight="2pt">
                <v:stroke joinstyle="miter"/>
              </v:line>
            </w:pict>
          </mc:Fallback>
        </mc:AlternateContent>
      </w:r>
      <w:r w:rsidR="000F108B">
        <w:br w:type="page"/>
      </w:r>
    </w:p>
    <w:p w14:paraId="7BA510DA" w14:textId="5AC27D78" w:rsidR="00581651" w:rsidRPr="00581651" w:rsidRDefault="00581651" w:rsidP="00480628">
      <w:pPr>
        <w:pStyle w:val="Heading1"/>
      </w:pPr>
      <w:r w:rsidRPr="00581651">
        <w:lastRenderedPageBreak/>
        <w:t xml:space="preserve">I </w:t>
      </w:r>
      <w:r>
        <w:t>INTRODUCTION</w:t>
      </w:r>
    </w:p>
    <w:p w14:paraId="42E7AFCD" w14:textId="77777777" w:rsidR="00DA6E92" w:rsidRPr="00DA6E92" w:rsidRDefault="00DA6E92" w:rsidP="00DA6E92">
      <w:pPr>
        <w:spacing w:after="160" w:line="480" w:lineRule="auto"/>
        <w:jc w:val="both"/>
        <w:rPr>
          <w:color w:val="000000" w:themeColor="text1"/>
          <w:kern w:val="2"/>
          <w14:ligatures w14:val="standardContextual"/>
        </w:rPr>
      </w:pPr>
      <w:r w:rsidRPr="00DA6E92">
        <w:rPr>
          <w:rFonts w:eastAsia="Times New Roman"/>
          <w:color w:val="000000" w:themeColor="text1"/>
          <w:kern w:val="2"/>
          <w14:ligatures w14:val="standardContextual"/>
        </w:rPr>
        <w:t xml:space="preserve">On 12 February 2026, the NSW Parliament passed the </w:t>
      </w:r>
      <w:r w:rsidRPr="00DA6E92">
        <w:rPr>
          <w:rFonts w:eastAsia="Times New Roman"/>
          <w:i/>
          <w:iCs/>
          <w:color w:val="000000" w:themeColor="text1"/>
          <w:kern w:val="2"/>
          <w14:ligatures w14:val="standardContextual"/>
        </w:rPr>
        <w:t>Work Health and Safety Amendment (Digital Work Systems) Act 2026</w:t>
      </w:r>
      <w:r w:rsidRPr="00DA6E92">
        <w:rPr>
          <w:rFonts w:eastAsia="Times New Roman"/>
          <w:color w:val="000000" w:themeColor="text1"/>
          <w:kern w:val="2"/>
          <w14:ligatures w14:val="standardContextual"/>
        </w:rPr>
        <w:t xml:space="preserve"> (NSW) No 5</w:t>
      </w:r>
      <w:r w:rsidRPr="00DA6E92">
        <w:rPr>
          <w:rFonts w:eastAsia="Times New Roman"/>
          <w:color w:val="000000" w:themeColor="text1"/>
          <w:kern w:val="2"/>
          <w:vertAlign w:val="superscript"/>
          <w14:ligatures w14:val="standardContextual"/>
        </w:rPr>
        <w:footnoteReference w:id="1"/>
      </w:r>
      <w:r w:rsidRPr="00DA6E92">
        <w:rPr>
          <w:rFonts w:eastAsia="Times New Roman"/>
          <w:color w:val="000000" w:themeColor="text1"/>
          <w:kern w:val="2"/>
          <w14:ligatures w14:val="standardContextual"/>
        </w:rPr>
        <w:t xml:space="preserve"> (the Act), becoming the first Australian jurisdiction to legally express work health and safety duties upon a person conducting a business or undertaking (PCBUs) in respect of digital work systems. The Act amends the </w:t>
      </w:r>
      <w:r w:rsidRPr="00DA6E92">
        <w:rPr>
          <w:rFonts w:eastAsia="Times New Roman"/>
          <w:i/>
          <w:iCs/>
          <w:color w:val="000000" w:themeColor="text1"/>
          <w:kern w:val="2"/>
          <w14:ligatures w14:val="standardContextual"/>
        </w:rPr>
        <w:t>Work Health and Safety Act 2011</w:t>
      </w:r>
      <w:r w:rsidRPr="00DA6E92">
        <w:rPr>
          <w:rFonts w:eastAsia="Times New Roman"/>
          <w:color w:val="000000" w:themeColor="text1"/>
          <w:kern w:val="2"/>
          <w14:ligatures w14:val="standardContextual"/>
        </w:rPr>
        <w:t xml:space="preserve"> (NSW) (the WHS Act), where  PCBUs already owed a general duty to reasonably ensure the health and safety of workers.</w:t>
      </w:r>
      <w:r w:rsidRPr="00DA6E92">
        <w:rPr>
          <w:rFonts w:eastAsia="Times New Roman"/>
          <w:color w:val="000000" w:themeColor="text1"/>
          <w:kern w:val="2"/>
          <w:vertAlign w:val="superscript"/>
          <w14:ligatures w14:val="standardContextual"/>
        </w:rPr>
        <w:footnoteReference w:id="2"/>
      </w:r>
      <w:r w:rsidRPr="00DA6E92">
        <w:rPr>
          <w:rFonts w:eastAsia="Times New Roman"/>
          <w:color w:val="000000" w:themeColor="text1"/>
          <w:kern w:val="2"/>
          <w14:ligatures w14:val="standardContextual"/>
        </w:rPr>
        <w:t xml:space="preserve"> What the Act adds is more specificity; it places certainty that algorithms, artificial intelligence, automation, and online platforms used to allocate work are conducted in a way that minimises risk of unsafety.</w:t>
      </w:r>
    </w:p>
    <w:p w14:paraId="4D501D12" w14:textId="77777777" w:rsidR="00DA6E92" w:rsidRPr="00DA6E92" w:rsidRDefault="00DA6E92" w:rsidP="00DA6E92">
      <w:pPr>
        <w:spacing w:after="160" w:line="480" w:lineRule="auto"/>
        <w:jc w:val="both"/>
        <w:rPr>
          <w:color w:val="000000" w:themeColor="text1"/>
          <w:kern w:val="2"/>
          <w14:ligatures w14:val="standardContextual"/>
        </w:rPr>
      </w:pPr>
      <w:r w:rsidRPr="00DA6E92">
        <w:rPr>
          <w:rFonts w:eastAsia="Times New Roman"/>
          <w:color w:val="000000" w:themeColor="text1"/>
          <w:kern w:val="2"/>
          <w14:ligatures w14:val="standardContextual"/>
        </w:rPr>
        <w:t>The Minister confirmed in the Second Reading Speech that the Act was designed to ensure that when “an algorithm decides your hours, your pay, or your pace of work, there are clear rules and real human oversight to prevent harm”.</w:t>
      </w:r>
      <w:r w:rsidRPr="00DA6E92">
        <w:rPr>
          <w:rFonts w:eastAsia="Times New Roman"/>
          <w:color w:val="000000" w:themeColor="text1"/>
          <w:kern w:val="2"/>
          <w:vertAlign w:val="superscript"/>
          <w14:ligatures w14:val="standardContextual"/>
        </w:rPr>
        <w:footnoteReference w:id="3"/>
      </w:r>
      <w:r w:rsidRPr="00DA6E92">
        <w:rPr>
          <w:rFonts w:eastAsia="Times New Roman"/>
          <w:color w:val="000000" w:themeColor="text1"/>
          <w:kern w:val="2"/>
          <w14:ligatures w14:val="standardContextual"/>
        </w:rPr>
        <w:t xml:space="preserve"> This commentary assesses the Act's provisions, identifies its benefits and limitations, and proposes targeted reforms.</w:t>
      </w:r>
    </w:p>
    <w:p w14:paraId="762F17B2" w14:textId="6BE2AC09" w:rsidR="00581651" w:rsidRPr="00581651" w:rsidRDefault="00581651" w:rsidP="00480628">
      <w:pPr>
        <w:pStyle w:val="Heading1"/>
      </w:pPr>
      <w:r w:rsidRPr="00581651">
        <w:t>I</w:t>
      </w:r>
      <w:r>
        <w:t>I THE NEW LEGISLATION</w:t>
      </w:r>
    </w:p>
    <w:p w14:paraId="39BC68B7" w14:textId="77777777" w:rsidR="00DA6E92" w:rsidRPr="00DA6E92" w:rsidRDefault="00DA6E92" w:rsidP="00DA6E92">
      <w:pPr>
        <w:spacing w:after="160" w:line="480" w:lineRule="auto"/>
        <w:jc w:val="both"/>
        <w:rPr>
          <w:color w:val="000000" w:themeColor="text1"/>
          <w:kern w:val="2"/>
          <w14:ligatures w14:val="standardContextual"/>
        </w:rPr>
      </w:pPr>
      <w:r w:rsidRPr="00DA6E92">
        <w:rPr>
          <w:rFonts w:eastAsia="Times New Roman"/>
          <w:color w:val="000000" w:themeColor="text1"/>
          <w:kern w:val="2"/>
          <w14:ligatures w14:val="standardContextual"/>
        </w:rPr>
        <w:t>“Digital work system” is defined broadly as “an algorithm, artificial intelligence, automation or online platform”.</w:t>
      </w:r>
      <w:r w:rsidRPr="00DA6E92">
        <w:rPr>
          <w:rFonts w:eastAsia="Times New Roman"/>
          <w:color w:val="000000" w:themeColor="text1"/>
          <w:kern w:val="2"/>
          <w:vertAlign w:val="superscript"/>
          <w14:ligatures w14:val="standardContextual"/>
        </w:rPr>
        <w:footnoteReference w:id="4"/>
      </w:r>
      <w:r w:rsidRPr="00DA6E92">
        <w:rPr>
          <w:rFonts w:eastAsia="Times New Roman"/>
          <w:color w:val="000000" w:themeColor="text1"/>
          <w:kern w:val="2"/>
          <w14:ligatures w14:val="standardContextual"/>
        </w:rPr>
        <w:t xml:space="preserve"> The new section 21A imposes a duty on each PCBU to ensure, so far as is reasonably practicable, that the health and safety of a worker is not put at risk from the allocation of work by or using such a system.</w:t>
      </w:r>
      <w:r w:rsidRPr="00DA6E92">
        <w:rPr>
          <w:rFonts w:eastAsia="Times New Roman"/>
          <w:color w:val="000000" w:themeColor="text1"/>
          <w:kern w:val="2"/>
          <w:vertAlign w:val="superscript"/>
          <w14:ligatures w14:val="standardContextual"/>
        </w:rPr>
        <w:footnoteReference w:id="5"/>
      </w:r>
      <w:r w:rsidRPr="00DA6E92">
        <w:rPr>
          <w:rFonts w:eastAsia="Times New Roman"/>
          <w:color w:val="000000" w:themeColor="text1"/>
          <w:kern w:val="2"/>
          <w14:ligatures w14:val="standardContextual"/>
        </w:rPr>
        <w:t xml:space="preserve"> In following that duty, the PCBU must consider whether the system creates or results in: (a) excessive or unreasonable workloads; (b) excessive or unreasonable performance </w:t>
      </w:r>
      <w:r w:rsidRPr="00DA6E92">
        <w:rPr>
          <w:rFonts w:eastAsia="Times New Roman"/>
          <w:color w:val="000000" w:themeColor="text1"/>
          <w:kern w:val="2"/>
          <w14:ligatures w14:val="standardContextual"/>
        </w:rPr>
        <w:lastRenderedPageBreak/>
        <w:t>metrics; (c) excessive or unreasonable monitoring or surveillance; or (d) unlawful discriminatory decision-making.</w:t>
      </w:r>
      <w:r w:rsidRPr="00DA6E92">
        <w:rPr>
          <w:rFonts w:eastAsia="Times New Roman"/>
          <w:color w:val="000000" w:themeColor="text1"/>
          <w:kern w:val="2"/>
          <w:vertAlign w:val="superscript"/>
          <w14:ligatures w14:val="standardContextual"/>
        </w:rPr>
        <w:footnoteReference w:id="6"/>
      </w:r>
      <w:r w:rsidRPr="00DA6E92">
        <w:rPr>
          <w:rFonts w:eastAsia="Times New Roman"/>
          <w:color w:val="000000" w:themeColor="text1"/>
          <w:kern w:val="2"/>
          <w14:ligatures w14:val="standardContextual"/>
        </w:rPr>
        <w:t xml:space="preserve"> These four categories track key indicators of harm and translate that into a structured risk assessment obligation.</w:t>
      </w:r>
    </w:p>
    <w:p w14:paraId="0C09FFDD" w14:textId="394D637D" w:rsidR="00DA6E92" w:rsidRPr="00DA6E92" w:rsidRDefault="00581651" w:rsidP="00480628">
      <w:pPr>
        <w:pStyle w:val="Heading1"/>
      </w:pPr>
      <w:r>
        <w:t>III BENEFITS</w:t>
      </w:r>
    </w:p>
    <w:p w14:paraId="76A96A6B" w14:textId="77777777" w:rsidR="00DA6E92" w:rsidRPr="00DA6E92" w:rsidRDefault="00DA6E92" w:rsidP="00DA6E92">
      <w:pPr>
        <w:spacing w:after="160" w:line="480" w:lineRule="auto"/>
        <w:jc w:val="both"/>
        <w:rPr>
          <w:color w:val="000000" w:themeColor="text1"/>
          <w:kern w:val="2"/>
          <w14:ligatures w14:val="standardContextual"/>
        </w:rPr>
      </w:pPr>
      <w:r w:rsidRPr="00DA6E92">
        <w:rPr>
          <w:rFonts w:eastAsia="Times New Roman"/>
          <w:color w:val="000000" w:themeColor="text1"/>
          <w:kern w:val="2"/>
          <w14:ligatures w14:val="standardContextual"/>
        </w:rPr>
        <w:t>The Act's key benefit is legislative clarity. The general PCBU duty was often capable of extending to digital systems of work as a “system of work” within section 19, but that application was uncertain. The Act removes that uncertainty, placing PCBUs on express notice and providing SafeWork NSW with a clear statutory basis for enforcement.</w:t>
      </w:r>
    </w:p>
    <w:p w14:paraId="5C64805B" w14:textId="77777777" w:rsidR="00DA6E92" w:rsidRPr="00DA6E92" w:rsidRDefault="00DA6E92" w:rsidP="00DA6E92">
      <w:pPr>
        <w:spacing w:after="160" w:line="480" w:lineRule="auto"/>
        <w:jc w:val="both"/>
        <w:rPr>
          <w:color w:val="000000" w:themeColor="text1"/>
          <w:kern w:val="2"/>
          <w14:ligatures w14:val="standardContextual"/>
        </w:rPr>
      </w:pPr>
      <w:r w:rsidRPr="00DA6E92">
        <w:rPr>
          <w:rFonts w:eastAsia="Times New Roman"/>
          <w:color w:val="000000" w:themeColor="text1"/>
          <w:kern w:val="2"/>
          <w14:ligatures w14:val="standardContextual"/>
        </w:rPr>
        <w:t>Just as important is the Act's explicit recognition of different types of risks as a WHS hazard from algorithms. By listing surveillance, workload intensity, and discriminatory algorithmic decision-making as specific risk categories, the Act provides a foundation for enforcement action that the initial WHS Act alone could not do.</w:t>
      </w:r>
    </w:p>
    <w:p w14:paraId="169D1C12" w14:textId="77777777" w:rsidR="00DA6E92" w:rsidRPr="00DA6E92" w:rsidRDefault="00DA6E92" w:rsidP="00DA6E92">
      <w:pPr>
        <w:spacing w:after="160" w:line="480" w:lineRule="auto"/>
        <w:jc w:val="both"/>
        <w:rPr>
          <w:color w:val="000000" w:themeColor="text1"/>
          <w:kern w:val="2"/>
          <w14:ligatures w14:val="standardContextual"/>
        </w:rPr>
      </w:pPr>
      <w:r w:rsidRPr="00DA6E92">
        <w:rPr>
          <w:rFonts w:eastAsia="Times New Roman"/>
          <w:color w:val="000000" w:themeColor="text1"/>
          <w:kern w:val="2"/>
          <w14:ligatures w14:val="standardContextual"/>
        </w:rPr>
        <w:t>The Act is also drafted in quite neutral terms. The NSW reforms apply to all PCBUs across all industries, reflecting the reality that AI-driven scheduling and performance management now can expand across healthcare, logistics, retail, and professional services. Not just in one business sector.</w:t>
      </w:r>
    </w:p>
    <w:p w14:paraId="244A9F6E" w14:textId="77777777" w:rsidR="00DA6E92" w:rsidRPr="00DA6E92" w:rsidRDefault="00DA6E92" w:rsidP="00DA6E92">
      <w:pPr>
        <w:spacing w:after="160" w:line="480" w:lineRule="auto"/>
        <w:jc w:val="both"/>
        <w:rPr>
          <w:color w:val="000000" w:themeColor="text1"/>
          <w:kern w:val="2"/>
          <w14:ligatures w14:val="standardContextual"/>
        </w:rPr>
      </w:pPr>
      <w:r w:rsidRPr="00DA6E92">
        <w:rPr>
          <w:rFonts w:eastAsia="Times New Roman"/>
          <w:color w:val="000000" w:themeColor="text1"/>
          <w:kern w:val="2"/>
          <w14:ligatures w14:val="standardContextual"/>
        </w:rPr>
        <w:t>Finally, section 276E requires the Minister to review the digital work system duty, such as 12 months after the commencement of the section with a subsequent report 18 months after this commencement.</w:t>
      </w:r>
      <w:r w:rsidRPr="00DA6E92">
        <w:rPr>
          <w:rFonts w:eastAsia="Times New Roman"/>
          <w:color w:val="000000" w:themeColor="text1"/>
          <w:kern w:val="2"/>
          <w:vertAlign w:val="superscript"/>
          <w14:ligatures w14:val="standardContextual"/>
        </w:rPr>
        <w:footnoteReference w:id="7"/>
      </w:r>
      <w:r w:rsidRPr="00DA6E92">
        <w:rPr>
          <w:rFonts w:eastAsia="Times New Roman"/>
          <w:color w:val="000000" w:themeColor="text1"/>
          <w:kern w:val="2"/>
          <w14:ligatures w14:val="standardContextual"/>
        </w:rPr>
        <w:t xml:space="preserve"> This means that the Act will continue to stay relevant for the short-term and will adapt quickly if any long-term issues are presented in their annual finding.</w:t>
      </w:r>
    </w:p>
    <w:p w14:paraId="5DD2FDF9" w14:textId="76F972AF" w:rsidR="00DA6E92" w:rsidRPr="00DA6E92" w:rsidRDefault="00581651" w:rsidP="00480628">
      <w:pPr>
        <w:pStyle w:val="Heading1"/>
      </w:pPr>
      <w:r>
        <w:t>IV LIMITATIONS</w:t>
      </w:r>
    </w:p>
    <w:p w14:paraId="02663072" w14:textId="77777777" w:rsidR="00DA6E92" w:rsidRPr="00DA6E92" w:rsidRDefault="00DA6E92" w:rsidP="00DA6E92">
      <w:pPr>
        <w:spacing w:after="160" w:line="480" w:lineRule="auto"/>
        <w:jc w:val="both"/>
        <w:rPr>
          <w:color w:val="000000" w:themeColor="text1"/>
          <w:kern w:val="2"/>
          <w14:ligatures w14:val="standardContextual"/>
        </w:rPr>
      </w:pPr>
      <w:r w:rsidRPr="00DA6E92">
        <w:rPr>
          <w:rFonts w:eastAsia="Times New Roman"/>
          <w:color w:val="000000" w:themeColor="text1"/>
          <w:kern w:val="2"/>
          <w14:ligatures w14:val="standardContextual"/>
        </w:rPr>
        <w:lastRenderedPageBreak/>
        <w:t>The Act's principal weakness is the range of its definitions. By assuming every “algorithm, artificial intelligence, automation or online platform” without any threshold, the duty potentially extends to routine administrative software. This could extend to systems such as basic rostering spreadsheets or email workflow tools, that are not meaningfully capable of producing the WHS harms. The Act provides no criteria by which a PCBU might distinguish a sophisticated AI system from a conventional scheduling application.</w:t>
      </w:r>
      <w:r w:rsidRPr="00DA6E92">
        <w:rPr>
          <w:rFonts w:eastAsia="Times New Roman"/>
          <w:color w:val="000000" w:themeColor="text1"/>
          <w:kern w:val="2"/>
          <w:vertAlign w:val="superscript"/>
          <w14:ligatures w14:val="standardContextual"/>
        </w:rPr>
        <w:footnoteReference w:id="8"/>
      </w:r>
      <w:r w:rsidRPr="00DA6E92">
        <w:rPr>
          <w:rFonts w:eastAsia="Times New Roman"/>
          <w:color w:val="000000" w:themeColor="text1"/>
          <w:kern w:val="2"/>
          <w14:ligatures w14:val="standardContextual"/>
        </w:rPr>
        <w:t xml:space="preserve"> Until SafeWork NSW issues guidelines, this uncertainty will be ongoing.</w:t>
      </w:r>
    </w:p>
    <w:p w14:paraId="255D49FA" w14:textId="77777777" w:rsidR="00DA6E92" w:rsidRPr="00DA6E92" w:rsidRDefault="00DA6E92" w:rsidP="00DA6E92">
      <w:pPr>
        <w:spacing w:after="160" w:line="480" w:lineRule="auto"/>
        <w:jc w:val="both"/>
        <w:rPr>
          <w:color w:val="000000" w:themeColor="text1"/>
          <w:kern w:val="2"/>
          <w14:ligatures w14:val="standardContextual"/>
        </w:rPr>
      </w:pPr>
      <w:r w:rsidRPr="00DA6E92">
        <w:rPr>
          <w:rFonts w:eastAsia="Times New Roman"/>
          <w:color w:val="000000" w:themeColor="text1"/>
          <w:kern w:val="2"/>
          <w14:ligatures w14:val="standardContextual"/>
        </w:rPr>
        <w:t>A second gap concerns third-party technology producers. A PCBU that uses a mass-produced AI work allocation system developed by a third party may breach section 21A because of algorithmic behaviour the PCBU cannot inspect, modify, or control. This means, that if a PCBU does not use their own AI-system, they can still breach legislation as the Act imposes no obligations on the suppliers who design and create these systems. This creates a displacement of liability: the compliance burden rests entirely with the PCBU, while the actual individual most capable of engineering out the risk (the system's developer) faces no duty.</w:t>
      </w:r>
    </w:p>
    <w:p w14:paraId="06EBB705" w14:textId="77777777" w:rsidR="00DA6E92" w:rsidRPr="00DA6E92" w:rsidRDefault="00DA6E92" w:rsidP="00DA6E92">
      <w:pPr>
        <w:spacing w:after="160" w:line="480" w:lineRule="auto"/>
        <w:jc w:val="both"/>
        <w:rPr>
          <w:color w:val="000000" w:themeColor="text1"/>
          <w:kern w:val="2"/>
          <w14:ligatures w14:val="standardContextual"/>
        </w:rPr>
      </w:pPr>
      <w:r w:rsidRPr="00DA6E92">
        <w:rPr>
          <w:rFonts w:eastAsia="Times New Roman"/>
          <w:color w:val="000000" w:themeColor="text1"/>
          <w:kern w:val="2"/>
          <w14:ligatures w14:val="standardContextual"/>
        </w:rPr>
        <w:t>Also, inspecting digital work systems could carry a risk of exposing legally privileged communications embedded within AI platforms, and enabling ‘regulatory’ access to commercially sensitive data, such as workforce composition, productivity benchmarks, scheduling patterns, could be seen as an invasion of private communications.</w:t>
      </w:r>
      <w:r w:rsidRPr="00DA6E92">
        <w:rPr>
          <w:rFonts w:eastAsia="Times New Roman"/>
          <w:color w:val="000000" w:themeColor="text1"/>
          <w:kern w:val="2"/>
          <w:vertAlign w:val="superscript"/>
          <w14:ligatures w14:val="standardContextual"/>
        </w:rPr>
        <w:footnoteReference w:id="9"/>
      </w:r>
      <w:r w:rsidRPr="00DA6E92">
        <w:rPr>
          <w:rFonts w:eastAsia="Times New Roman"/>
          <w:color w:val="000000" w:themeColor="text1"/>
          <w:kern w:val="2"/>
          <w14:ligatures w14:val="standardContextual"/>
        </w:rPr>
        <w:t xml:space="preserve"> There is a 48-hour notice requirement from SafeWork NSW guidelines, which tries to mitigate this clear legislative limitation, but do not resolve the underlying issue between WHS inspection and privacy, whereby the Act's protective intent is undermined at the point of individual exposure.</w:t>
      </w:r>
    </w:p>
    <w:p w14:paraId="1BD8F1F7" w14:textId="4BAF483D" w:rsidR="00DA6E92" w:rsidRPr="00DA6E92" w:rsidRDefault="00581651" w:rsidP="00480628">
      <w:pPr>
        <w:pStyle w:val="Heading1"/>
      </w:pPr>
      <w:r>
        <w:lastRenderedPageBreak/>
        <w:t>V PROPOSED REFORM</w:t>
      </w:r>
    </w:p>
    <w:p w14:paraId="6CC75E94" w14:textId="77777777" w:rsidR="00DA6E92" w:rsidRPr="00DA6E92" w:rsidRDefault="00DA6E92" w:rsidP="00DA6E92">
      <w:pPr>
        <w:spacing w:after="160" w:line="480" w:lineRule="auto"/>
        <w:jc w:val="both"/>
        <w:rPr>
          <w:color w:val="000000" w:themeColor="text1"/>
          <w:kern w:val="2"/>
          <w14:ligatures w14:val="standardContextual"/>
        </w:rPr>
      </w:pPr>
      <w:r w:rsidRPr="00DA6E92">
        <w:rPr>
          <w:rFonts w:eastAsia="Times New Roman"/>
          <w:color w:val="000000" w:themeColor="text1"/>
          <w:kern w:val="2"/>
          <w14:ligatures w14:val="standardContextual"/>
        </w:rPr>
        <w:t>Three amendments could potentially improve the Act. First, the definition of “digital work system” should also include some type of threshold, clearly labelling the section 21A duty to systems. This would focus legislative obligations on systems genuinely capable of producing WHS harm.</w:t>
      </w:r>
    </w:p>
    <w:p w14:paraId="37844967" w14:textId="77777777" w:rsidR="00DA6E92" w:rsidRPr="00DA6E92" w:rsidRDefault="00DA6E92" w:rsidP="00DA6E92">
      <w:pPr>
        <w:spacing w:after="160" w:line="480" w:lineRule="auto"/>
        <w:jc w:val="both"/>
        <w:rPr>
          <w:color w:val="000000" w:themeColor="text1"/>
          <w:kern w:val="2"/>
          <w14:ligatures w14:val="standardContextual"/>
        </w:rPr>
      </w:pPr>
      <w:r w:rsidRPr="00DA6E92">
        <w:rPr>
          <w:rFonts w:eastAsia="Times New Roman"/>
          <w:color w:val="000000" w:themeColor="text1"/>
          <w:kern w:val="2"/>
          <w14:ligatures w14:val="standardContextual"/>
        </w:rPr>
        <w:t>Second, the Act should be extended to impose direct duty on suppliers of digital work systems to NSW PCBUs, reflecting the existing duties on designers, manufacturers and suppliers of plant and structures under Division 3 of Part 2 of the WHS Act. These third-party businesses should be required to disclose foreseeable risks, and this would be seen through providing documentation of algorithmic logic and notify PCBUs of changes to AI system behaviour. This reform would address the third-party liability gap and distribute compliance responsibility fairly.</w:t>
      </w:r>
    </w:p>
    <w:p w14:paraId="6900D500" w14:textId="77777777" w:rsidR="00DA6E92" w:rsidRPr="00DA6E92" w:rsidRDefault="00DA6E92" w:rsidP="00DA6E92">
      <w:pPr>
        <w:spacing w:after="160" w:line="480" w:lineRule="auto"/>
        <w:jc w:val="both"/>
        <w:rPr>
          <w:color w:val="000000" w:themeColor="text1"/>
          <w:kern w:val="2"/>
          <w14:ligatures w14:val="standardContextual"/>
        </w:rPr>
      </w:pPr>
      <w:r w:rsidRPr="00DA6E92">
        <w:rPr>
          <w:rFonts w:eastAsia="Times New Roman"/>
          <w:color w:val="000000" w:themeColor="text1"/>
          <w:kern w:val="2"/>
          <w14:ligatures w14:val="standardContextual"/>
        </w:rPr>
        <w:t>Third, a genuine algorithmic transparency obligation should be created, requiring PCBUs to provide workers, upon request, with a clear explanation of how any digital work system affects decisions about their work, and to maintain regulatory logs of algorithmic outputs for a set number of years. This would mean the Act can become a mechanism to support ongoing harm prevention, particularly to protect privileged communication and private matters.</w:t>
      </w:r>
      <w:r w:rsidRPr="00DA6E92">
        <w:rPr>
          <w:rFonts w:eastAsia="Times New Roman"/>
          <w:color w:val="000000" w:themeColor="text1"/>
          <w:kern w:val="2"/>
          <w:vertAlign w:val="superscript"/>
          <w14:ligatures w14:val="standardContextual"/>
        </w:rPr>
        <w:footnoteReference w:id="10"/>
      </w:r>
    </w:p>
    <w:p w14:paraId="5FF84002" w14:textId="68C5460D" w:rsidR="00DA6E92" w:rsidRPr="00DA6E92" w:rsidRDefault="00581651" w:rsidP="00480628">
      <w:pPr>
        <w:pStyle w:val="Heading1"/>
      </w:pPr>
      <w:r>
        <w:t>VI CONCLUSION</w:t>
      </w:r>
    </w:p>
    <w:p w14:paraId="51BC72DA" w14:textId="77777777" w:rsidR="00DA6E92" w:rsidRPr="00DA6E92" w:rsidRDefault="00DA6E92" w:rsidP="00DA6E92">
      <w:pPr>
        <w:spacing w:after="160" w:line="480" w:lineRule="auto"/>
        <w:jc w:val="both"/>
        <w:rPr>
          <w:color w:val="000000" w:themeColor="text1"/>
          <w:kern w:val="2"/>
          <w14:ligatures w14:val="standardContextual"/>
        </w:rPr>
      </w:pPr>
      <w:r w:rsidRPr="00DA6E92">
        <w:rPr>
          <w:rFonts w:eastAsia="Times New Roman"/>
          <w:color w:val="000000" w:themeColor="text1"/>
          <w:kern w:val="2"/>
          <w14:ligatures w14:val="standardContextual"/>
        </w:rPr>
        <w:t xml:space="preserve">The </w:t>
      </w:r>
      <w:r w:rsidRPr="00DA6E92">
        <w:rPr>
          <w:rFonts w:eastAsia="Times New Roman"/>
          <w:i/>
          <w:iCs/>
          <w:color w:val="000000" w:themeColor="text1"/>
          <w:kern w:val="2"/>
          <w14:ligatures w14:val="standardContextual"/>
        </w:rPr>
        <w:t>Work Health and Safety Amendment (Digital Work Systems) Act 2026</w:t>
      </w:r>
      <w:r w:rsidRPr="00DA6E92">
        <w:rPr>
          <w:rFonts w:eastAsia="Times New Roman"/>
          <w:color w:val="000000" w:themeColor="text1"/>
          <w:kern w:val="2"/>
          <w14:ligatures w14:val="standardContextual"/>
        </w:rPr>
        <w:t xml:space="preserve"> (NSW) is an honestly solid and historically necessary legislative tool. It resolves a genuine legal gap, recognises most risks as a primary concern of algorithmic management, and is a good path to protect the integrity of AI work systems. Its limitations are mostly the absence of a definitional framework, the lack of third-party obligations, and the need for more transparency. These, however, can be fixed through amendments, </w:t>
      </w:r>
      <w:r w:rsidRPr="00DA6E92">
        <w:rPr>
          <w:rFonts w:eastAsia="Times New Roman"/>
          <w:color w:val="000000" w:themeColor="text1"/>
          <w:kern w:val="2"/>
          <w14:ligatures w14:val="standardContextual"/>
        </w:rPr>
        <w:lastRenderedPageBreak/>
        <w:t>indicating that the current Act is an effective attempt to regulate work systems, to ideally protect employees from digital WHS hazards .</w:t>
      </w:r>
      <w:r w:rsidRPr="00DA6E92">
        <w:rPr>
          <w:color w:val="000000" w:themeColor="text1"/>
          <w:kern w:val="2"/>
          <w:vertAlign w:val="superscript"/>
          <w14:ligatures w14:val="standardContextual"/>
        </w:rPr>
        <w:footnoteReference w:id="11"/>
      </w:r>
    </w:p>
    <w:p w14:paraId="458F0523" w14:textId="77777777" w:rsidR="00DA6E92" w:rsidRPr="00DA6E92" w:rsidRDefault="00DA6E92" w:rsidP="00DA6E92">
      <w:pPr>
        <w:spacing w:after="160" w:line="480" w:lineRule="auto"/>
        <w:rPr>
          <w:color w:val="000000" w:themeColor="text1"/>
          <w:kern w:val="2"/>
          <w14:ligatures w14:val="standardContextual"/>
        </w:rPr>
      </w:pPr>
    </w:p>
    <w:p w14:paraId="54B204E1" w14:textId="439C9867" w:rsidR="000F108B" w:rsidRDefault="000F108B" w:rsidP="00235853">
      <w:r>
        <w:br w:type="page"/>
      </w:r>
    </w:p>
    <w:p w14:paraId="698F75F1" w14:textId="1ED3DC73" w:rsidR="000F108B" w:rsidRDefault="001C6A9D" w:rsidP="00235853">
      <w:r>
        <w:rPr>
          <w:noProof/>
        </w:rPr>
        <w:lastRenderedPageBreak/>
        <mc:AlternateContent>
          <mc:Choice Requires="wpg">
            <w:drawing>
              <wp:anchor distT="0" distB="0" distL="114300" distR="114300" simplePos="0" relativeHeight="251681792" behindDoc="0" locked="0" layoutInCell="1" allowOverlap="1" wp14:anchorId="121B674F" wp14:editId="1C551674">
                <wp:simplePos x="0" y="0"/>
                <wp:positionH relativeFrom="column">
                  <wp:posOffset>-685800</wp:posOffset>
                </wp:positionH>
                <wp:positionV relativeFrom="paragraph">
                  <wp:posOffset>1902460</wp:posOffset>
                </wp:positionV>
                <wp:extent cx="7546340" cy="1084580"/>
                <wp:effectExtent l="0" t="12700" r="0" b="7620"/>
                <wp:wrapNone/>
                <wp:docPr id="168221322" name="Group 31"/>
                <wp:cNvGraphicFramePr/>
                <a:graphic xmlns:a="http://schemas.openxmlformats.org/drawingml/2006/main">
                  <a:graphicData uri="http://schemas.microsoft.com/office/word/2010/wordprocessingGroup">
                    <wpg:wgp>
                      <wpg:cNvGrpSpPr/>
                      <wpg:grpSpPr>
                        <a:xfrm>
                          <a:off x="0" y="0"/>
                          <a:ext cx="7546340" cy="1084580"/>
                          <a:chOff x="35306" y="1597660"/>
                          <a:chExt cx="7546340" cy="1085088"/>
                        </a:xfrm>
                      </wpg:grpSpPr>
                      <wps:wsp>
                        <wps:cNvPr id="1493187613" name="Text Box 27"/>
                        <wps:cNvSpPr txBox="1"/>
                        <wps:spPr>
                          <a:xfrm>
                            <a:off x="35306" y="1914008"/>
                            <a:ext cx="7546340" cy="488193"/>
                          </a:xfrm>
                          <a:prstGeom prst="rect">
                            <a:avLst/>
                          </a:prstGeom>
                          <a:noFill/>
                          <a:ln w="6350">
                            <a:noFill/>
                          </a:ln>
                        </wps:spPr>
                        <wps:txbx>
                          <w:txbxContent>
                            <w:p w14:paraId="2AEBA7A0" w14:textId="4F439EFE" w:rsidR="009470FA" w:rsidRPr="001C6A9D" w:rsidRDefault="009470FA" w:rsidP="001C6A9D">
                              <w:pPr>
                                <w:pStyle w:val="Title"/>
                                <w:rPr>
                                  <w:rStyle w:val="Strong"/>
                                </w:rPr>
                              </w:pPr>
                              <w:r w:rsidRPr="001C6A9D">
                                <w:rPr>
                                  <w:rStyle w:val="Strong"/>
                                </w:rPr>
                                <w:t>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6141420" name="Straight Connector 27"/>
                        <wps:cNvCnPr/>
                        <wps:spPr>
                          <a:xfrm>
                            <a:off x="256032" y="159766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089456829" name="Straight Connector 27"/>
                        <wps:cNvCnPr/>
                        <wps:spPr>
                          <a:xfrm>
                            <a:off x="256032" y="2682748"/>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21B674F" id="_x0000_s1034" style="position:absolute;margin-left:-54pt;margin-top:149.8pt;width:594.2pt;height:85.4pt;z-index:251681792;mso-width-relative:margin;mso-height-relative:margin" coordorigin="353,15976" coordsize="75463,108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">
                <v:shape id="_x0000_s1035" type="#_x0000_t202" style="position:absolute;left:353;top:19140;width:75463;height:48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" filled="f" stroked="f" strokeweight=".5pt">
                  <v:textbox>
                    <w:txbxContent>
                      <w:p w14:paraId="2AEBA7A0" w14:textId="4F439EFE" w:rsidR="009470FA" w:rsidRPr="001C6A9D" w:rsidRDefault="009470FA" w:rsidP="001C6A9D">
                        <w:pPr>
                          <w:pStyle w:val="Title"/>
                          <w:rPr>
                            <w:rStyle w:val="Strong"/>
                          </w:rPr>
                        </w:pPr>
                        <w:r w:rsidRPr="001C6A9D">
                          <w:rPr>
                            <w:rStyle w:val="Strong"/>
                          </w:rPr>
                          <w:t>LAW STUDENT REVIEW</w:t>
                        </w:r>
                      </w:p>
                    </w:txbxContent>
                  </v:textbox>
                </v:shape>
                <v:line id="Straight Connector 27" o:spid="_x0000_s1036" style="position:absolute;visibility:visible;mso-wrap-style:square" from="2560,15976" to="73634,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" strokecolor="white [3212]" strokeweight="2pt">
                  <v:stroke joinstyle="miter"/>
                </v:line>
                <v:line id="Straight Connector 27" o:spid="_x0000_s1037" style="position:absolute;visibility:visible;mso-wrap-style:square" from="2560,26827" to="73634,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" strokecolor="white [3212]" strokeweight="2pt">
                  <v:stroke joinstyle="miter"/>
                </v:line>
              </v:group>
            </w:pict>
          </mc:Fallback>
        </mc:AlternateContent>
      </w:r>
      <w:r w:rsidR="0095632F">
        <w:rPr>
          <w:noProof/>
        </w:rPr>
        <mc:AlternateContent>
          <mc:Choice Requires="wps">
            <w:drawing>
              <wp:anchor distT="0" distB="0" distL="114300" distR="114300" simplePos="0" relativeHeight="251683840" behindDoc="0" locked="0" layoutInCell="1" allowOverlap="1" wp14:anchorId="2BE59E55" wp14:editId="40BCEAFD">
                <wp:simplePos x="0" y="0"/>
                <wp:positionH relativeFrom="column">
                  <wp:posOffset>-161544</wp:posOffset>
                </wp:positionH>
                <wp:positionV relativeFrom="paragraph">
                  <wp:posOffset>3340608</wp:posOffset>
                </wp:positionV>
                <wp:extent cx="6449568" cy="560832"/>
                <wp:effectExtent l="0" t="0" r="0" b="0"/>
                <wp:wrapNone/>
                <wp:docPr id="1144751722" name="Text Box 27"/>
                <wp:cNvGraphicFramePr/>
                <a:graphic xmlns:a="http://schemas.openxmlformats.org/drawingml/2006/main">
                  <a:graphicData uri="http://schemas.microsoft.com/office/word/2010/wordprocessingShape">
                    <wps:wsp>
                      <wps:cNvSpPr txBox="1"/>
                      <wps:spPr>
                        <a:xfrm>
                          <a:off x="0" y="0"/>
                          <a:ext cx="6449568" cy="560832"/>
                        </a:xfrm>
                        <a:prstGeom prst="rect">
                          <a:avLst/>
                        </a:prstGeom>
                        <a:noFill/>
                        <a:ln w="6350">
                          <a:noFill/>
                        </a:ln>
                      </wps:spPr>
                      <wps:txb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59E55" id="Text Box 27" o:spid="_x0000_s1038" type="#_x0000_t202" style="position:absolute;margin-left:-12.7pt;margin-top:263.05pt;width:507.85pt;height:44.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" filled="f" stroked="f" strokeweight=".5pt">
                <v:textbo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v:textbox>
              </v:shape>
            </w:pict>
          </mc:Fallback>
        </mc:AlternateContent>
      </w:r>
      <w:r w:rsidR="008A391C">
        <w:rPr>
          <w:noProof/>
        </w:rPr>
        <mc:AlternateContent>
          <mc:Choice Requires="wps">
            <w:drawing>
              <wp:anchor distT="0" distB="0" distL="114300" distR="114300" simplePos="0" relativeHeight="251646972" behindDoc="0" locked="0" layoutInCell="1" allowOverlap="1" wp14:anchorId="2CEEBA33" wp14:editId="685847FB">
                <wp:simplePos x="0" y="0"/>
                <wp:positionH relativeFrom="column">
                  <wp:posOffset>-685165</wp:posOffset>
                </wp:positionH>
                <wp:positionV relativeFrom="paragraph">
                  <wp:posOffset>-926465</wp:posOffset>
                </wp:positionV>
                <wp:extent cx="7545720" cy="10668000"/>
                <wp:effectExtent l="0" t="0" r="10795" b="12700"/>
                <wp:wrapNone/>
                <wp:docPr id="1958028090" name="Rectangle 32"/>
                <wp:cNvGraphicFramePr/>
                <a:graphic xmlns:a="http://schemas.openxmlformats.org/drawingml/2006/main">
                  <a:graphicData uri="http://schemas.microsoft.com/office/word/2010/wordprocessingShape">
                    <wps:wsp>
                      <wps:cNvSpPr/>
                      <wps:spPr>
                        <a:xfrm>
                          <a:off x="0" y="0"/>
                          <a:ext cx="7545720" cy="10668000"/>
                        </a:xfrm>
                        <a:prstGeom prst="rect">
                          <a:avLst/>
                        </a:prstGeom>
                        <a:solidFill>
                          <a:schemeClr val="tx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D01373" id="Rectangle 32" o:spid="_x0000_s1026" style="position:absolute;margin-left:-53.95pt;margin-top:-72.95pt;width:594.15pt;height:840pt;z-index:2516469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" fillcolor="#0e2841 [3215]" strokecolor="#030e13 [484]" strokeweight="1pt"/>
            </w:pict>
          </mc:Fallback>
        </mc:AlternateContent>
      </w:r>
      <w:r w:rsidR="00EF6D7D">
        <w:rPr>
          <w:noProof/>
        </w:rPr>
        <mc:AlternateContent>
          <mc:Choice Requires="wps">
            <w:drawing>
              <wp:anchor distT="0" distB="0" distL="114300" distR="114300" simplePos="0" relativeHeight="251662336" behindDoc="0" locked="0" layoutInCell="1" allowOverlap="1" wp14:anchorId="0C3EA4BA" wp14:editId="6ACC2562">
                <wp:simplePos x="0" y="0"/>
                <wp:positionH relativeFrom="column">
                  <wp:posOffset>-685800</wp:posOffset>
                </wp:positionH>
                <wp:positionV relativeFrom="paragraph">
                  <wp:posOffset>-926592</wp:posOffset>
                </wp:positionV>
                <wp:extent cx="6668770" cy="0"/>
                <wp:effectExtent l="0" t="0" r="11430" b="12700"/>
                <wp:wrapNone/>
                <wp:docPr id="1913028425" name="Straight Connector 22"/>
                <wp:cNvGraphicFramePr/>
                <a:graphic xmlns:a="http://schemas.openxmlformats.org/drawingml/2006/main">
                  <a:graphicData uri="http://schemas.microsoft.com/office/word/2010/wordprocessingShape">
                    <wps:wsp>
                      <wps:cNvCnPr/>
                      <wps:spPr>
                        <a:xfrm>
                          <a:off x="0" y="0"/>
                          <a:ext cx="666877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482638F" id="Straight Connector 2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72.95pt" to="471.1pt,-7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" strokecolor="white [3212]" strokeweight=".5pt">
                <v:stroke joinstyle="miter"/>
              </v:line>
            </w:pict>
          </mc:Fallback>
        </mc:AlternateContent>
      </w:r>
    </w:p>
    <w:sectPr w:rsidR="000F108B" w:rsidSect="00334ADB">
      <w:footerReference w:type="even" r:id="rId8"/>
      <w:footerReference w:type="default" r:id="rId9"/>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B5B682" w14:textId="77777777" w:rsidR="00136049" w:rsidRDefault="00136049" w:rsidP="00235853">
      <w:r>
        <w:separator/>
      </w:r>
    </w:p>
  </w:endnote>
  <w:endnote w:type="continuationSeparator" w:id="0">
    <w:p w14:paraId="3A2C1640" w14:textId="77777777" w:rsidR="00136049" w:rsidRDefault="00136049" w:rsidP="00235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31162930"/>
      <w:docPartObj>
        <w:docPartGallery w:val="Page Numbers (Bottom of Page)"/>
        <w:docPartUnique/>
      </w:docPartObj>
    </w:sdtPr>
    <w:sdtContent>
      <w:p w14:paraId="4E6ABFC8" w14:textId="3653FED2" w:rsidR="00334ADB" w:rsidRDefault="00334ADB" w:rsidP="0023585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0A742B" w14:textId="77777777" w:rsidR="00334ADB" w:rsidRDefault="00334ADB" w:rsidP="002358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B0F5DF" w14:textId="32A2F460" w:rsidR="00334ADB" w:rsidRDefault="00000000" w:rsidP="00235853">
    <w:pPr>
      <w:pStyle w:val="Footer"/>
      <w:jc w:val="right"/>
    </w:pPr>
    <w:sdt>
      <w:sdtPr>
        <w:rPr>
          <w:rStyle w:val="PageNumber"/>
        </w:rPr>
        <w:id w:val="1063142190"/>
        <w:docPartObj>
          <w:docPartGallery w:val="Page Numbers (Bottom of Page)"/>
          <w:docPartUnique/>
        </w:docPartObj>
      </w:sdtPr>
      <w:sdtContent>
        <w:r w:rsidR="00334ADB">
          <w:rPr>
            <w:rStyle w:val="PageNumber"/>
          </w:rPr>
          <w:fldChar w:fldCharType="begin"/>
        </w:r>
        <w:r w:rsidR="00334ADB">
          <w:rPr>
            <w:rStyle w:val="PageNumber"/>
          </w:rPr>
          <w:instrText xml:space="preserve"> PAGE </w:instrText>
        </w:r>
        <w:r w:rsidR="00334ADB">
          <w:rPr>
            <w:rStyle w:val="PageNumber"/>
          </w:rPr>
          <w:fldChar w:fldCharType="separate"/>
        </w:r>
        <w:r w:rsidR="00334ADB">
          <w:rPr>
            <w:rStyle w:val="PageNumber"/>
            <w:noProof/>
          </w:rPr>
          <w:t>3</w:t>
        </w:r>
        <w:r w:rsidR="00334ADB">
          <w:rPr>
            <w:rStyle w:val="PageNumber"/>
          </w:rPr>
          <w:fldChar w:fldCharType="end"/>
        </w:r>
      </w:sdtContent>
    </w:sdt>
    <w:r w:rsidR="00235853">
      <w:rPr>
        <w:rStyle w:val="PageNumber"/>
      </w:rPr>
      <w:t xml:space="preserve"> </w:t>
    </w:r>
    <w:r w:rsidR="00334ADB">
      <w:t>|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A3096C" w14:textId="77777777" w:rsidR="00136049" w:rsidRDefault="00136049" w:rsidP="00235853">
      <w:r>
        <w:separator/>
      </w:r>
    </w:p>
  </w:footnote>
  <w:footnote w:type="continuationSeparator" w:id="0">
    <w:p w14:paraId="1AFB95BB" w14:textId="77777777" w:rsidR="00136049" w:rsidRDefault="00136049" w:rsidP="00235853">
      <w:r>
        <w:continuationSeparator/>
      </w:r>
    </w:p>
  </w:footnote>
  <w:footnote w:id="1">
    <w:p w14:paraId="1AC4F7CB" w14:textId="77777777" w:rsidR="00DA6E92" w:rsidRPr="00581651" w:rsidRDefault="00DA6E92" w:rsidP="00581651">
      <w:pPr>
        <w:pStyle w:val="Footer"/>
        <w:rPr>
          <w:sz w:val="20"/>
          <w:szCs w:val="20"/>
        </w:rPr>
      </w:pPr>
      <w:r w:rsidRPr="00572370">
        <w:rPr>
          <w:rStyle w:val="FootnoteReference"/>
        </w:rPr>
        <w:footnoteRef/>
      </w:r>
      <w:r w:rsidRPr="00572370">
        <w:t xml:space="preserve"> </w:t>
      </w:r>
      <w:r w:rsidRPr="00581651">
        <w:rPr>
          <w:sz w:val="20"/>
          <w:szCs w:val="20"/>
        </w:rPr>
        <w:t>Work Health and Safety Amendment (Digital Work Systems) Act 2026 (NSW) No 5 (‘the Act’).</w:t>
      </w:r>
    </w:p>
  </w:footnote>
  <w:footnote w:id="2">
    <w:p w14:paraId="1162E5B0" w14:textId="77777777" w:rsidR="00DA6E92" w:rsidRPr="00581651" w:rsidRDefault="00DA6E92" w:rsidP="00581651">
      <w:pPr>
        <w:pStyle w:val="Footer"/>
        <w:rPr>
          <w:sz w:val="20"/>
          <w:szCs w:val="20"/>
        </w:rPr>
      </w:pPr>
      <w:r w:rsidRPr="00581651">
        <w:rPr>
          <w:rStyle w:val="FootnoteReference"/>
          <w:sz w:val="20"/>
          <w:szCs w:val="20"/>
        </w:rPr>
        <w:footnoteRef/>
      </w:r>
      <w:r w:rsidRPr="00581651">
        <w:rPr>
          <w:sz w:val="20"/>
          <w:szCs w:val="20"/>
        </w:rPr>
        <w:t xml:space="preserve"> Work Health and Safety Act 2011 (NSW) s 19(1).</w:t>
      </w:r>
    </w:p>
  </w:footnote>
  <w:footnote w:id="3">
    <w:p w14:paraId="1A125A98" w14:textId="77777777" w:rsidR="00DA6E92" w:rsidRPr="00581651" w:rsidRDefault="00DA6E92" w:rsidP="00581651">
      <w:pPr>
        <w:pStyle w:val="Footer"/>
        <w:rPr>
          <w:sz w:val="20"/>
          <w:szCs w:val="20"/>
        </w:rPr>
      </w:pPr>
      <w:r w:rsidRPr="00581651">
        <w:rPr>
          <w:rStyle w:val="FootnoteReference"/>
          <w:sz w:val="20"/>
          <w:szCs w:val="20"/>
        </w:rPr>
        <w:footnoteRef/>
      </w:r>
      <w:r w:rsidRPr="00581651">
        <w:rPr>
          <w:sz w:val="20"/>
          <w:szCs w:val="20"/>
        </w:rPr>
        <w:t xml:space="preserve"> New South Wales, Parliamentary Debates, Legislative Assembly, 11 February 2026 (Sophie Cotsis, Minister for Work Health and Safety) (Second Reading Speech, Work Health and Safety Amendment (Digital Work Systems) Bill 2025).</w:t>
      </w:r>
    </w:p>
  </w:footnote>
  <w:footnote w:id="4">
    <w:p w14:paraId="4D2A41E6" w14:textId="77777777" w:rsidR="00DA6E92" w:rsidRPr="00581651" w:rsidRDefault="00DA6E92" w:rsidP="00581651">
      <w:pPr>
        <w:pStyle w:val="Footer"/>
        <w:rPr>
          <w:sz w:val="20"/>
          <w:szCs w:val="20"/>
        </w:rPr>
      </w:pPr>
      <w:r w:rsidRPr="00581651">
        <w:rPr>
          <w:rStyle w:val="FootnoteReference"/>
          <w:sz w:val="20"/>
          <w:szCs w:val="20"/>
        </w:rPr>
        <w:footnoteRef/>
      </w:r>
      <w:r w:rsidRPr="00581651">
        <w:rPr>
          <w:sz w:val="20"/>
          <w:szCs w:val="20"/>
        </w:rPr>
        <w:t xml:space="preserve"> Work Health and Safety Amendment (Digital Work Systems) Act 2026 (NSW) No 5, s 5, definition of ‘digital work system’.</w:t>
      </w:r>
    </w:p>
  </w:footnote>
  <w:footnote w:id="5">
    <w:p w14:paraId="692EF5BC" w14:textId="77777777" w:rsidR="00DA6E92" w:rsidRPr="00581651" w:rsidRDefault="00DA6E92" w:rsidP="00581651">
      <w:pPr>
        <w:pStyle w:val="Footer"/>
        <w:rPr>
          <w:sz w:val="20"/>
          <w:szCs w:val="20"/>
        </w:rPr>
      </w:pPr>
      <w:r w:rsidRPr="00581651">
        <w:rPr>
          <w:rStyle w:val="FootnoteReference"/>
          <w:sz w:val="20"/>
          <w:szCs w:val="20"/>
        </w:rPr>
        <w:footnoteRef/>
      </w:r>
      <w:r w:rsidRPr="00581651">
        <w:rPr>
          <w:sz w:val="20"/>
          <w:szCs w:val="20"/>
        </w:rPr>
        <w:t xml:space="preserve"> Work Health and Safety Amendment (Digital Work Systems) Act 2026 (NSW) No 5, s 21A(1).</w:t>
      </w:r>
    </w:p>
  </w:footnote>
  <w:footnote w:id="6">
    <w:p w14:paraId="49961DB0" w14:textId="77777777" w:rsidR="00DA6E92" w:rsidRPr="00581651" w:rsidRDefault="00DA6E92" w:rsidP="00581651">
      <w:pPr>
        <w:pStyle w:val="Footer"/>
        <w:rPr>
          <w:sz w:val="20"/>
          <w:szCs w:val="20"/>
        </w:rPr>
      </w:pPr>
      <w:r w:rsidRPr="00581651">
        <w:rPr>
          <w:rStyle w:val="FootnoteReference"/>
          <w:sz w:val="20"/>
          <w:szCs w:val="20"/>
        </w:rPr>
        <w:footnoteRef/>
      </w:r>
      <w:r w:rsidRPr="00581651">
        <w:rPr>
          <w:sz w:val="20"/>
          <w:szCs w:val="20"/>
        </w:rPr>
        <w:t xml:space="preserve"> Work Health and Safety Amendment (Digital Work Systems) Act 2026 (NSW) No 5, s 21A(2)(a)-(d).</w:t>
      </w:r>
    </w:p>
  </w:footnote>
  <w:footnote w:id="7">
    <w:p w14:paraId="1EFDD476" w14:textId="77777777" w:rsidR="00DA6E92" w:rsidRPr="00581651" w:rsidRDefault="00DA6E92" w:rsidP="00581651">
      <w:pPr>
        <w:pStyle w:val="Footer"/>
        <w:rPr>
          <w:sz w:val="20"/>
          <w:szCs w:val="20"/>
        </w:rPr>
      </w:pPr>
      <w:r w:rsidRPr="00581651">
        <w:rPr>
          <w:rStyle w:val="FootnoteReference"/>
          <w:sz w:val="20"/>
          <w:szCs w:val="20"/>
        </w:rPr>
        <w:footnoteRef/>
      </w:r>
      <w:r w:rsidRPr="00581651">
        <w:rPr>
          <w:sz w:val="20"/>
          <w:szCs w:val="20"/>
        </w:rPr>
        <w:t xml:space="preserve"> Work Health and Safety Amendment (Digital Work Systems) Act 2026 (NSW) No 5, s 276E.</w:t>
      </w:r>
    </w:p>
  </w:footnote>
  <w:footnote w:id="8">
    <w:p w14:paraId="0ACC7F73" w14:textId="77777777" w:rsidR="00DA6E92" w:rsidRPr="00581651" w:rsidRDefault="00DA6E92" w:rsidP="00581651">
      <w:pPr>
        <w:pStyle w:val="Footer"/>
        <w:rPr>
          <w:sz w:val="20"/>
          <w:szCs w:val="20"/>
        </w:rPr>
      </w:pPr>
      <w:r w:rsidRPr="00581651">
        <w:rPr>
          <w:rStyle w:val="FootnoteReference"/>
          <w:sz w:val="20"/>
          <w:szCs w:val="20"/>
        </w:rPr>
        <w:footnoteRef/>
      </w:r>
      <w:r w:rsidRPr="00581651">
        <w:rPr>
          <w:sz w:val="20"/>
          <w:szCs w:val="20"/>
        </w:rPr>
        <w:t xml:space="preserve"> Colin Biggers &amp; Paisley, ‘NSW Amends WHS Act: Employers Are Now Expressly Required to Consider the Risks of Using AI’ (Online Publication, 17 February 2026) </w:t>
      </w:r>
      <w:hyperlink r:id="rId1" w:history="1">
        <w:r w:rsidRPr="00581651">
          <w:rPr>
            <w:rStyle w:val="Hyperlink"/>
            <w:rFonts w:eastAsia="Times New Roman"/>
            <w:sz w:val="20"/>
            <w:szCs w:val="20"/>
          </w:rPr>
          <w:t>https://www.cbp.com.au/insights/publications/nsw-amend-whs-act-employers-now-expressly-required-to-consider-the-risks-of-using-ai</w:t>
        </w:r>
      </w:hyperlink>
      <w:r w:rsidRPr="00581651">
        <w:rPr>
          <w:sz w:val="20"/>
          <w:szCs w:val="20"/>
        </w:rPr>
        <w:t>.</w:t>
      </w:r>
    </w:p>
  </w:footnote>
  <w:footnote w:id="9">
    <w:p w14:paraId="62420451" w14:textId="77777777" w:rsidR="00DA6E92" w:rsidRPr="00581651" w:rsidRDefault="00DA6E92" w:rsidP="00581651">
      <w:pPr>
        <w:pStyle w:val="Footer"/>
        <w:rPr>
          <w:sz w:val="20"/>
          <w:szCs w:val="20"/>
        </w:rPr>
      </w:pPr>
      <w:r w:rsidRPr="00581651">
        <w:rPr>
          <w:rStyle w:val="FootnoteReference"/>
          <w:sz w:val="20"/>
          <w:szCs w:val="20"/>
        </w:rPr>
        <w:footnoteRef/>
      </w:r>
      <w:r w:rsidRPr="00581651">
        <w:rPr>
          <w:sz w:val="20"/>
          <w:szCs w:val="20"/>
        </w:rPr>
        <w:t xml:space="preserve"> Norton Rose Fulbright, ‘NSW Parliament Passes Digital Work Systems Bill: What Employers Need to Know’ (Online Publication, 20 February 2026) </w:t>
      </w:r>
      <w:hyperlink r:id="rId2" w:history="1">
        <w:r w:rsidRPr="00581651">
          <w:rPr>
            <w:rStyle w:val="Hyperlink"/>
            <w:rFonts w:eastAsia="Times New Roman"/>
            <w:sz w:val="20"/>
            <w:szCs w:val="20"/>
          </w:rPr>
          <w:t>https://www.nortonrosefulbright.com/en-au/knowledge/publications/d75c5d28/nsw-parliament-passes-digital-work-systems-bill-what-employers-need-to-know</w:t>
        </w:r>
      </w:hyperlink>
      <w:r w:rsidRPr="00581651">
        <w:rPr>
          <w:sz w:val="20"/>
          <w:szCs w:val="20"/>
        </w:rPr>
        <w:t>.</w:t>
      </w:r>
    </w:p>
  </w:footnote>
  <w:footnote w:id="10">
    <w:p w14:paraId="19AC7158" w14:textId="77777777" w:rsidR="00DA6E92" w:rsidRPr="00581651" w:rsidRDefault="00DA6E92" w:rsidP="00581651">
      <w:pPr>
        <w:pStyle w:val="Footer"/>
        <w:rPr>
          <w:sz w:val="20"/>
          <w:szCs w:val="20"/>
        </w:rPr>
      </w:pPr>
      <w:r w:rsidRPr="00581651">
        <w:rPr>
          <w:rStyle w:val="FootnoteReference"/>
          <w:sz w:val="20"/>
          <w:szCs w:val="20"/>
        </w:rPr>
        <w:footnoteRef/>
      </w:r>
      <w:r w:rsidRPr="00581651">
        <w:rPr>
          <w:sz w:val="20"/>
          <w:szCs w:val="20"/>
        </w:rPr>
        <w:t xml:space="preserve"> Pinsent Masons, ‘NSW Becomes First Australian State to Regulate Digital Safety Risks in the Workplace’ (Online Publication, 13 February 2026) </w:t>
      </w:r>
      <w:hyperlink r:id="rId3" w:history="1">
        <w:r w:rsidRPr="00581651">
          <w:rPr>
            <w:rStyle w:val="Hyperlink"/>
            <w:rFonts w:eastAsia="Times New Roman"/>
            <w:sz w:val="20"/>
            <w:szCs w:val="20"/>
          </w:rPr>
          <w:t>https://www.pinsentmasons.com/out-law/analysis/nsw-digital-work-systems-amendment</w:t>
        </w:r>
      </w:hyperlink>
      <w:r w:rsidRPr="00581651">
        <w:rPr>
          <w:sz w:val="20"/>
          <w:szCs w:val="20"/>
        </w:rPr>
        <w:t>.</w:t>
      </w:r>
    </w:p>
  </w:footnote>
  <w:footnote w:id="11">
    <w:p w14:paraId="0784EF40" w14:textId="77777777" w:rsidR="00DA6E92" w:rsidRPr="00581651" w:rsidRDefault="00DA6E92" w:rsidP="00581651">
      <w:pPr>
        <w:pStyle w:val="Footer"/>
        <w:rPr>
          <w:sz w:val="20"/>
          <w:szCs w:val="20"/>
        </w:rPr>
      </w:pPr>
      <w:r w:rsidRPr="00581651">
        <w:rPr>
          <w:rStyle w:val="FootnoteReference"/>
          <w:sz w:val="20"/>
          <w:szCs w:val="20"/>
        </w:rPr>
        <w:footnoteRef/>
      </w:r>
      <w:r w:rsidRPr="00581651">
        <w:rPr>
          <w:sz w:val="20"/>
          <w:szCs w:val="20"/>
        </w:rPr>
        <w:t xml:space="preserve">PwC Australia, ‘When Technology Becomes a WHS Risk: NSW's Landmark Act Spotlights Digital Work Systems’ (Online Publication, February 2026) </w:t>
      </w:r>
      <w:hyperlink r:id="rId4" w:history="1">
        <w:r w:rsidRPr="00581651">
          <w:rPr>
            <w:rStyle w:val="Hyperlink"/>
            <w:rFonts w:eastAsia="Times New Roman"/>
            <w:sz w:val="20"/>
            <w:szCs w:val="20"/>
          </w:rPr>
          <w:t>https://www.pwc.com.au/legal/workplace-law/when-technology-becomes-a-whs-risk.html</w:t>
        </w:r>
      </w:hyperlink>
      <w:r w:rsidRPr="00581651">
        <w:rPr>
          <w:sz w:val="20"/>
          <w:szCs w:val="20"/>
        </w:rPr>
        <w:t>.</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08B"/>
    <w:rsid w:val="0007301A"/>
    <w:rsid w:val="0008172E"/>
    <w:rsid w:val="000A4193"/>
    <w:rsid w:val="000A7F76"/>
    <w:rsid w:val="000B2023"/>
    <w:rsid w:val="000D128E"/>
    <w:rsid w:val="000F108B"/>
    <w:rsid w:val="00111C95"/>
    <w:rsid w:val="00134090"/>
    <w:rsid w:val="00136049"/>
    <w:rsid w:val="00137E3E"/>
    <w:rsid w:val="00147DC9"/>
    <w:rsid w:val="00166E10"/>
    <w:rsid w:val="001676C3"/>
    <w:rsid w:val="00175486"/>
    <w:rsid w:val="00195F7D"/>
    <w:rsid w:val="001A3BD0"/>
    <w:rsid w:val="001B7DFD"/>
    <w:rsid w:val="001C6A9D"/>
    <w:rsid w:val="001F059D"/>
    <w:rsid w:val="001F21E4"/>
    <w:rsid w:val="001F7E70"/>
    <w:rsid w:val="001F7F8C"/>
    <w:rsid w:val="0021596B"/>
    <w:rsid w:val="00220042"/>
    <w:rsid w:val="0023078B"/>
    <w:rsid w:val="00235853"/>
    <w:rsid w:val="00240E95"/>
    <w:rsid w:val="00262BED"/>
    <w:rsid w:val="00266CC9"/>
    <w:rsid w:val="0027444B"/>
    <w:rsid w:val="00285268"/>
    <w:rsid w:val="00294CA4"/>
    <w:rsid w:val="002D6AA4"/>
    <w:rsid w:val="002F23C0"/>
    <w:rsid w:val="003009B1"/>
    <w:rsid w:val="00300E0C"/>
    <w:rsid w:val="0032017D"/>
    <w:rsid w:val="00334ADB"/>
    <w:rsid w:val="0033580E"/>
    <w:rsid w:val="00341B1E"/>
    <w:rsid w:val="00344A17"/>
    <w:rsid w:val="00356093"/>
    <w:rsid w:val="003A02E1"/>
    <w:rsid w:val="003A1CFB"/>
    <w:rsid w:val="003B7C76"/>
    <w:rsid w:val="003C2E5F"/>
    <w:rsid w:val="003E43B4"/>
    <w:rsid w:val="003E7602"/>
    <w:rsid w:val="003E7BC4"/>
    <w:rsid w:val="00404131"/>
    <w:rsid w:val="00405FCE"/>
    <w:rsid w:val="004428B7"/>
    <w:rsid w:val="00454AE5"/>
    <w:rsid w:val="0046317F"/>
    <w:rsid w:val="00464656"/>
    <w:rsid w:val="0046610A"/>
    <w:rsid w:val="00480628"/>
    <w:rsid w:val="00480B5D"/>
    <w:rsid w:val="00482078"/>
    <w:rsid w:val="00483774"/>
    <w:rsid w:val="00483FDC"/>
    <w:rsid w:val="004D2AC4"/>
    <w:rsid w:val="004D4240"/>
    <w:rsid w:val="004E3D64"/>
    <w:rsid w:val="004E66C5"/>
    <w:rsid w:val="004F4891"/>
    <w:rsid w:val="004F5299"/>
    <w:rsid w:val="00531BB6"/>
    <w:rsid w:val="00553DD0"/>
    <w:rsid w:val="00564DFA"/>
    <w:rsid w:val="00571DCD"/>
    <w:rsid w:val="00580005"/>
    <w:rsid w:val="00580B86"/>
    <w:rsid w:val="00581651"/>
    <w:rsid w:val="0058507A"/>
    <w:rsid w:val="00596E11"/>
    <w:rsid w:val="005A2FB7"/>
    <w:rsid w:val="005A6F4D"/>
    <w:rsid w:val="005D092F"/>
    <w:rsid w:val="005E1FFE"/>
    <w:rsid w:val="00601F4E"/>
    <w:rsid w:val="00602F53"/>
    <w:rsid w:val="006059CA"/>
    <w:rsid w:val="00610E85"/>
    <w:rsid w:val="00613015"/>
    <w:rsid w:val="006137B4"/>
    <w:rsid w:val="00621706"/>
    <w:rsid w:val="00630EB4"/>
    <w:rsid w:val="00634D86"/>
    <w:rsid w:val="00691C4F"/>
    <w:rsid w:val="006B0791"/>
    <w:rsid w:val="006B7BEF"/>
    <w:rsid w:val="006C0C11"/>
    <w:rsid w:val="006C458F"/>
    <w:rsid w:val="006F60E7"/>
    <w:rsid w:val="006F651C"/>
    <w:rsid w:val="00714231"/>
    <w:rsid w:val="00727A61"/>
    <w:rsid w:val="0076135F"/>
    <w:rsid w:val="0076785F"/>
    <w:rsid w:val="007769FF"/>
    <w:rsid w:val="007969BD"/>
    <w:rsid w:val="007A4BF8"/>
    <w:rsid w:val="007B1D20"/>
    <w:rsid w:val="007B71B0"/>
    <w:rsid w:val="007C4F96"/>
    <w:rsid w:val="007D2217"/>
    <w:rsid w:val="007F17E8"/>
    <w:rsid w:val="00805941"/>
    <w:rsid w:val="00806120"/>
    <w:rsid w:val="0080654C"/>
    <w:rsid w:val="008132C3"/>
    <w:rsid w:val="008215DC"/>
    <w:rsid w:val="00840943"/>
    <w:rsid w:val="00843BE6"/>
    <w:rsid w:val="0085433B"/>
    <w:rsid w:val="00893441"/>
    <w:rsid w:val="008A391C"/>
    <w:rsid w:val="008B0CF6"/>
    <w:rsid w:val="008B7194"/>
    <w:rsid w:val="008B7902"/>
    <w:rsid w:val="008F57CF"/>
    <w:rsid w:val="009035F2"/>
    <w:rsid w:val="009142C9"/>
    <w:rsid w:val="00924A66"/>
    <w:rsid w:val="00930211"/>
    <w:rsid w:val="0093046D"/>
    <w:rsid w:val="00944B71"/>
    <w:rsid w:val="009470FA"/>
    <w:rsid w:val="0095632F"/>
    <w:rsid w:val="00962EBB"/>
    <w:rsid w:val="009929D2"/>
    <w:rsid w:val="00997C34"/>
    <w:rsid w:val="009C531C"/>
    <w:rsid w:val="009D06C6"/>
    <w:rsid w:val="009E1A7D"/>
    <w:rsid w:val="00A01517"/>
    <w:rsid w:val="00A03A12"/>
    <w:rsid w:val="00A0638E"/>
    <w:rsid w:val="00A502FB"/>
    <w:rsid w:val="00A540EA"/>
    <w:rsid w:val="00A830C0"/>
    <w:rsid w:val="00A97FC9"/>
    <w:rsid w:val="00AA3760"/>
    <w:rsid w:val="00AA67FB"/>
    <w:rsid w:val="00AD2504"/>
    <w:rsid w:val="00B02D14"/>
    <w:rsid w:val="00B15DDE"/>
    <w:rsid w:val="00B33213"/>
    <w:rsid w:val="00B46C49"/>
    <w:rsid w:val="00B832BA"/>
    <w:rsid w:val="00B868C3"/>
    <w:rsid w:val="00B97C02"/>
    <w:rsid w:val="00BA00F7"/>
    <w:rsid w:val="00BA3EFC"/>
    <w:rsid w:val="00BB66EB"/>
    <w:rsid w:val="00BC443F"/>
    <w:rsid w:val="00BC6547"/>
    <w:rsid w:val="00BD62C4"/>
    <w:rsid w:val="00BE5553"/>
    <w:rsid w:val="00C00C1E"/>
    <w:rsid w:val="00C03D6F"/>
    <w:rsid w:val="00C41993"/>
    <w:rsid w:val="00C63EA7"/>
    <w:rsid w:val="00C65049"/>
    <w:rsid w:val="00C8782D"/>
    <w:rsid w:val="00C94C21"/>
    <w:rsid w:val="00CB7B0F"/>
    <w:rsid w:val="00CE2659"/>
    <w:rsid w:val="00D04592"/>
    <w:rsid w:val="00D1061C"/>
    <w:rsid w:val="00D30760"/>
    <w:rsid w:val="00D5782C"/>
    <w:rsid w:val="00D67988"/>
    <w:rsid w:val="00D74462"/>
    <w:rsid w:val="00D75D0F"/>
    <w:rsid w:val="00D774EF"/>
    <w:rsid w:val="00D94C07"/>
    <w:rsid w:val="00DA6E92"/>
    <w:rsid w:val="00DC1F28"/>
    <w:rsid w:val="00DE365C"/>
    <w:rsid w:val="00DE7698"/>
    <w:rsid w:val="00DF314C"/>
    <w:rsid w:val="00E00CF1"/>
    <w:rsid w:val="00E0232C"/>
    <w:rsid w:val="00E030D6"/>
    <w:rsid w:val="00E160C6"/>
    <w:rsid w:val="00E179B4"/>
    <w:rsid w:val="00E23ACE"/>
    <w:rsid w:val="00E25FB3"/>
    <w:rsid w:val="00E35F81"/>
    <w:rsid w:val="00E45958"/>
    <w:rsid w:val="00E465E4"/>
    <w:rsid w:val="00E6116E"/>
    <w:rsid w:val="00E6236F"/>
    <w:rsid w:val="00E660C7"/>
    <w:rsid w:val="00E95486"/>
    <w:rsid w:val="00E95E96"/>
    <w:rsid w:val="00EC40F3"/>
    <w:rsid w:val="00EF6D7D"/>
    <w:rsid w:val="00EF7F99"/>
    <w:rsid w:val="00F05EA0"/>
    <w:rsid w:val="00F1081F"/>
    <w:rsid w:val="00F15FF2"/>
    <w:rsid w:val="00F166DC"/>
    <w:rsid w:val="00F22977"/>
    <w:rsid w:val="00F3602A"/>
    <w:rsid w:val="00F52A96"/>
    <w:rsid w:val="00F6794E"/>
    <w:rsid w:val="00F73151"/>
    <w:rsid w:val="00F74AD5"/>
    <w:rsid w:val="00F76D99"/>
    <w:rsid w:val="00F772BB"/>
    <w:rsid w:val="00F81255"/>
    <w:rsid w:val="00F84D64"/>
    <w:rsid w:val="00F972AD"/>
    <w:rsid w:val="00FA4988"/>
    <w:rsid w:val="00FA4E12"/>
    <w:rsid w:val="00FB2581"/>
    <w:rsid w:val="00FB5B18"/>
    <w:rsid w:val="00FD42E0"/>
    <w:rsid w:val="00FD531E"/>
    <w:rsid w:val="00FE034A"/>
    <w:rsid w:val="00FE62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47C0F"/>
  <w15:chartTrackingRefBased/>
  <w15:docId w15:val="{5B7C685B-599E-F249-9F2E-FA1E023E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853"/>
    <w:pPr>
      <w:spacing w:after="240" w:line="360" w:lineRule="auto"/>
    </w:pPr>
    <w:rPr>
      <w:rFonts w:ascii="Times New Roman" w:hAnsi="Times New Roman" w:cs="Times New Roman"/>
    </w:rPr>
  </w:style>
  <w:style w:type="paragraph" w:styleId="Heading1">
    <w:name w:val="heading 1"/>
    <w:basedOn w:val="Normal"/>
    <w:next w:val="Normal"/>
    <w:link w:val="Heading1Char"/>
    <w:uiPriority w:val="9"/>
    <w:qFormat/>
    <w:rsid w:val="00E23ACE"/>
    <w:pPr>
      <w:jc w:val="center"/>
      <w:outlineLvl w:val="0"/>
    </w:pPr>
    <w:rPr>
      <w:b/>
      <w:bCs/>
      <w:color w:val="000000" w:themeColor="text1"/>
      <w:sz w:val="28"/>
      <w:szCs w:val="28"/>
    </w:rPr>
  </w:style>
  <w:style w:type="paragraph" w:styleId="Heading2">
    <w:name w:val="heading 2"/>
    <w:basedOn w:val="Normal"/>
    <w:next w:val="Normal"/>
    <w:link w:val="Heading2Char"/>
    <w:uiPriority w:val="9"/>
    <w:unhideWhenUsed/>
    <w:qFormat/>
    <w:rsid w:val="00235853"/>
    <w:pPr>
      <w:outlineLvl w:val="1"/>
    </w:pPr>
    <w:rPr>
      <w:u w:val="single"/>
    </w:rPr>
  </w:style>
  <w:style w:type="paragraph" w:styleId="Heading3">
    <w:name w:val="heading 3"/>
    <w:basedOn w:val="Normal"/>
    <w:next w:val="Normal"/>
    <w:link w:val="Heading3Char"/>
    <w:uiPriority w:val="9"/>
    <w:semiHidden/>
    <w:unhideWhenUsed/>
    <w:qFormat/>
    <w:rsid w:val="000F10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0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0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0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0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0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0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ACE"/>
    <w:rPr>
      <w:rFonts w:ascii="Times New Roman" w:hAnsi="Times New Roman" w:cs="Times New Roman"/>
      <w:b/>
      <w:bCs/>
      <w:color w:val="000000" w:themeColor="text1"/>
      <w:sz w:val="28"/>
      <w:szCs w:val="28"/>
    </w:rPr>
  </w:style>
  <w:style w:type="character" w:customStyle="1" w:styleId="Heading2Char">
    <w:name w:val="Heading 2 Char"/>
    <w:basedOn w:val="DefaultParagraphFont"/>
    <w:link w:val="Heading2"/>
    <w:uiPriority w:val="9"/>
    <w:rsid w:val="00235853"/>
    <w:rPr>
      <w:rFonts w:ascii="Times New Roman" w:hAnsi="Times New Roman" w:cs="Times New Roman"/>
      <w:u w:val="single"/>
    </w:rPr>
  </w:style>
  <w:style w:type="character" w:customStyle="1" w:styleId="Heading3Char">
    <w:name w:val="Heading 3 Char"/>
    <w:basedOn w:val="DefaultParagraphFont"/>
    <w:link w:val="Heading3"/>
    <w:uiPriority w:val="9"/>
    <w:semiHidden/>
    <w:rsid w:val="000F10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0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0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0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0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0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08B"/>
    <w:rPr>
      <w:rFonts w:eastAsiaTheme="majorEastAsia" w:cstheme="majorBidi"/>
      <w:color w:val="272727" w:themeColor="text1" w:themeTint="D8"/>
    </w:rPr>
  </w:style>
  <w:style w:type="paragraph" w:styleId="Title">
    <w:name w:val="Title"/>
    <w:basedOn w:val="Normal"/>
    <w:next w:val="Normal"/>
    <w:link w:val="TitleChar"/>
    <w:uiPriority w:val="10"/>
    <w:qFormat/>
    <w:rsid w:val="001C6A9D"/>
    <w:pPr>
      <w:jc w:val="center"/>
    </w:pPr>
    <w:rPr>
      <w:color w:val="FFFFFF" w:themeColor="background1"/>
      <w:sz w:val="48"/>
      <w:szCs w:val="48"/>
    </w:rPr>
  </w:style>
  <w:style w:type="character" w:customStyle="1" w:styleId="TitleChar">
    <w:name w:val="Title Char"/>
    <w:basedOn w:val="DefaultParagraphFont"/>
    <w:link w:val="Title"/>
    <w:uiPriority w:val="10"/>
    <w:rsid w:val="001C6A9D"/>
    <w:rPr>
      <w:rFonts w:ascii="Times New Roman" w:hAnsi="Times New Roman" w:cs="Times New Roman"/>
      <w:color w:val="FFFFFF" w:themeColor="background1"/>
      <w:sz w:val="48"/>
      <w:szCs w:val="48"/>
    </w:rPr>
  </w:style>
  <w:style w:type="paragraph" w:styleId="Subtitle">
    <w:name w:val="Subtitle"/>
    <w:basedOn w:val="Normal"/>
    <w:next w:val="Normal"/>
    <w:link w:val="SubtitleChar"/>
    <w:uiPriority w:val="11"/>
    <w:qFormat/>
    <w:rsid w:val="00262BED"/>
    <w:pPr>
      <w:spacing w:after="0"/>
      <w:jc w:val="center"/>
    </w:pPr>
    <w:rPr>
      <w:i/>
      <w:iCs/>
      <w:color w:val="FFFFFF" w:themeColor="background1"/>
      <w:sz w:val="36"/>
      <w:szCs w:val="36"/>
    </w:rPr>
  </w:style>
  <w:style w:type="character" w:customStyle="1" w:styleId="SubtitleChar">
    <w:name w:val="Subtitle Char"/>
    <w:basedOn w:val="DefaultParagraphFont"/>
    <w:link w:val="Subtitle"/>
    <w:uiPriority w:val="11"/>
    <w:rsid w:val="00262BED"/>
    <w:rPr>
      <w:rFonts w:ascii="Times New Roman" w:hAnsi="Times New Roman" w:cs="Times New Roman"/>
      <w:i/>
      <w:iCs/>
      <w:color w:val="FFFFFF" w:themeColor="background1"/>
      <w:sz w:val="36"/>
      <w:szCs w:val="36"/>
    </w:rPr>
  </w:style>
  <w:style w:type="paragraph" w:styleId="Quote">
    <w:name w:val="Quote"/>
    <w:basedOn w:val="Normal"/>
    <w:next w:val="Normal"/>
    <w:link w:val="QuoteChar"/>
    <w:uiPriority w:val="29"/>
    <w:qFormat/>
    <w:rsid w:val="000F108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108B"/>
    <w:rPr>
      <w:i/>
      <w:iCs/>
      <w:color w:val="404040" w:themeColor="text1" w:themeTint="BF"/>
    </w:rPr>
  </w:style>
  <w:style w:type="paragraph" w:styleId="ListParagraph">
    <w:name w:val="List Paragraph"/>
    <w:basedOn w:val="Normal"/>
    <w:uiPriority w:val="34"/>
    <w:qFormat/>
    <w:rsid w:val="000F108B"/>
    <w:pPr>
      <w:ind w:left="720"/>
      <w:contextualSpacing/>
    </w:pPr>
  </w:style>
  <w:style w:type="character" w:styleId="IntenseEmphasis">
    <w:name w:val="Intense Emphasis"/>
    <w:basedOn w:val="DefaultParagraphFont"/>
    <w:uiPriority w:val="21"/>
    <w:qFormat/>
    <w:rsid w:val="000F108B"/>
    <w:rPr>
      <w:i/>
      <w:iCs/>
      <w:color w:val="0F4761" w:themeColor="accent1" w:themeShade="BF"/>
    </w:rPr>
  </w:style>
  <w:style w:type="paragraph" w:styleId="IntenseQuote">
    <w:name w:val="Intense Quote"/>
    <w:basedOn w:val="Normal"/>
    <w:next w:val="Normal"/>
    <w:link w:val="IntenseQuoteChar"/>
    <w:uiPriority w:val="30"/>
    <w:qFormat/>
    <w:rsid w:val="000F1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08B"/>
    <w:rPr>
      <w:i/>
      <w:iCs/>
      <w:color w:val="0F4761" w:themeColor="accent1" w:themeShade="BF"/>
    </w:rPr>
  </w:style>
  <w:style w:type="character" w:styleId="IntenseReference">
    <w:name w:val="Intense Reference"/>
    <w:basedOn w:val="DefaultParagraphFont"/>
    <w:uiPriority w:val="32"/>
    <w:qFormat/>
    <w:rsid w:val="000F108B"/>
    <w:rPr>
      <w:b/>
      <w:bCs/>
      <w:smallCaps/>
      <w:color w:val="0F4761" w:themeColor="accent1" w:themeShade="BF"/>
      <w:spacing w:val="5"/>
    </w:rPr>
  </w:style>
  <w:style w:type="paragraph" w:styleId="Header">
    <w:name w:val="header"/>
    <w:basedOn w:val="Normal"/>
    <w:link w:val="HeaderChar"/>
    <w:uiPriority w:val="99"/>
    <w:unhideWhenUsed/>
    <w:rsid w:val="00334A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ADB"/>
    <w:rPr>
      <w:rFonts w:ascii="Times New Roman" w:hAnsi="Times New Roman" w:cs="Times New Roman"/>
      <w:sz w:val="22"/>
      <w:szCs w:val="22"/>
    </w:rPr>
  </w:style>
  <w:style w:type="paragraph" w:styleId="Footer">
    <w:name w:val="footer"/>
    <w:basedOn w:val="Normal"/>
    <w:link w:val="FooterChar"/>
    <w:uiPriority w:val="99"/>
    <w:unhideWhenUsed/>
    <w:rsid w:val="00334A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ADB"/>
    <w:rPr>
      <w:rFonts w:ascii="Times New Roman" w:hAnsi="Times New Roman" w:cs="Times New Roman"/>
      <w:sz w:val="22"/>
      <w:szCs w:val="22"/>
    </w:rPr>
  </w:style>
  <w:style w:type="character" w:styleId="PageNumber">
    <w:name w:val="page number"/>
    <w:basedOn w:val="DefaultParagraphFont"/>
    <w:uiPriority w:val="99"/>
    <w:semiHidden/>
    <w:unhideWhenUsed/>
    <w:rsid w:val="00334ADB"/>
  </w:style>
  <w:style w:type="character" w:styleId="SubtleEmphasis">
    <w:name w:val="Subtle Emphasis"/>
    <w:uiPriority w:val="19"/>
    <w:qFormat/>
    <w:rsid w:val="00E23ACE"/>
    <w:rPr>
      <w:sz w:val="24"/>
      <w:szCs w:val="24"/>
    </w:rPr>
  </w:style>
  <w:style w:type="character" w:styleId="Strong">
    <w:name w:val="Strong"/>
    <w:uiPriority w:val="22"/>
    <w:qFormat/>
    <w:rsid w:val="001C6A9D"/>
  </w:style>
  <w:style w:type="character" w:styleId="FootnoteReference">
    <w:name w:val="footnote reference"/>
    <w:uiPriority w:val="99"/>
    <w:semiHidden/>
    <w:unhideWhenUsed/>
    <w:rsid w:val="00DA6E92"/>
    <w:rPr>
      <w:vertAlign w:val="superscript"/>
    </w:rPr>
  </w:style>
  <w:style w:type="paragraph" w:styleId="FootnoteText">
    <w:name w:val="footnote text"/>
    <w:basedOn w:val="Normal"/>
    <w:link w:val="FootnoteTextChar"/>
    <w:uiPriority w:val="99"/>
    <w:semiHidden/>
    <w:unhideWhenUsed/>
    <w:rsid w:val="00DA6E92"/>
    <w:pPr>
      <w:spacing w:after="0" w:line="240" w:lineRule="auto"/>
    </w:pPr>
    <w:rPr>
      <w:rFonts w:ascii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DA6E92"/>
    <w:rPr>
      <w:kern w:val="2"/>
      <w:sz w:val="20"/>
      <w:szCs w:val="20"/>
      <w14:ligatures w14:val="standardContextual"/>
    </w:rPr>
  </w:style>
  <w:style w:type="character" w:styleId="Hyperlink">
    <w:name w:val="Hyperlink"/>
    <w:basedOn w:val="DefaultParagraphFont"/>
    <w:uiPriority w:val="99"/>
    <w:unhideWhenUsed/>
    <w:rsid w:val="00DA6E9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pinsentmasons.com/out-law/analysis/nsw-digital-work-systems-amendment" TargetMode="External"/><Relationship Id="rId2" Type="http://schemas.openxmlformats.org/officeDocument/2006/relationships/hyperlink" Target="https://www.nortonrosefulbright.com/en-au/knowledge/publications/d75c5d28/nsw-parliament-passes-digital-work-systems-bill-what-employers-need-to-know" TargetMode="External"/><Relationship Id="rId1" Type="http://schemas.openxmlformats.org/officeDocument/2006/relationships/hyperlink" Target="https://www.cbp.com.au/insights/publications/nsw-amend-whs-act-employers-now-expressly-required-to-consider-the-risks-of-using-ai" TargetMode="External"/><Relationship Id="rId4" Type="http://schemas.openxmlformats.org/officeDocument/2006/relationships/hyperlink" Target="https://www.pwc.com.au/legal/workplace-law/when-technology-becomes-a-whs-risk.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8C12E-0CC6-9048-B462-92C22EB89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1046</Words>
  <Characters>5964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Macvean</dc:creator>
  <cp:keywords/>
  <dc:description/>
  <cp:lastModifiedBy>Benjamin Macvean</cp:lastModifiedBy>
  <cp:revision>3</cp:revision>
  <dcterms:created xsi:type="dcterms:W3CDTF">2026-06-20T05:25:00Z</dcterms:created>
  <dcterms:modified xsi:type="dcterms:W3CDTF">2026-08-13T10:43:00Z</dcterms:modified>
</cp:coreProperties>
</file>