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70181207" w:rsidR="000F108B" w:rsidRDefault="00CA0D9F" w:rsidP="001F059D">
      <w:r>
        <w:rPr>
          <w:noProof/>
        </w:rPr>
        <mc:AlternateContent>
          <mc:Choice Requires="wpg">
            <w:drawing>
              <wp:anchor distT="0" distB="0" distL="114300" distR="114300" simplePos="0" relativeHeight="251659264" behindDoc="0" locked="0" layoutInCell="1" allowOverlap="1" wp14:anchorId="2B6E4E9D" wp14:editId="26B6AA52">
                <wp:simplePos x="0" y="0"/>
                <wp:positionH relativeFrom="column">
                  <wp:posOffset>-793485</wp:posOffset>
                </wp:positionH>
                <wp:positionV relativeFrom="paragraph">
                  <wp:posOffset>-983302</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3B13C560" id="Group 23" o:spid="_x0000_s1026" style="position:absolute;margin-left:-62.5pt;margin-top:-77.45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4C0F009A" wp14:editId="6225A781">
            <wp:simplePos x="0" y="0"/>
            <wp:positionH relativeFrom="column">
              <wp:posOffset>-696780</wp:posOffset>
            </wp:positionH>
            <wp:positionV relativeFrom="paragraph">
              <wp:posOffset>-1718485</wp:posOffset>
            </wp:positionV>
            <wp:extent cx="7673790" cy="11511097"/>
            <wp:effectExtent l="0" t="0" r="0" b="0"/>
            <wp:wrapNone/>
            <wp:docPr id="8593660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66032" name="Picture 859366032"/>
                    <pic:cNvPicPr/>
                  </pic:nvPicPr>
                  <pic:blipFill>
                    <a:blip r:embed="rId6">
                      <a:extLst>
                        <a:ext uri="{28A0092B-C50C-407E-A947-70E740481C1C}">
                          <a14:useLocalDpi xmlns:a14="http://schemas.microsoft.com/office/drawing/2010/main" val="0"/>
                        </a:ext>
                      </a:extLst>
                    </a:blip>
                    <a:stretch>
                      <a:fillRect/>
                    </a:stretch>
                  </pic:blipFill>
                  <pic:spPr>
                    <a:xfrm>
                      <a:off x="0" y="0"/>
                      <a:ext cx="7673790" cy="11511097"/>
                    </a:xfrm>
                    <a:prstGeom prst="rect">
                      <a:avLst/>
                    </a:prstGeom>
                  </pic:spPr>
                </pic:pic>
              </a:graphicData>
            </a:graphic>
            <wp14:sizeRelH relativeFrom="page">
              <wp14:pctWidth>0</wp14:pctWidth>
            </wp14:sizeRelH>
            <wp14:sizeRelV relativeFrom="page">
              <wp14:pctHeight>0</wp14:pctHeight>
            </wp14:sizeRelV>
          </wp:anchor>
        </w:drawing>
      </w:r>
      <w:r w:rsidR="009C0973">
        <w:rPr>
          <w:noProof/>
        </w:rPr>
        <mc:AlternateContent>
          <mc:Choice Requires="wps">
            <w:drawing>
              <wp:anchor distT="0" distB="0" distL="114300" distR="114300" simplePos="0" relativeHeight="251662336" behindDoc="0" locked="0" layoutInCell="1" allowOverlap="1" wp14:anchorId="6666B828" wp14:editId="25BA5910">
                <wp:simplePos x="0" y="0"/>
                <wp:positionH relativeFrom="column">
                  <wp:posOffset>-558478</wp:posOffset>
                </wp:positionH>
                <wp:positionV relativeFrom="paragraph">
                  <wp:posOffset>7384648</wp:posOffset>
                </wp:positionV>
                <wp:extent cx="2433955" cy="324091"/>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24091"/>
                        </a:xfrm>
                        <a:prstGeom prst="rect">
                          <a:avLst/>
                        </a:prstGeom>
                        <a:noFill/>
                        <a:ln w="6350">
                          <a:noFill/>
                        </a:ln>
                      </wps:spPr>
                      <wps:txbx>
                        <w:txbxContent>
                          <w:p w14:paraId="34E472DF" w14:textId="44C7BEFE"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9C0973">
                              <w:rPr>
                                <w:color w:val="FFFFFF" w:themeColor="background1"/>
                                <w:sz w:val="32"/>
                                <w:szCs w:val="32"/>
                              </w:rPr>
                              <w:t>Kashaf John</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43.95pt;margin-top:581.45pt;width:191.65pt;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" filled="f" stroked="f" strokeweight=".5pt">
                <v:textbox>
                  <w:txbxContent>
                    <w:p w14:paraId="34E472DF" w14:textId="44C7BEFE"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9C0973">
                        <w:rPr>
                          <w:color w:val="FFFFFF" w:themeColor="background1"/>
                          <w:sz w:val="32"/>
                          <w:szCs w:val="32"/>
                        </w:rPr>
                        <w:t>Kashaf John</w:t>
                      </w:r>
                    </w:p>
                    <w:p w14:paraId="3B17B765" w14:textId="77777777" w:rsidR="000F108B" w:rsidRDefault="000F108B" w:rsidP="001F059D"/>
                  </w:txbxContent>
                </v:textbox>
              </v:shape>
            </w:pict>
          </mc:Fallback>
        </mc:AlternateContent>
      </w:r>
      <w:r w:rsidR="009C0973">
        <w:rPr>
          <w:noProof/>
        </w:rPr>
        <mc:AlternateContent>
          <mc:Choice Requires="wps">
            <w:drawing>
              <wp:anchor distT="0" distB="0" distL="114300" distR="114300" simplePos="0" relativeHeight="251661312" behindDoc="0" locked="0" layoutInCell="1" allowOverlap="1" wp14:anchorId="4BE7ACF9" wp14:editId="1BC32724">
                <wp:simplePos x="0" y="0"/>
                <wp:positionH relativeFrom="column">
                  <wp:posOffset>-569571</wp:posOffset>
                </wp:positionH>
                <wp:positionV relativeFrom="paragraph">
                  <wp:posOffset>5810250</wp:posOffset>
                </wp:positionV>
                <wp:extent cx="4548850" cy="1184275"/>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4548850" cy="1184275"/>
                        </a:xfrm>
                        <a:prstGeom prst="rect">
                          <a:avLst/>
                        </a:prstGeom>
                        <a:noFill/>
                        <a:ln w="6350">
                          <a:noFill/>
                        </a:ln>
                      </wps:spPr>
                      <wps:txbx>
                        <w:txbxContent>
                          <w:p w14:paraId="0489C074" w14:textId="0BE92C93" w:rsidR="000F108B" w:rsidRPr="009C0973" w:rsidRDefault="009C0973" w:rsidP="001F059D">
                            <w:pPr>
                              <w:pStyle w:val="Title"/>
                              <w:rPr>
                                <w:sz w:val="40"/>
                                <w:szCs w:val="40"/>
                              </w:rPr>
                            </w:pPr>
                            <w:r w:rsidRPr="009C0973">
                              <w:rPr>
                                <w:sz w:val="40"/>
                                <w:szCs w:val="40"/>
                              </w:rPr>
                              <w:t>Toll (FGCT) v Alphapharm (2004)</w:t>
                            </w:r>
                          </w:p>
                          <w:p w14:paraId="0923727F" w14:textId="53C434C0" w:rsidR="001F059D" w:rsidRDefault="009C0973" w:rsidP="009C0973">
                            <w:pPr>
                              <w:pStyle w:val="Subtitle"/>
                            </w:pPr>
                            <w:r>
                              <w:t>A Case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4.85pt;margin-top:457.5pt;width:358.2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" filled="f" stroked="f" strokeweight=".5pt">
                <v:textbox>
                  <w:txbxContent>
                    <w:p w14:paraId="0489C074" w14:textId="0BE92C93" w:rsidR="000F108B" w:rsidRPr="009C0973" w:rsidRDefault="009C0973" w:rsidP="001F059D">
                      <w:pPr>
                        <w:pStyle w:val="Title"/>
                        <w:rPr>
                          <w:sz w:val="40"/>
                          <w:szCs w:val="40"/>
                        </w:rPr>
                      </w:pPr>
                      <w:r w:rsidRPr="009C0973">
                        <w:rPr>
                          <w:sz w:val="40"/>
                          <w:szCs w:val="40"/>
                        </w:rPr>
                        <w:t>Toll (FGCT) v Alphapharm (2004)</w:t>
                      </w:r>
                    </w:p>
                    <w:p w14:paraId="0923727F" w14:textId="53C434C0" w:rsidR="001F059D" w:rsidRDefault="009C0973" w:rsidP="009C0973">
                      <w:pPr>
                        <w:pStyle w:val="Subtitle"/>
                      </w:pPr>
                      <w:r>
                        <w:t>A Case Summary</w:t>
                      </w:r>
                    </w:p>
                  </w:txbxContent>
                </v:textbox>
              </v:shape>
            </w:pict>
          </mc:Fallback>
        </mc:AlternateContent>
      </w:r>
      <w:r w:rsidR="000F108B">
        <w:br w:type="page"/>
      </w:r>
    </w:p>
    <w:p w14:paraId="78B890E5" w14:textId="47DF047D" w:rsidR="009C0973" w:rsidRPr="003A40D7" w:rsidRDefault="009C0973" w:rsidP="009C0973">
      <w:pPr>
        <w:pStyle w:val="Heading1"/>
      </w:pPr>
      <w:r>
        <w:lastRenderedPageBreak/>
        <w:t xml:space="preserve">I </w:t>
      </w:r>
      <w:r w:rsidRPr="003A40D7">
        <w:t>FACTS</w:t>
      </w:r>
      <w:r>
        <w:t xml:space="preserve"> OF THE CASE </w:t>
      </w:r>
    </w:p>
    <w:p w14:paraId="5B9B8AD7" w14:textId="77777777" w:rsidR="009C0973" w:rsidRPr="003A40D7" w:rsidRDefault="009C0973" w:rsidP="009C0973">
      <w:r w:rsidRPr="003A40D7">
        <w:t>Richard Thomson Pty Limited (“Richard Thomson”), a general wholesaler of medical supplies, agreed, for an annual fee, to act as Alphapharm’s intermediary and entered into a contract with Finemores</w:t>
      </w:r>
      <w:r>
        <w:t xml:space="preserve">, who </w:t>
      </w:r>
      <w:r w:rsidRPr="003A40D7">
        <w:t>refrigerated goods on Alphapharm’s behalf pursuant to the contract arranged by Richard Thomson.</w:t>
      </w:r>
      <w:r>
        <w:rPr>
          <w:rStyle w:val="FootnoteReference"/>
        </w:rPr>
        <w:footnoteReference w:id="1"/>
      </w:r>
    </w:p>
    <w:p w14:paraId="792A384A" w14:textId="77777777" w:rsidR="009C0973" w:rsidRPr="003A40D7" w:rsidRDefault="009C0973" w:rsidP="009C0973">
      <w:r w:rsidRPr="003A40D7">
        <w:t xml:space="preserve">Alphapharm agreed to the arrangements made by Richard Thomson and left him to enter into contractual agreements with Finemores. The arrangements included giving Finemores responsibility for collecting the temperature-sensitive </w:t>
      </w:r>
      <w:r>
        <w:t>Fluvirin (influenza) vaccines</w:t>
      </w:r>
      <w:r w:rsidRPr="003A40D7">
        <w:t xml:space="preserve"> on arrival and transporting them to a storage warehouse, where they were then delivered to customers in batches.</w:t>
      </w:r>
      <w:r>
        <w:rPr>
          <w:rStyle w:val="FootnoteReference"/>
        </w:rPr>
        <w:footnoteReference w:id="2"/>
      </w:r>
    </w:p>
    <w:p w14:paraId="63BE5515" w14:textId="77777777" w:rsidR="009C0973" w:rsidRPr="003A40D7" w:rsidRDefault="009C0973" w:rsidP="009C0973">
      <w:r w:rsidRPr="003A40D7">
        <w:t>Richard Thomson’s representative signed Finemores’ Application for Credit and Freight Rate Schedule, which contained Conditions of Contract on the reverse, including an exclusion clause (clause 6) and an indemnity clause (clause 8).</w:t>
      </w:r>
      <w:r>
        <w:rPr>
          <w:rStyle w:val="FootnoteReference"/>
        </w:rPr>
        <w:footnoteReference w:id="3"/>
      </w:r>
    </w:p>
    <w:p w14:paraId="17D2FD8B" w14:textId="77777777" w:rsidR="009C0973" w:rsidRPr="003A40D7" w:rsidRDefault="009C0973" w:rsidP="009C0973">
      <w:r w:rsidRPr="003A40D7">
        <w:t xml:space="preserve">The Application for Credit explicitly stated that the conditions were to be read before signing. The representative, </w:t>
      </w:r>
      <w:r>
        <w:t>nevertheless</w:t>
      </w:r>
      <w:r w:rsidRPr="003A40D7">
        <w:t>, did not read these conditions and signed the document.</w:t>
      </w:r>
      <w:r>
        <w:rPr>
          <w:rStyle w:val="FootnoteReference"/>
        </w:rPr>
        <w:footnoteReference w:id="4"/>
      </w:r>
    </w:p>
    <w:p w14:paraId="14557B17" w14:textId="77777777" w:rsidR="009C0973" w:rsidRPr="003A40D7" w:rsidRDefault="009C0973" w:rsidP="009C0973">
      <w:r w:rsidRPr="003A40D7">
        <w:t xml:space="preserve">Finemores collected and stored the vaccines meant for Alphapharm’s customers. </w:t>
      </w:r>
      <w:r>
        <w:t>Despite this</w:t>
      </w:r>
      <w:r w:rsidRPr="003A40D7">
        <w:t>, the batches in Queensland and New South Wales were damaged due to exposure to incorrect temperatures during transportation to customers and during storage.</w:t>
      </w:r>
      <w:r>
        <w:rPr>
          <w:rStyle w:val="FootnoteReference"/>
        </w:rPr>
        <w:footnoteReference w:id="5"/>
      </w:r>
    </w:p>
    <w:p w14:paraId="2E5FE0AC" w14:textId="77777777" w:rsidR="009C0973" w:rsidRPr="003A40D7" w:rsidRDefault="009C0973" w:rsidP="009C0973">
      <w:r w:rsidRPr="003A40D7">
        <w:t>Alphapharm sued Finemores for negligence. Yet, Finemores relied on the exclusion and indemnity clauses, arguing they formed part of the contract and bound Alphapharm as a “customer’s associate”.</w:t>
      </w:r>
      <w:r>
        <w:rPr>
          <w:rStyle w:val="FootnoteReference"/>
        </w:rPr>
        <w:footnoteReference w:id="6"/>
      </w:r>
    </w:p>
    <w:p w14:paraId="2F3AEC9E" w14:textId="77777777" w:rsidR="009C0973" w:rsidRPr="003A40D7" w:rsidRDefault="009C0973" w:rsidP="009C0973">
      <w:r w:rsidRPr="003A40D7">
        <w:t>The trial judge and</w:t>
      </w:r>
      <w:r>
        <w:t xml:space="preserve"> subsequently</w:t>
      </w:r>
      <w:r w:rsidRPr="003A40D7">
        <w:t xml:space="preserve"> the New South Wales Court of Appeal held that the conditions were not incorporated and that Richard Thomson did not make the contract as Alphapharm’s agent. Finemores appealed to the High Court.</w:t>
      </w:r>
      <w:r>
        <w:rPr>
          <w:rStyle w:val="FootnoteReference"/>
        </w:rPr>
        <w:footnoteReference w:id="7"/>
      </w:r>
    </w:p>
    <w:p w14:paraId="029443D7" w14:textId="77BC8794" w:rsidR="009C0973" w:rsidRPr="003A40D7" w:rsidRDefault="009C0973" w:rsidP="009C0973">
      <w:pPr>
        <w:pStyle w:val="Heading1"/>
      </w:pPr>
      <w:r>
        <w:t xml:space="preserve">II </w:t>
      </w:r>
      <w:r w:rsidRPr="003A40D7">
        <w:t>DISTRICT COURT</w:t>
      </w:r>
    </w:p>
    <w:p w14:paraId="0CFB4BCD" w14:textId="77777777" w:rsidR="009C0973" w:rsidRDefault="009C0973" w:rsidP="009C0973">
      <w:r w:rsidRPr="003A40D7">
        <w:t xml:space="preserve">In the District Court of New South Wales, the trial </w:t>
      </w:r>
      <w:r>
        <w:t>j</w:t>
      </w:r>
      <w:r w:rsidRPr="003A40D7">
        <w:t xml:space="preserve">udge </w:t>
      </w:r>
      <w:r>
        <w:t>(</w:t>
      </w:r>
      <w:r w:rsidRPr="003A40D7">
        <w:t>Hogan</w:t>
      </w:r>
      <w:r>
        <w:t xml:space="preserve"> ADCJ) </w:t>
      </w:r>
      <w:r w:rsidRPr="003A40D7">
        <w:t xml:space="preserve">found in favour of Alphapharm. His Honour held that the Conditions of Contract printed on the reverse of Finemores’ Application for Credit, </w:t>
      </w:r>
      <w:r w:rsidRPr="003A40D7">
        <w:lastRenderedPageBreak/>
        <w:t>including the exclusion clause (clause 6) and indemnity clause (clause 8), were not part of the contract between Richard Thomson and Finemores.</w:t>
      </w:r>
      <w:r>
        <w:rPr>
          <w:rStyle w:val="FootnoteReference"/>
        </w:rPr>
        <w:footnoteReference w:id="8"/>
      </w:r>
    </w:p>
    <w:p w14:paraId="1F97AFE6" w14:textId="77777777" w:rsidR="009C0973" w:rsidRPr="003A40D7" w:rsidRDefault="009C0973" w:rsidP="009C0973">
      <w:r w:rsidRPr="003A40D7">
        <w:t>His Honour concluded that Finemores had not taken reasonable steps to give notice of those conditions, particularly given the serious nature of the exclusion clause. His Honour applied principles commonly relevant to unsigned contractual documents, requiring notice of onerous terms.</w:t>
      </w:r>
      <w:r>
        <w:rPr>
          <w:rStyle w:val="FootnoteReference"/>
        </w:rPr>
        <w:footnoteReference w:id="9"/>
      </w:r>
      <w:r>
        <w:t xml:space="preserve"> </w:t>
      </w:r>
      <w:r w:rsidRPr="003A40D7">
        <w:t>His Honour held that Richard Thomson did not contract as an agent for Alphapharm and was not bound by the contractual conditions in any event. As a result, Alphapharm did succeed in its $683,061.86 claim for damages against Finemores.</w:t>
      </w:r>
      <w:r>
        <w:rPr>
          <w:rStyle w:val="FootnoteReference"/>
        </w:rPr>
        <w:footnoteReference w:id="10"/>
      </w:r>
    </w:p>
    <w:p w14:paraId="1943CC69" w14:textId="1B821C48" w:rsidR="009C0973" w:rsidRPr="003A40D7" w:rsidRDefault="009C0973" w:rsidP="009C0973">
      <w:pPr>
        <w:pStyle w:val="Heading1"/>
      </w:pPr>
      <w:r>
        <w:t xml:space="preserve">III </w:t>
      </w:r>
      <w:r w:rsidRPr="003A40D7">
        <w:t>ISSUE</w:t>
      </w:r>
    </w:p>
    <w:p w14:paraId="590595C6" w14:textId="77777777" w:rsidR="009C0973" w:rsidRPr="003A40D7" w:rsidRDefault="009C0973" w:rsidP="009C0973">
      <w:r w:rsidRPr="003A40D7">
        <w:t>The primary issue was whether the exclusion and indemnity clauses were incorporated into the contract formed between Richard Thomson and Finemores. A secondary issue was whether Richard Thomson acted as an agent for Alphapharm, and if Alphapharm was bound by the exclusion clause as a “customer’s associate”.</w:t>
      </w:r>
      <w:r>
        <w:rPr>
          <w:rStyle w:val="FootnoteReference"/>
        </w:rPr>
        <w:footnoteReference w:id="11"/>
      </w:r>
    </w:p>
    <w:p w14:paraId="464FA2E9" w14:textId="7F7F4971" w:rsidR="009C0973" w:rsidRPr="003A40D7" w:rsidRDefault="009C0973" w:rsidP="009C0973">
      <w:pPr>
        <w:pStyle w:val="Heading1"/>
      </w:pPr>
      <w:r>
        <w:t xml:space="preserve">IV </w:t>
      </w:r>
      <w:r w:rsidRPr="003A40D7">
        <w:t>THE APPEAL TO THE HIGH COURT</w:t>
      </w:r>
    </w:p>
    <w:p w14:paraId="78299BEF" w14:textId="77777777" w:rsidR="009C0973" w:rsidRPr="003A40D7" w:rsidRDefault="009C0973" w:rsidP="009C0973">
      <w:r w:rsidRPr="003A40D7">
        <w:t>The High Court unanimously agreed with the appeal and set aside the decision of the New South Wales Court of Appeal. The Court held that the Conditions of Contract contained on the reverse of the Application for Credit formed part of the contract between Richard Thomson and Finemores and were binding on the parties.</w:t>
      </w:r>
      <w:r>
        <w:rPr>
          <w:rStyle w:val="FootnoteReference"/>
        </w:rPr>
        <w:footnoteReference w:id="12"/>
      </w:r>
    </w:p>
    <w:p w14:paraId="6F50111D" w14:textId="77777777" w:rsidR="009C0973" w:rsidRPr="003A40D7" w:rsidRDefault="009C0973" w:rsidP="009C0973">
      <w:r w:rsidRPr="003A40D7">
        <w:t>In a joint judgment, the Court rejected the respondent’s argument that the exclusion and indemnity clauses were not incorporated due to insufficient notice. Their Honours held that when a party signs a document intended to affect legal relations, the act of signing ordinarily shows an agreement to the contractual terms within that document, regardless of whether or not they were read. Since there were no vitiating factors, the signed document was binding according to its terms.</w:t>
      </w:r>
      <w:r>
        <w:rPr>
          <w:rStyle w:val="FootnoteReference"/>
        </w:rPr>
        <w:footnoteReference w:id="13"/>
      </w:r>
    </w:p>
    <w:p w14:paraId="6DAD77F3" w14:textId="77777777" w:rsidR="009C0973" w:rsidRPr="003A40D7" w:rsidRDefault="009C0973" w:rsidP="009C0973">
      <w:r w:rsidRPr="003A40D7">
        <w:t xml:space="preserve">The Court identified an error in the lower Court's judgment by applying principles of reasonable notice, such as </w:t>
      </w:r>
      <w:r>
        <w:t>the “ticket cases” concerning</w:t>
      </w:r>
      <w:r w:rsidRPr="003A40D7">
        <w:t xml:space="preserve"> unsigned documents</w:t>
      </w:r>
      <w:r>
        <w:t xml:space="preserve">, </w:t>
      </w:r>
      <w:r w:rsidRPr="003A40D7">
        <w:t xml:space="preserve">to </w:t>
      </w:r>
      <w:r>
        <w:t xml:space="preserve">a </w:t>
      </w:r>
      <w:r w:rsidRPr="003A40D7">
        <w:t xml:space="preserve">signed </w:t>
      </w:r>
      <w:r>
        <w:t>contractual document</w:t>
      </w:r>
      <w:r w:rsidRPr="003A40D7">
        <w:t xml:space="preserve">. The High Court reaffirmed the rule in </w:t>
      </w:r>
      <w:r w:rsidRPr="003A40D7">
        <w:rPr>
          <w:i/>
          <w:iCs/>
        </w:rPr>
        <w:t>L’Estrange v F Graucob Ltd</w:t>
      </w:r>
      <w:r w:rsidRPr="003A40D7">
        <w:t xml:space="preserve"> that a party who signs a contractual document is bound by its terms, unless there are vitiating factors.</w:t>
      </w:r>
      <w:r>
        <w:rPr>
          <w:rStyle w:val="FootnoteReference"/>
        </w:rPr>
        <w:footnoteReference w:id="14"/>
      </w:r>
    </w:p>
    <w:p w14:paraId="32DF8D34" w14:textId="77777777" w:rsidR="009C0973" w:rsidRPr="003A40D7" w:rsidRDefault="009C0973" w:rsidP="009C0973">
      <w:r w:rsidRPr="003A40D7">
        <w:lastRenderedPageBreak/>
        <w:t>Furthermore, the Court found Richard Thomson was authorised to act on behalf of Alphapharm in organising transport and storage services and was therefore an agent.</w:t>
      </w:r>
      <w:r>
        <w:rPr>
          <w:rStyle w:val="FootnoteReference"/>
        </w:rPr>
        <w:footnoteReference w:id="15"/>
      </w:r>
      <w:r w:rsidRPr="003A40D7">
        <w:t xml:space="preserve"> As a result, Alphapharm fell within the definition of a “customer associate” under the Conditions of Contract and </w:t>
      </w:r>
      <w:r>
        <w:t>wa</w:t>
      </w:r>
      <w:r w:rsidRPr="003A40D7">
        <w:t xml:space="preserve">s </w:t>
      </w:r>
      <w:r>
        <w:t>therefore bound by the exclusion clause</w:t>
      </w:r>
      <w:r w:rsidRPr="003A40D7">
        <w:t>.</w:t>
      </w:r>
      <w:r>
        <w:rPr>
          <w:rStyle w:val="FootnoteReference"/>
        </w:rPr>
        <w:footnoteReference w:id="16"/>
      </w:r>
    </w:p>
    <w:p w14:paraId="4538DB55" w14:textId="77777777" w:rsidR="009C0973" w:rsidRDefault="009C0973" w:rsidP="009C0973">
      <w:r w:rsidRPr="003A40D7">
        <w:t>Consequently, the Court found that Finemores was entitled to the sixth clause of the Conditions of Contract, which excludes liability for losses suffered.</w:t>
      </w:r>
      <w:r>
        <w:t xml:space="preserve"> </w:t>
      </w:r>
      <w:r w:rsidRPr="003A40D7">
        <w:t xml:space="preserve">To summarise, the </w:t>
      </w:r>
      <w:r>
        <w:t>High Court allowed the appeal, and the judgment was in favour of Finemores, dismissing Alphapharm’s claim.</w:t>
      </w:r>
      <w:r>
        <w:rPr>
          <w:rStyle w:val="FootnoteReference"/>
        </w:rPr>
        <w:footnoteReference w:id="17"/>
      </w:r>
    </w:p>
    <w:p w14:paraId="314324BF" w14:textId="77777777" w:rsidR="009C0973" w:rsidRPr="003A40D7" w:rsidRDefault="009C0973" w:rsidP="009C0973"/>
    <w:p w14:paraId="77E57732" w14:textId="6C681741" w:rsidR="009C0973" w:rsidRPr="003A40D7" w:rsidRDefault="009C0973" w:rsidP="009C0973">
      <w:pPr>
        <w:pStyle w:val="Heading1"/>
      </w:pPr>
      <w:r>
        <w:t xml:space="preserve">V </w:t>
      </w:r>
      <w:r w:rsidRPr="003A40D7">
        <w:t>IMPLICATIONS</w:t>
      </w:r>
    </w:p>
    <w:p w14:paraId="391AA1C4" w14:textId="77777777" w:rsidR="009C0973" w:rsidRPr="003A40D7" w:rsidRDefault="009C0973" w:rsidP="009C0973">
      <w:r w:rsidRPr="003A40D7">
        <w:t xml:space="preserve">The High Court’s decision has considerable implications for Australian Contract law. First, the judgment reaffirms the principle in </w:t>
      </w:r>
      <w:r w:rsidRPr="00AE5182">
        <w:rPr>
          <w:i/>
          <w:iCs/>
        </w:rPr>
        <w:t>L’Estrange v Graucob Ltd,</w:t>
      </w:r>
      <w:r w:rsidRPr="003A40D7">
        <w:t xml:space="preserve"> that when a party signs a document intended to affect legal relations, regardless of whether it was read, as long as there are no vitiating circumstances, it is bound.</w:t>
      </w:r>
      <w:r>
        <w:rPr>
          <w:rStyle w:val="FootnoteReference"/>
        </w:rPr>
        <w:footnoteReference w:id="18"/>
      </w:r>
      <w:r w:rsidRPr="003A40D7">
        <w:t xml:space="preserve"> The Court rejected the lower Courts’ attempt to apply reasonable notice requirements to signed contracts. As a result, the judgment clarified the distinction between unsigned and signed contracts. Parties rely on the signature to indicate a</w:t>
      </w:r>
      <w:r>
        <w:t xml:space="preserve">ssent </w:t>
      </w:r>
      <w:r w:rsidRPr="003A40D7">
        <w:t>and are not required to bring onerous terms specifically to the signer’s attention</w:t>
      </w:r>
      <w:r>
        <w:t>, absent any vitiating factors</w:t>
      </w:r>
      <w:r w:rsidRPr="003A40D7">
        <w:t>.</w:t>
      </w:r>
      <w:r>
        <w:rPr>
          <w:rStyle w:val="FootnoteReference"/>
        </w:rPr>
        <w:footnoteReference w:id="19"/>
      </w:r>
      <w:r w:rsidRPr="003A40D7">
        <w:t xml:space="preserve"> The decision shows a strong policy in favour of certainty and competence in commercial contracts, particularly where the parties are capable of protecting their own interests.</w:t>
      </w:r>
    </w:p>
    <w:p w14:paraId="4DBCA58F" w14:textId="77777777" w:rsidR="009C0973" w:rsidRPr="003A40D7" w:rsidRDefault="009C0973" w:rsidP="009C0973">
      <w:r w:rsidRPr="003A40D7">
        <w:t>Secondly, the judgment shows the importance of agency in complex contracts. When an intermediary is authorised to arrange services for the benefit of another party, and does so in standard terms, those terms may bind the principal, even where the principal has had no direct dealings with the service provider.</w:t>
      </w:r>
      <w:r>
        <w:rPr>
          <w:rStyle w:val="FootnoteReference"/>
        </w:rPr>
        <w:footnoteReference w:id="20"/>
      </w:r>
    </w:p>
    <w:p w14:paraId="5928321E" w14:textId="77777777" w:rsidR="009C0973" w:rsidRPr="003A40D7" w:rsidRDefault="009C0973" w:rsidP="009C0973">
      <w:r w:rsidRPr="003A40D7">
        <w:t xml:space="preserve">An interesting point in the case is that a document titled "Application for Credit," which might seem like paperwork, was very important. The Court treated it as the principal contract setting out the parties’ rights and obligations and showed that even ordinary business documents can have serious legal consequences. This </w:t>
      </w:r>
      <w:r>
        <w:t xml:space="preserve">demonstrates that courts focus on the objective manifestation of assent: signing a document signals, legally, that all terms were agreed to, regardless of what was read. </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4CD4" w14:textId="77777777" w:rsidR="006D7B62" w:rsidRDefault="006D7B62" w:rsidP="00334ADB">
      <w:pPr>
        <w:spacing w:after="0" w:line="240" w:lineRule="auto"/>
      </w:pPr>
      <w:r>
        <w:separator/>
      </w:r>
    </w:p>
  </w:endnote>
  <w:endnote w:type="continuationSeparator" w:id="0">
    <w:p w14:paraId="6479803D" w14:textId="77777777" w:rsidR="006D7B62" w:rsidRDefault="006D7B62"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062E" w14:textId="77777777" w:rsidR="006D7B62" w:rsidRDefault="006D7B62" w:rsidP="00334ADB">
      <w:pPr>
        <w:spacing w:after="0" w:line="240" w:lineRule="auto"/>
      </w:pPr>
      <w:r>
        <w:separator/>
      </w:r>
    </w:p>
  </w:footnote>
  <w:footnote w:type="continuationSeparator" w:id="0">
    <w:p w14:paraId="6A92D109" w14:textId="77777777" w:rsidR="006D7B62" w:rsidRDefault="006D7B62" w:rsidP="00334ADB">
      <w:pPr>
        <w:spacing w:after="0" w:line="240" w:lineRule="auto"/>
      </w:pPr>
      <w:r>
        <w:continuationSeparator/>
      </w:r>
    </w:p>
  </w:footnote>
  <w:footnote w:id="1">
    <w:p w14:paraId="76179A90"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w:t>
      </w:r>
      <w:r w:rsidRPr="00FD1806">
        <w:rPr>
          <w:rFonts w:ascii="Times New Roman" w:hAnsi="Times New Roman" w:cs="Times New Roman"/>
          <w:i/>
          <w:iCs/>
        </w:rPr>
        <w:t xml:space="preserve">Toll (FGCT) Pty Ltd </w:t>
      </w:r>
      <w:r w:rsidRPr="00FD1806">
        <w:rPr>
          <w:rFonts w:ascii="Times New Roman" w:hAnsi="Times New Roman" w:cs="Times New Roman"/>
        </w:rPr>
        <w:t>v</w:t>
      </w:r>
      <w:r w:rsidRPr="00FD1806">
        <w:rPr>
          <w:rFonts w:ascii="Times New Roman" w:hAnsi="Times New Roman" w:cs="Times New Roman"/>
          <w:i/>
          <w:iCs/>
        </w:rPr>
        <w:t xml:space="preserve"> Alphapharm Pty Ltd</w:t>
      </w:r>
      <w:r w:rsidRPr="00FD1806">
        <w:rPr>
          <w:rFonts w:ascii="Times New Roman" w:hAnsi="Times New Roman" w:cs="Times New Roman"/>
        </w:rPr>
        <w:t xml:space="preserve"> (2004) 219 CLR 165, [8]-[10] (‘</w:t>
      </w:r>
      <w:r w:rsidRPr="00FD1806">
        <w:rPr>
          <w:rFonts w:ascii="Times New Roman" w:hAnsi="Times New Roman" w:cs="Times New Roman"/>
          <w:i/>
          <w:iCs/>
        </w:rPr>
        <w:t>Toll’)</w:t>
      </w:r>
      <w:r w:rsidRPr="00FD1806">
        <w:rPr>
          <w:rFonts w:ascii="Times New Roman" w:hAnsi="Times New Roman" w:cs="Times New Roman"/>
        </w:rPr>
        <w:t>.</w:t>
      </w:r>
    </w:p>
  </w:footnote>
  <w:footnote w:id="2">
    <w:p w14:paraId="02917536"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Ibid [11]– [12].</w:t>
      </w:r>
    </w:p>
  </w:footnote>
  <w:footnote w:id="3">
    <w:p w14:paraId="214A4580"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Ibid [21]– [24].</w:t>
      </w:r>
    </w:p>
  </w:footnote>
  <w:footnote w:id="4">
    <w:p w14:paraId="395911C6"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Ibid [25].</w:t>
      </w:r>
    </w:p>
  </w:footnote>
  <w:footnote w:id="5">
    <w:p w14:paraId="290BB458"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Ibid [2].</w:t>
      </w:r>
    </w:p>
  </w:footnote>
  <w:footnote w:id="6">
    <w:p w14:paraId="41125E86"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Ibid [1], [20], [33].</w:t>
      </w:r>
    </w:p>
  </w:footnote>
  <w:footnote w:id="7">
    <w:p w14:paraId="78C10A40" w14:textId="77777777" w:rsidR="009C0973" w:rsidRDefault="009C0973" w:rsidP="009C0973">
      <w:pPr>
        <w:pStyle w:val="FootnoteText"/>
      </w:pPr>
      <w:r w:rsidRPr="00FD1806">
        <w:rPr>
          <w:rStyle w:val="FootnoteReference"/>
          <w:rFonts w:ascii="Times New Roman" w:hAnsi="Times New Roman" w:cs="Times New Roman"/>
        </w:rPr>
        <w:footnoteRef/>
      </w:r>
      <w:r w:rsidRPr="00FD1806">
        <w:rPr>
          <w:rFonts w:ascii="Times New Roman" w:hAnsi="Times New Roman" w:cs="Times New Roman"/>
        </w:rPr>
        <w:t xml:space="preserve"> </w:t>
      </w:r>
      <w:r w:rsidRPr="00FD1806">
        <w:rPr>
          <w:rFonts w:ascii="Times New Roman" w:hAnsi="Times New Roman" w:cs="Times New Roman"/>
          <w:i/>
          <w:iCs/>
        </w:rPr>
        <w:t xml:space="preserve">Toll (FGCT) Pty Ltd </w:t>
      </w:r>
      <w:r w:rsidRPr="00FD1806">
        <w:rPr>
          <w:rFonts w:ascii="Times New Roman" w:hAnsi="Times New Roman" w:cs="Times New Roman"/>
        </w:rPr>
        <w:t>v</w:t>
      </w:r>
      <w:r w:rsidRPr="00FD1806">
        <w:rPr>
          <w:rFonts w:ascii="Times New Roman" w:hAnsi="Times New Roman" w:cs="Times New Roman"/>
          <w:i/>
          <w:iCs/>
        </w:rPr>
        <w:t xml:space="preserve"> Alphapharm Pty Ltd</w:t>
      </w:r>
      <w:r w:rsidRPr="00FD1806">
        <w:rPr>
          <w:rFonts w:ascii="Times New Roman" w:hAnsi="Times New Roman" w:cs="Times New Roman"/>
        </w:rPr>
        <w:t xml:space="preserve"> (2003) 56 NSWLR 662.</w:t>
      </w:r>
    </w:p>
  </w:footnote>
  <w:footnote w:id="8">
    <w:p w14:paraId="20B335B5"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w:t>
      </w:r>
      <w:r w:rsidRPr="00FD1806">
        <w:rPr>
          <w:rFonts w:ascii="Times New Roman" w:hAnsi="Times New Roman" w:cs="Times New Roman"/>
          <w:i/>
          <w:iCs/>
        </w:rPr>
        <w:t xml:space="preserve">Toll </w:t>
      </w:r>
      <w:r w:rsidRPr="00FD1806">
        <w:rPr>
          <w:rFonts w:ascii="Times New Roman" w:hAnsi="Times New Roman" w:cs="Times New Roman"/>
        </w:rPr>
        <w:t xml:space="preserve">(n 1) [33], [58]; </w:t>
      </w:r>
      <w:r w:rsidRPr="00FD1806">
        <w:rPr>
          <w:rFonts w:ascii="Times New Roman" w:hAnsi="Times New Roman" w:cs="Times New Roman"/>
          <w:i/>
          <w:iCs/>
        </w:rPr>
        <w:t xml:space="preserve">Alphapharm Pty Ltd </w:t>
      </w:r>
      <w:r w:rsidRPr="00FD1806">
        <w:rPr>
          <w:rFonts w:ascii="Times New Roman" w:hAnsi="Times New Roman" w:cs="Times New Roman"/>
        </w:rPr>
        <w:t>v</w:t>
      </w:r>
      <w:r w:rsidRPr="00FD1806">
        <w:rPr>
          <w:rFonts w:ascii="Times New Roman" w:hAnsi="Times New Roman" w:cs="Times New Roman"/>
          <w:i/>
          <w:iCs/>
        </w:rPr>
        <w:t xml:space="preserve"> FCT (FGCT) Pty Ltd</w:t>
      </w:r>
      <w:r w:rsidRPr="00FD1806">
        <w:rPr>
          <w:rFonts w:ascii="Times New Roman" w:hAnsi="Times New Roman" w:cs="Times New Roman"/>
        </w:rPr>
        <w:t xml:space="preserve"> [2002] NSWDC 27 (Hogan ADCJ).</w:t>
      </w:r>
    </w:p>
  </w:footnote>
  <w:footnote w:id="9">
    <w:p w14:paraId="16202F5B"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w:t>
      </w:r>
      <w:r w:rsidRPr="00FD1806">
        <w:rPr>
          <w:rFonts w:ascii="Times New Roman" w:hAnsi="Times New Roman" w:cs="Times New Roman"/>
          <w:i/>
          <w:iCs/>
        </w:rPr>
        <w:t>Toll</w:t>
      </w:r>
      <w:r w:rsidRPr="00FD1806">
        <w:rPr>
          <w:rFonts w:ascii="Times New Roman" w:hAnsi="Times New Roman" w:cs="Times New Roman"/>
        </w:rPr>
        <w:t xml:space="preserve"> (n 1) [54] – [59].</w:t>
      </w:r>
    </w:p>
  </w:footnote>
  <w:footnote w:id="10">
    <w:p w14:paraId="6BC57E4A"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Ibid [2].</w:t>
      </w:r>
    </w:p>
  </w:footnote>
  <w:footnote w:id="11">
    <w:p w14:paraId="128ABA9F"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w:t>
      </w:r>
      <w:r w:rsidRPr="00FD1806">
        <w:rPr>
          <w:rFonts w:ascii="Times New Roman" w:hAnsi="Times New Roman" w:cs="Times New Roman"/>
          <w:i/>
          <w:iCs/>
        </w:rPr>
        <w:t>Toll</w:t>
      </w:r>
      <w:r w:rsidRPr="00FD1806">
        <w:rPr>
          <w:rFonts w:ascii="Times New Roman" w:hAnsi="Times New Roman" w:cs="Times New Roman"/>
        </w:rPr>
        <w:t xml:space="preserve"> (n 1) [33].</w:t>
      </w:r>
    </w:p>
  </w:footnote>
  <w:footnote w:id="12">
    <w:p w14:paraId="6F26223A"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Ibid [72] – [78]. </w:t>
      </w:r>
    </w:p>
  </w:footnote>
  <w:footnote w:id="13">
    <w:p w14:paraId="24FBFB51"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Ibid [40] – [43].</w:t>
      </w:r>
    </w:p>
  </w:footnote>
  <w:footnote w:id="14">
    <w:p w14:paraId="71E509A5" w14:textId="77777777" w:rsidR="009C0973" w:rsidRDefault="009C0973" w:rsidP="009C0973">
      <w:pPr>
        <w:pStyle w:val="FootnoteText"/>
      </w:pPr>
      <w:r w:rsidRPr="00FD1806">
        <w:rPr>
          <w:rStyle w:val="FootnoteReference"/>
          <w:rFonts w:ascii="Times New Roman" w:hAnsi="Times New Roman" w:cs="Times New Roman"/>
        </w:rPr>
        <w:footnoteRef/>
      </w:r>
      <w:r w:rsidRPr="00FD1806">
        <w:rPr>
          <w:rFonts w:ascii="Times New Roman" w:hAnsi="Times New Roman" w:cs="Times New Roman"/>
        </w:rPr>
        <w:t xml:space="preserve"> </w:t>
      </w:r>
      <w:r w:rsidRPr="00FD1806">
        <w:rPr>
          <w:rFonts w:ascii="Times New Roman" w:hAnsi="Times New Roman" w:cs="Times New Roman"/>
          <w:i/>
          <w:iCs/>
        </w:rPr>
        <w:t xml:space="preserve">L’Estrange </w:t>
      </w:r>
      <w:r w:rsidRPr="00FD1806">
        <w:rPr>
          <w:rFonts w:ascii="Times New Roman" w:hAnsi="Times New Roman" w:cs="Times New Roman"/>
        </w:rPr>
        <w:t xml:space="preserve">v </w:t>
      </w:r>
      <w:r w:rsidRPr="00FD1806">
        <w:rPr>
          <w:rFonts w:ascii="Times New Roman" w:hAnsi="Times New Roman" w:cs="Times New Roman"/>
          <w:i/>
          <w:iCs/>
        </w:rPr>
        <w:t>F Graucob Ltd</w:t>
      </w:r>
      <w:r w:rsidRPr="00FD1806">
        <w:rPr>
          <w:rFonts w:ascii="Times New Roman" w:hAnsi="Times New Roman" w:cs="Times New Roman"/>
        </w:rPr>
        <w:t xml:space="preserve"> [1934] 2 KB 394; </w:t>
      </w:r>
      <w:r w:rsidRPr="00FD1806">
        <w:rPr>
          <w:rFonts w:ascii="Times New Roman" w:hAnsi="Times New Roman" w:cs="Times New Roman"/>
          <w:i/>
          <w:iCs/>
        </w:rPr>
        <w:t>Toll</w:t>
      </w:r>
      <w:r w:rsidRPr="00FD1806">
        <w:rPr>
          <w:rFonts w:ascii="Times New Roman" w:hAnsi="Times New Roman" w:cs="Times New Roman"/>
        </w:rPr>
        <w:t xml:space="preserve"> (n 1) [45] – [47], [59].</w:t>
      </w:r>
    </w:p>
  </w:footnote>
  <w:footnote w:id="15">
    <w:p w14:paraId="7AAFFA1F"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w:t>
      </w:r>
      <w:r w:rsidRPr="00FD1806">
        <w:rPr>
          <w:rFonts w:ascii="Times New Roman" w:hAnsi="Times New Roman" w:cs="Times New Roman"/>
          <w:i/>
          <w:iCs/>
        </w:rPr>
        <w:t>Toll</w:t>
      </w:r>
      <w:r w:rsidRPr="00FD1806">
        <w:rPr>
          <w:rFonts w:ascii="Times New Roman" w:hAnsi="Times New Roman" w:cs="Times New Roman"/>
        </w:rPr>
        <w:t xml:space="preserve"> (n 1) [74] – [78].</w:t>
      </w:r>
    </w:p>
  </w:footnote>
  <w:footnote w:id="16">
    <w:p w14:paraId="4C1B68C7"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Ibid [82].</w:t>
      </w:r>
    </w:p>
  </w:footnote>
  <w:footnote w:id="17">
    <w:p w14:paraId="528F7B53"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Ibid [83].</w:t>
      </w:r>
    </w:p>
  </w:footnote>
  <w:footnote w:id="18">
    <w:p w14:paraId="657B019B"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w:t>
      </w:r>
      <w:r w:rsidRPr="00FD1806">
        <w:rPr>
          <w:rFonts w:ascii="Times New Roman" w:hAnsi="Times New Roman" w:cs="Times New Roman"/>
          <w:i/>
          <w:iCs/>
        </w:rPr>
        <w:t xml:space="preserve">L’Estrange </w:t>
      </w:r>
      <w:r w:rsidRPr="00FD1806">
        <w:rPr>
          <w:rFonts w:ascii="Times New Roman" w:hAnsi="Times New Roman" w:cs="Times New Roman"/>
        </w:rPr>
        <w:t xml:space="preserve">v </w:t>
      </w:r>
      <w:r w:rsidRPr="00FD1806">
        <w:rPr>
          <w:rFonts w:ascii="Times New Roman" w:hAnsi="Times New Roman" w:cs="Times New Roman"/>
          <w:i/>
          <w:iCs/>
        </w:rPr>
        <w:t>F Graucob Ltd</w:t>
      </w:r>
      <w:r w:rsidRPr="00FD1806">
        <w:rPr>
          <w:rFonts w:ascii="Times New Roman" w:hAnsi="Times New Roman" w:cs="Times New Roman"/>
        </w:rPr>
        <w:t xml:space="preserve"> [1934] 2 KB 394, 403; </w:t>
      </w:r>
      <w:r w:rsidRPr="00FD1806">
        <w:rPr>
          <w:rFonts w:ascii="Times New Roman" w:hAnsi="Times New Roman" w:cs="Times New Roman"/>
          <w:i/>
          <w:iCs/>
        </w:rPr>
        <w:t>Toll</w:t>
      </w:r>
      <w:r w:rsidRPr="00FD1806">
        <w:rPr>
          <w:rFonts w:ascii="Times New Roman" w:hAnsi="Times New Roman" w:cs="Times New Roman"/>
        </w:rPr>
        <w:t xml:space="preserve"> (n 1) [83].</w:t>
      </w:r>
    </w:p>
  </w:footnote>
  <w:footnote w:id="19">
    <w:p w14:paraId="3AF98B13" w14:textId="77777777" w:rsidR="009C0973" w:rsidRPr="00FD1806" w:rsidRDefault="009C0973" w:rsidP="009C0973">
      <w:pPr>
        <w:pStyle w:val="FootnoteText"/>
        <w:rPr>
          <w:rFonts w:ascii="Times New Roman" w:hAnsi="Times New Roman" w:cs="Times New Roman"/>
        </w:rPr>
      </w:pPr>
      <w:r w:rsidRPr="00FD1806">
        <w:rPr>
          <w:rStyle w:val="FootnoteReference"/>
          <w:rFonts w:ascii="Times New Roman" w:hAnsi="Times New Roman" w:cs="Times New Roman"/>
        </w:rPr>
        <w:footnoteRef/>
      </w:r>
      <w:r w:rsidRPr="00FD1806">
        <w:rPr>
          <w:rFonts w:ascii="Times New Roman" w:hAnsi="Times New Roman" w:cs="Times New Roman"/>
        </w:rPr>
        <w:t xml:space="preserve"> </w:t>
      </w:r>
      <w:r w:rsidRPr="00FD1806">
        <w:rPr>
          <w:rFonts w:ascii="Times New Roman" w:hAnsi="Times New Roman" w:cs="Times New Roman"/>
          <w:i/>
          <w:iCs/>
        </w:rPr>
        <w:t>Toll</w:t>
      </w:r>
      <w:r w:rsidRPr="00FD1806">
        <w:rPr>
          <w:rFonts w:ascii="Times New Roman" w:hAnsi="Times New Roman" w:cs="Times New Roman"/>
        </w:rPr>
        <w:t xml:space="preserve"> (n 1) [40] – [48].</w:t>
      </w:r>
    </w:p>
  </w:footnote>
  <w:footnote w:id="20">
    <w:p w14:paraId="125923BC" w14:textId="77777777" w:rsidR="009C0973" w:rsidRDefault="009C0973" w:rsidP="009C0973">
      <w:pPr>
        <w:pStyle w:val="FootnoteText"/>
      </w:pPr>
      <w:r w:rsidRPr="00FD1806">
        <w:rPr>
          <w:rStyle w:val="FootnoteReference"/>
          <w:rFonts w:ascii="Times New Roman" w:hAnsi="Times New Roman" w:cs="Times New Roman"/>
        </w:rPr>
        <w:footnoteRef/>
      </w:r>
      <w:r w:rsidRPr="00FD1806">
        <w:rPr>
          <w:rFonts w:ascii="Times New Roman" w:hAnsi="Times New Roman" w:cs="Times New Roman"/>
        </w:rPr>
        <w:t xml:space="preserve"> Ibid [82] – [84].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6D7B62"/>
    <w:rsid w:val="00714231"/>
    <w:rsid w:val="00727A61"/>
    <w:rsid w:val="0076785F"/>
    <w:rsid w:val="007769FF"/>
    <w:rsid w:val="007969BD"/>
    <w:rsid w:val="007B1D20"/>
    <w:rsid w:val="007B71B0"/>
    <w:rsid w:val="007C4F96"/>
    <w:rsid w:val="007D2217"/>
    <w:rsid w:val="007F17E8"/>
    <w:rsid w:val="007F2545"/>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C0973"/>
    <w:rsid w:val="009D06C6"/>
    <w:rsid w:val="009E1A7D"/>
    <w:rsid w:val="00A01517"/>
    <w:rsid w:val="00A03A12"/>
    <w:rsid w:val="00A0638E"/>
    <w:rsid w:val="00A502FB"/>
    <w:rsid w:val="00A540EA"/>
    <w:rsid w:val="00A830C0"/>
    <w:rsid w:val="00A97FC9"/>
    <w:rsid w:val="00AA3760"/>
    <w:rsid w:val="00AA67FB"/>
    <w:rsid w:val="00AA7804"/>
    <w:rsid w:val="00AD2504"/>
    <w:rsid w:val="00AE5182"/>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A0D9F"/>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1806"/>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9C0973"/>
    <w:pPr>
      <w:spacing w:after="0" w:line="240" w:lineRule="auto"/>
    </w:pPr>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9C0973"/>
    <w:rPr>
      <w:kern w:val="2"/>
      <w:sz w:val="20"/>
      <w:szCs w:val="20"/>
      <w14:ligatures w14:val="standardContextual"/>
    </w:rPr>
  </w:style>
  <w:style w:type="character" w:styleId="FootnoteReference">
    <w:name w:val="footnote reference"/>
    <w:basedOn w:val="DefaultParagraphFont"/>
    <w:uiPriority w:val="99"/>
    <w:semiHidden/>
    <w:unhideWhenUsed/>
    <w:rsid w:val="009C09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993</Words>
  <Characters>5516</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11</cp:revision>
  <dcterms:created xsi:type="dcterms:W3CDTF">2026-01-14T20:20:00Z</dcterms:created>
  <dcterms:modified xsi:type="dcterms:W3CDTF">2026-02-01T23:55:00Z</dcterms:modified>
</cp:coreProperties>
</file>