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E51C6" w14:textId="77777777" w:rsidR="00E642FD" w:rsidRDefault="00000000">
      <w:r>
        <w:rPr>
          <w:rFonts w:ascii="Arial" w:eastAsia="Arial" w:hAnsi="Arial" w:cs="Arial"/>
          <w:b/>
          <w:bCs/>
          <w:spacing w:val="120"/>
          <w:sz w:val="30"/>
          <w:szCs w:val="30"/>
        </w:rPr>
        <w:t>FINBAR SKITINI</w:t>
      </w:r>
    </w:p>
    <w:p w14:paraId="24C41DC8" w14:textId="77777777" w:rsidR="00E642FD" w:rsidRDefault="00000000">
      <w:pPr>
        <w:spacing w:before="40" w:after="20"/>
      </w:pPr>
      <w:r>
        <w:rPr>
          <w:rFonts w:ascii="Arial" w:eastAsia="Arial" w:hAnsi="Arial" w:cs="Arial"/>
          <w:color w:val="333333"/>
        </w:rPr>
        <w:t>Graphic Designer</w:t>
      </w:r>
    </w:p>
    <w:p w14:paraId="12B73715" w14:textId="77777777" w:rsidR="00E642FD" w:rsidRDefault="00000000">
      <w:pPr>
        <w:spacing w:before="20"/>
      </w:pPr>
      <w:r>
        <w:rPr>
          <w:rFonts w:ascii="Arial" w:eastAsia="Arial" w:hAnsi="Arial" w:cs="Arial"/>
          <w:color w:val="555555"/>
          <w:sz w:val="16"/>
          <w:szCs w:val="16"/>
        </w:rPr>
        <w:t xml:space="preserve">Brisbane, </w:t>
      </w:r>
      <w:proofErr w:type="gramStart"/>
      <w:r>
        <w:rPr>
          <w:rFonts w:ascii="Arial" w:eastAsia="Arial" w:hAnsi="Arial" w:cs="Arial"/>
          <w:color w:val="555555"/>
          <w:sz w:val="16"/>
          <w:szCs w:val="16"/>
        </w:rPr>
        <w:t>Australia</w:t>
      </w:r>
      <w:r>
        <w:rPr>
          <w:rFonts w:ascii="Arial" w:eastAsia="Arial" w:hAnsi="Arial" w:cs="Arial"/>
          <w:color w:val="999999"/>
          <w:sz w:val="16"/>
          <w:szCs w:val="16"/>
        </w:rPr>
        <w:t xml:space="preserve">  |</w:t>
      </w:r>
      <w:proofErr w:type="gramEnd"/>
      <w:r>
        <w:rPr>
          <w:rFonts w:ascii="Arial" w:eastAsia="Arial" w:hAnsi="Arial" w:cs="Arial"/>
          <w:color w:val="999999"/>
          <w:sz w:val="16"/>
          <w:szCs w:val="16"/>
        </w:rPr>
        <w:t xml:space="preserve">  </w:t>
      </w:r>
      <w:proofErr w:type="spellStart"/>
      <w:proofErr w:type="gramStart"/>
      <w:r>
        <w:rPr>
          <w:rFonts w:ascii="Arial" w:eastAsia="Arial" w:hAnsi="Arial" w:cs="Arial"/>
          <w:color w:val="555555"/>
          <w:sz w:val="16"/>
          <w:szCs w:val="16"/>
        </w:rPr>
        <w:t>finbar@finbar.studio</w:t>
      </w:r>
      <w:proofErr w:type="spellEnd"/>
      <w:r>
        <w:rPr>
          <w:rFonts w:ascii="Arial" w:eastAsia="Arial" w:hAnsi="Arial" w:cs="Arial"/>
          <w:color w:val="999999"/>
          <w:sz w:val="16"/>
          <w:szCs w:val="16"/>
        </w:rPr>
        <w:t xml:space="preserve">  |</w:t>
      </w:r>
      <w:proofErr w:type="gramEnd"/>
      <w:r>
        <w:rPr>
          <w:rFonts w:ascii="Arial" w:eastAsia="Arial" w:hAnsi="Arial" w:cs="Arial"/>
          <w:color w:val="999999"/>
          <w:sz w:val="16"/>
          <w:szCs w:val="16"/>
        </w:rPr>
        <w:t xml:space="preserve">  </w:t>
      </w:r>
      <w:r>
        <w:rPr>
          <w:rFonts w:ascii="Arial" w:eastAsia="Arial" w:hAnsi="Arial" w:cs="Arial"/>
          <w:color w:val="555555"/>
          <w:sz w:val="16"/>
          <w:szCs w:val="16"/>
        </w:rPr>
        <w:t>0412 796 630</w:t>
      </w:r>
    </w:p>
    <w:p w14:paraId="19C8E7AA" w14:textId="5DDCB3A3" w:rsidR="00E642FD" w:rsidRDefault="00000000">
      <w:pPr>
        <w:spacing w:before="80"/>
      </w:pPr>
      <w:proofErr w:type="gramStart"/>
      <w:r>
        <w:rPr>
          <w:rFonts w:ascii="Arial" w:eastAsia="Arial" w:hAnsi="Arial" w:cs="Arial"/>
          <w:color w:val="555555"/>
          <w:sz w:val="16"/>
          <w:szCs w:val="16"/>
        </w:rPr>
        <w:t>Portfolio  —</w:t>
      </w:r>
      <w:proofErr w:type="gramEnd"/>
      <w:r>
        <w:rPr>
          <w:rFonts w:ascii="Arial" w:eastAsia="Arial" w:hAnsi="Arial" w:cs="Arial"/>
          <w:color w:val="555555"/>
          <w:sz w:val="16"/>
          <w:szCs w:val="16"/>
        </w:rPr>
        <w:t xml:space="preserve">  </w:t>
      </w:r>
      <w:proofErr w:type="gramStart"/>
      <w:r>
        <w:rPr>
          <w:rFonts w:ascii="Arial" w:eastAsia="Arial" w:hAnsi="Arial" w:cs="Arial"/>
          <w:b/>
          <w:bCs/>
          <w:color w:val="000000"/>
          <w:sz w:val="16"/>
          <w:szCs w:val="16"/>
        </w:rPr>
        <w:t>www.finbar.studio</w:t>
      </w:r>
      <w:r>
        <w:rPr>
          <w:rFonts w:ascii="Arial" w:eastAsia="Arial" w:hAnsi="Arial" w:cs="Arial"/>
          <w:color w:val="555555"/>
          <w:sz w:val="16"/>
          <w:szCs w:val="16"/>
        </w:rPr>
        <w:t xml:space="preserve">  —</w:t>
      </w:r>
      <w:proofErr w:type="gramEnd"/>
      <w:r>
        <w:rPr>
          <w:rFonts w:ascii="Arial" w:eastAsia="Arial" w:hAnsi="Arial" w:cs="Arial"/>
          <w:color w:val="555555"/>
          <w:sz w:val="16"/>
          <w:szCs w:val="16"/>
        </w:rPr>
        <w:t xml:space="preserve">  a comprehensive visual overview of my work.</w:t>
      </w:r>
    </w:p>
    <w:p w14:paraId="4B6C1FBA" w14:textId="77777777" w:rsidR="00E642FD" w:rsidRDefault="00000000">
      <w:pPr>
        <w:pBdr>
          <w:bottom w:val="single" w:sz="4" w:space="4" w:color="000000"/>
        </w:pBdr>
        <w:spacing w:before="260" w:after="60"/>
      </w:pPr>
      <w:r>
        <w:rPr>
          <w:rFonts w:ascii="Arial" w:eastAsia="Arial" w:hAnsi="Arial" w:cs="Arial"/>
          <w:b/>
          <w:bCs/>
          <w:color w:val="000000"/>
          <w:spacing w:val="80"/>
          <w:sz w:val="17"/>
          <w:szCs w:val="17"/>
        </w:rPr>
        <w:t>PROFILE</w:t>
      </w:r>
    </w:p>
    <w:p w14:paraId="0E09FA8A" w14:textId="37BCB79C" w:rsidR="00E642FD" w:rsidRDefault="00000000">
      <w:pPr>
        <w:spacing w:before="100" w:line="270" w:lineRule="auto"/>
      </w:pPr>
      <w:r>
        <w:rPr>
          <w:rFonts w:ascii="Arial" w:eastAsia="Arial" w:hAnsi="Arial" w:cs="Arial"/>
          <w:color w:val="000000"/>
          <w:sz w:val="17"/>
          <w:szCs w:val="17"/>
        </w:rPr>
        <w:t>Mid-weight designer with four years’ experience across in-house and studio environments. Comfortable working across brand identity, digital</w:t>
      </w:r>
      <w:r w:rsidR="003038ED">
        <w:rPr>
          <w:rFonts w:ascii="Arial" w:eastAsia="Arial" w:hAnsi="Arial" w:cs="Arial"/>
          <w:color w:val="000000"/>
          <w:sz w:val="17"/>
          <w:szCs w:val="17"/>
        </w:rPr>
        <w:t>/social</w:t>
      </w:r>
      <w:r>
        <w:rPr>
          <w:rFonts w:ascii="Arial" w:eastAsia="Arial" w:hAnsi="Arial" w:cs="Arial"/>
          <w:color w:val="000000"/>
          <w:sz w:val="17"/>
          <w:szCs w:val="17"/>
        </w:rPr>
        <w:t xml:space="preserve"> campaigns, publication design, and web</w:t>
      </w:r>
      <w:r w:rsidR="003038ED">
        <w:rPr>
          <w:rFonts w:ascii="Arial" w:eastAsia="Arial" w:hAnsi="Arial" w:cs="Arial"/>
          <w:color w:val="000000"/>
          <w:sz w:val="17"/>
          <w:szCs w:val="17"/>
        </w:rPr>
        <w:t>,</w:t>
      </w:r>
      <w:r>
        <w:rPr>
          <w:rFonts w:ascii="Arial" w:eastAsia="Arial" w:hAnsi="Arial" w:cs="Arial"/>
          <w:color w:val="000000"/>
          <w:sz w:val="17"/>
          <w:szCs w:val="17"/>
        </w:rPr>
        <w:t xml:space="preserve"> with a focus on clear systems, considered execution, and work that functions under real constraints. Looking for an in-house or agency role in Brisbane.</w:t>
      </w:r>
    </w:p>
    <w:p w14:paraId="2FDD3D0D" w14:textId="77777777" w:rsidR="00E642FD" w:rsidRDefault="00000000">
      <w:pPr>
        <w:pBdr>
          <w:bottom w:val="single" w:sz="4" w:space="4" w:color="000000"/>
        </w:pBdr>
        <w:spacing w:before="260" w:after="60"/>
      </w:pPr>
      <w:r>
        <w:rPr>
          <w:rFonts w:ascii="Arial" w:eastAsia="Arial" w:hAnsi="Arial" w:cs="Arial"/>
          <w:b/>
          <w:bCs/>
          <w:color w:val="000000"/>
          <w:spacing w:val="80"/>
          <w:sz w:val="17"/>
          <w:szCs w:val="17"/>
        </w:rPr>
        <w:t>EXPERIENCE</w:t>
      </w:r>
    </w:p>
    <w:p w14:paraId="557BE90C" w14:textId="77777777" w:rsidR="00E642FD" w:rsidRDefault="00000000">
      <w:pPr>
        <w:spacing w:before="140"/>
      </w:pPr>
      <w:r>
        <w:rPr>
          <w:rFonts w:ascii="Arial" w:eastAsia="Arial" w:hAnsi="Arial" w:cs="Arial"/>
          <w:b/>
          <w:bCs/>
          <w:sz w:val="19"/>
          <w:szCs w:val="19"/>
        </w:rPr>
        <w:t xml:space="preserve">Head </w:t>
      </w:r>
      <w:proofErr w:type="gramStart"/>
      <w:r>
        <w:rPr>
          <w:rFonts w:ascii="Arial" w:eastAsia="Arial" w:hAnsi="Arial" w:cs="Arial"/>
          <w:b/>
          <w:bCs/>
          <w:sz w:val="19"/>
          <w:szCs w:val="19"/>
        </w:rPr>
        <w:t>Designer</w:t>
      </w:r>
      <w:r>
        <w:rPr>
          <w:rFonts w:ascii="Arial" w:eastAsia="Arial" w:hAnsi="Arial" w:cs="Arial"/>
          <w:sz w:val="18"/>
          <w:szCs w:val="18"/>
        </w:rPr>
        <w:t xml:space="preserve">  —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 Packer &amp; Associates</w:t>
      </w:r>
    </w:p>
    <w:p w14:paraId="0DA85C96" w14:textId="77777777" w:rsidR="00E642FD" w:rsidRDefault="00000000">
      <w:pPr>
        <w:spacing w:before="20" w:after="60"/>
      </w:pPr>
      <w:r>
        <w:rPr>
          <w:rFonts w:ascii="Arial" w:eastAsia="Arial" w:hAnsi="Arial" w:cs="Arial"/>
          <w:i/>
          <w:iCs/>
          <w:color w:val="555555"/>
          <w:sz w:val="16"/>
          <w:szCs w:val="16"/>
        </w:rPr>
        <w:t xml:space="preserve">Brisbane, </w:t>
      </w:r>
      <w:proofErr w:type="gramStart"/>
      <w:r>
        <w:rPr>
          <w:rFonts w:ascii="Arial" w:eastAsia="Arial" w:hAnsi="Arial" w:cs="Arial"/>
          <w:i/>
          <w:iCs/>
          <w:color w:val="555555"/>
          <w:sz w:val="16"/>
          <w:szCs w:val="16"/>
        </w:rPr>
        <w:t>Australia  |</w:t>
      </w:r>
      <w:proofErr w:type="gramEnd"/>
      <w:r>
        <w:rPr>
          <w:rFonts w:ascii="Arial" w:eastAsia="Arial" w:hAnsi="Arial" w:cs="Arial"/>
          <w:i/>
          <w:iCs/>
          <w:color w:val="555555"/>
          <w:sz w:val="16"/>
          <w:szCs w:val="16"/>
        </w:rPr>
        <w:t xml:space="preserve">  2024 – 2025</w:t>
      </w:r>
    </w:p>
    <w:p w14:paraId="0EF49733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Oversaw the graphic design function for a consulting firm, delivering visual communication across branding, digital platforms, and client-facing materials for B2B sectors including infrastructure, healthcare, and government.</w:t>
      </w:r>
    </w:p>
    <w:p w14:paraId="5859358D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 xml:space="preserve">Led brand identity projects from concept to execution, including full visual systems for </w:t>
      </w:r>
      <w:proofErr w:type="spellStart"/>
      <w:r>
        <w:rPr>
          <w:rFonts w:ascii="Arial" w:eastAsia="Arial" w:hAnsi="Arial" w:cs="Arial"/>
          <w:sz w:val="17"/>
          <w:szCs w:val="17"/>
        </w:rPr>
        <w:t>Stimulá</w:t>
      </w:r>
      <w:proofErr w:type="spellEnd"/>
      <w:r>
        <w:rPr>
          <w:rFonts w:ascii="Arial" w:eastAsia="Arial" w:hAnsi="Arial" w:cs="Arial"/>
          <w:sz w:val="17"/>
          <w:szCs w:val="17"/>
        </w:rPr>
        <w:t xml:space="preserve"> Strategic Consulting and Compass Capability, alongside comprehensive sales playbook design for Salesmasters across 15+ client organisations.</w:t>
      </w:r>
    </w:p>
    <w:p w14:paraId="71683AA3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Designed and built the company website, integrating animated video, refreshed brand assets, and content strategy that contributed to securing two significant tenders.</w:t>
      </w:r>
    </w:p>
    <w:p w14:paraId="469E65F1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 xml:space="preserve">Developed large-scale infographic systems for </w:t>
      </w:r>
      <w:proofErr w:type="spellStart"/>
      <w:r>
        <w:rPr>
          <w:rFonts w:ascii="Arial" w:eastAsia="Arial" w:hAnsi="Arial" w:cs="Arial"/>
          <w:sz w:val="17"/>
          <w:szCs w:val="17"/>
        </w:rPr>
        <w:t>TasWater</w:t>
      </w:r>
      <w:proofErr w:type="spellEnd"/>
      <w:r>
        <w:rPr>
          <w:rFonts w:ascii="Arial" w:eastAsia="Arial" w:hAnsi="Arial" w:cs="Arial"/>
          <w:sz w:val="17"/>
          <w:szCs w:val="17"/>
        </w:rPr>
        <w:t>, produced capability statements, corporate documentation, and template systems for efficient rollout across the business.</w:t>
      </w:r>
    </w:p>
    <w:p w14:paraId="45B9A997" w14:textId="77777777" w:rsidR="00E642FD" w:rsidRDefault="00000000">
      <w:pPr>
        <w:spacing w:before="140"/>
      </w:pPr>
      <w:proofErr w:type="gramStart"/>
      <w:r>
        <w:rPr>
          <w:rFonts w:ascii="Arial" w:eastAsia="Arial" w:hAnsi="Arial" w:cs="Arial"/>
          <w:b/>
          <w:bCs/>
          <w:sz w:val="19"/>
          <w:szCs w:val="19"/>
        </w:rPr>
        <w:t>Designer</w:t>
      </w:r>
      <w:r>
        <w:rPr>
          <w:rFonts w:ascii="Arial" w:eastAsia="Arial" w:hAnsi="Arial" w:cs="Arial"/>
          <w:sz w:val="18"/>
          <w:szCs w:val="18"/>
        </w:rPr>
        <w:t xml:space="preserve">  —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 Share to Buy</w:t>
      </w:r>
    </w:p>
    <w:p w14:paraId="7EABD3ED" w14:textId="77777777" w:rsidR="00E642FD" w:rsidRDefault="00000000">
      <w:pPr>
        <w:spacing w:before="20" w:after="60"/>
      </w:pPr>
      <w:r>
        <w:rPr>
          <w:rFonts w:ascii="Arial" w:eastAsia="Arial" w:hAnsi="Arial" w:cs="Arial"/>
          <w:i/>
          <w:iCs/>
          <w:color w:val="555555"/>
          <w:sz w:val="16"/>
          <w:szCs w:val="16"/>
        </w:rPr>
        <w:t xml:space="preserve">London, </w:t>
      </w:r>
      <w:proofErr w:type="gramStart"/>
      <w:r>
        <w:rPr>
          <w:rFonts w:ascii="Arial" w:eastAsia="Arial" w:hAnsi="Arial" w:cs="Arial"/>
          <w:i/>
          <w:iCs/>
          <w:color w:val="555555"/>
          <w:sz w:val="16"/>
          <w:szCs w:val="16"/>
        </w:rPr>
        <w:t>UK  |</w:t>
      </w:r>
      <w:proofErr w:type="gramEnd"/>
      <w:r>
        <w:rPr>
          <w:rFonts w:ascii="Arial" w:eastAsia="Arial" w:hAnsi="Arial" w:cs="Arial"/>
          <w:i/>
          <w:iCs/>
          <w:color w:val="555555"/>
          <w:sz w:val="16"/>
          <w:szCs w:val="16"/>
        </w:rPr>
        <w:t xml:space="preserve">  2022 – 2024</w:t>
      </w:r>
    </w:p>
    <w:p w14:paraId="20EE35A4" w14:textId="77777777" w:rsidR="00E642FD" w:rsidRDefault="00000000">
      <w:pPr>
        <w:spacing w:after="60" w:line="260" w:lineRule="auto"/>
      </w:pPr>
      <w:r>
        <w:rPr>
          <w:rFonts w:ascii="Arial" w:eastAsia="Arial" w:hAnsi="Arial" w:cs="Arial"/>
          <w:color w:val="333333"/>
          <w:sz w:val="17"/>
          <w:szCs w:val="17"/>
        </w:rPr>
        <w:t>Part of the in-house marketing team, reporting to the Marketing Lead, for the UK’s leading affordable homeownership platform.</w:t>
      </w:r>
    </w:p>
    <w:p w14:paraId="6D8CA8DF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Designed and produced “The Moment You Realise” social campaign — 30+ motion and static assets across all formats, built as a modular evergreen content system.</w:t>
      </w:r>
    </w:p>
    <w:p w14:paraId="48375A1D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Managed all marketing collateral for the London Home Show (4,000+ attendees), including wayfinding systems, large-format signage, HTML/CSS email campaigns achieving record ticket sales, and Metro newspaper advertising.</w:t>
      </w:r>
    </w:p>
    <w:p w14:paraId="0E88E1FB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Designed and coded monthly email newsletters for 80,000+ recipients across seven regions, ensuring cross-client compatibility including legacy Outlook and dark mode support.</w:t>
      </w:r>
    </w:p>
    <w:p w14:paraId="34520CB0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sz w:val="17"/>
          <w:szCs w:val="17"/>
        </w:rPr>
        <w:t>Produced 63-page monthly performance reports with automated data visualisation, covering seven regional markets and delivered to housing providers within 1–</w:t>
      </w:r>
      <w:proofErr w:type="gramStart"/>
      <w:r>
        <w:rPr>
          <w:rFonts w:ascii="Arial" w:eastAsia="Arial" w:hAnsi="Arial" w:cs="Arial"/>
          <w:sz w:val="17"/>
          <w:szCs w:val="17"/>
        </w:rPr>
        <w:t>1.5 day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turnaround.</w:t>
      </w:r>
    </w:p>
    <w:p w14:paraId="4ABD7FBF" w14:textId="77777777" w:rsidR="00E642FD" w:rsidRDefault="00000000">
      <w:pPr>
        <w:pBdr>
          <w:bottom w:val="single" w:sz="4" w:space="4" w:color="000000"/>
        </w:pBdr>
        <w:spacing w:before="260" w:after="60"/>
      </w:pPr>
      <w:r>
        <w:rPr>
          <w:rFonts w:ascii="Arial" w:eastAsia="Arial" w:hAnsi="Arial" w:cs="Arial"/>
          <w:b/>
          <w:bCs/>
          <w:color w:val="000000"/>
          <w:spacing w:val="80"/>
          <w:sz w:val="17"/>
          <w:szCs w:val="17"/>
        </w:rPr>
        <w:t>SELECTED PROJECTS</w:t>
      </w:r>
    </w:p>
    <w:p w14:paraId="62DAAAFC" w14:textId="77777777" w:rsidR="00E642FD" w:rsidRDefault="00000000">
      <w:pPr>
        <w:pStyle w:val="ListParagraph"/>
        <w:numPr>
          <w:ilvl w:val="0"/>
          <w:numId w:val="2"/>
        </w:numPr>
        <w:spacing w:before="100" w:after="30" w:line="260" w:lineRule="auto"/>
      </w:pPr>
      <w:r>
        <w:rPr>
          <w:rFonts w:ascii="Arial" w:eastAsia="Arial" w:hAnsi="Arial" w:cs="Arial"/>
          <w:b/>
          <w:bCs/>
          <w:sz w:val="17"/>
          <w:szCs w:val="17"/>
        </w:rPr>
        <w:t>Salesmasters Playbooks</w:t>
      </w:r>
      <w:r>
        <w:rPr>
          <w:rFonts w:ascii="Arial" w:eastAsia="Arial" w:hAnsi="Arial" w:cs="Arial"/>
          <w:sz w:val="17"/>
          <w:szCs w:val="17"/>
        </w:rPr>
        <w:t xml:space="preserve"> — End-to-end publication design across 15+ client organisations spanning healthcare, sustainability, infrastructure, and government. Content, infographics, and layout built for print and scale.</w:t>
      </w:r>
    </w:p>
    <w:p w14:paraId="79DE7543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b/>
          <w:bCs/>
          <w:sz w:val="17"/>
          <w:szCs w:val="17"/>
        </w:rPr>
        <w:t>Kinaya</w:t>
      </w:r>
      <w:r>
        <w:rPr>
          <w:rFonts w:ascii="Arial" w:eastAsia="Arial" w:hAnsi="Arial" w:cs="Arial"/>
          <w:sz w:val="17"/>
          <w:szCs w:val="17"/>
        </w:rPr>
        <w:t xml:space="preserve"> — Brand identity and accessible website for an Adelaide-based NDIS provider. Visual identity, colour system, and custom-coded accessibility features.</w:t>
      </w:r>
    </w:p>
    <w:p w14:paraId="664584DF" w14:textId="77777777" w:rsidR="00E642FD" w:rsidRDefault="00000000">
      <w:pPr>
        <w:pStyle w:val="ListParagraph"/>
        <w:numPr>
          <w:ilvl w:val="0"/>
          <w:numId w:val="2"/>
        </w:numPr>
        <w:spacing w:before="30" w:after="30" w:line="260" w:lineRule="auto"/>
      </w:pPr>
      <w:r>
        <w:rPr>
          <w:rFonts w:ascii="Arial" w:eastAsia="Arial" w:hAnsi="Arial" w:cs="Arial"/>
          <w:b/>
          <w:bCs/>
          <w:sz w:val="17"/>
          <w:szCs w:val="17"/>
        </w:rPr>
        <w:t>Compass Capability</w:t>
      </w:r>
      <w:r>
        <w:rPr>
          <w:rFonts w:ascii="Arial" w:eastAsia="Arial" w:hAnsi="Arial" w:cs="Arial"/>
          <w:sz w:val="17"/>
          <w:szCs w:val="17"/>
        </w:rPr>
        <w:t xml:space="preserve"> — Full visual identity and brand guidelines for a national consulting firm in renewable energy and manufacturing.</w:t>
      </w:r>
    </w:p>
    <w:p w14:paraId="140750AE" w14:textId="77777777" w:rsidR="00E642FD" w:rsidRDefault="00000000">
      <w:pPr>
        <w:pBdr>
          <w:bottom w:val="single" w:sz="4" w:space="4" w:color="000000"/>
        </w:pBdr>
        <w:spacing w:before="260" w:after="60"/>
      </w:pPr>
      <w:r>
        <w:rPr>
          <w:rFonts w:ascii="Arial" w:eastAsia="Arial" w:hAnsi="Arial" w:cs="Arial"/>
          <w:b/>
          <w:bCs/>
          <w:color w:val="000000"/>
          <w:spacing w:val="80"/>
          <w:sz w:val="17"/>
          <w:szCs w:val="17"/>
        </w:rPr>
        <w:t>SKILLS</w:t>
      </w:r>
    </w:p>
    <w:p w14:paraId="77AEEBBD" w14:textId="77777777" w:rsidR="00E642FD" w:rsidRDefault="00000000">
      <w:pPr>
        <w:spacing w:before="100" w:after="40" w:line="260" w:lineRule="auto"/>
      </w:pPr>
      <w:r>
        <w:rPr>
          <w:rFonts w:ascii="Arial" w:eastAsia="Arial" w:hAnsi="Arial" w:cs="Arial"/>
          <w:b/>
          <w:bCs/>
          <w:sz w:val="17"/>
          <w:szCs w:val="17"/>
        </w:rPr>
        <w:t xml:space="preserve">Tools:  </w:t>
      </w:r>
      <w:proofErr w:type="gramStart"/>
      <w:r>
        <w:rPr>
          <w:rFonts w:ascii="Arial" w:eastAsia="Arial" w:hAnsi="Arial" w:cs="Arial"/>
          <w:sz w:val="17"/>
          <w:szCs w:val="17"/>
        </w:rPr>
        <w:t>InDesign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</w:t>
      </w:r>
      <w:proofErr w:type="gramStart"/>
      <w:r>
        <w:rPr>
          <w:rFonts w:ascii="Arial" w:eastAsia="Arial" w:hAnsi="Arial" w:cs="Arial"/>
          <w:sz w:val="17"/>
          <w:szCs w:val="17"/>
        </w:rPr>
        <w:t>Illustrator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</w:t>
      </w:r>
      <w:proofErr w:type="gramStart"/>
      <w:r>
        <w:rPr>
          <w:rFonts w:ascii="Arial" w:eastAsia="Arial" w:hAnsi="Arial" w:cs="Arial"/>
          <w:sz w:val="17"/>
          <w:szCs w:val="17"/>
        </w:rPr>
        <w:t>Framer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</w:t>
      </w:r>
      <w:proofErr w:type="gramStart"/>
      <w:r>
        <w:rPr>
          <w:rFonts w:ascii="Arial" w:eastAsia="Arial" w:hAnsi="Arial" w:cs="Arial"/>
          <w:sz w:val="17"/>
          <w:szCs w:val="17"/>
        </w:rPr>
        <w:t>Photoshop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After </w:t>
      </w:r>
      <w:proofErr w:type="gramStart"/>
      <w:r>
        <w:rPr>
          <w:rFonts w:ascii="Arial" w:eastAsia="Arial" w:hAnsi="Arial" w:cs="Arial"/>
          <w:sz w:val="17"/>
          <w:szCs w:val="17"/>
        </w:rPr>
        <w:t>Effects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</w:t>
      </w:r>
      <w:proofErr w:type="gramStart"/>
      <w:r>
        <w:rPr>
          <w:rFonts w:ascii="Arial" w:eastAsia="Arial" w:hAnsi="Arial" w:cs="Arial"/>
          <w:sz w:val="17"/>
          <w:szCs w:val="17"/>
        </w:rPr>
        <w:t>Figma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</w:t>
      </w:r>
      <w:proofErr w:type="gramStart"/>
      <w:r>
        <w:rPr>
          <w:rFonts w:ascii="Arial" w:eastAsia="Arial" w:hAnsi="Arial" w:cs="Arial"/>
          <w:sz w:val="17"/>
          <w:szCs w:val="17"/>
        </w:rPr>
        <w:t>Canva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HTML/</w:t>
      </w:r>
      <w:proofErr w:type="gramStart"/>
      <w:r>
        <w:rPr>
          <w:rFonts w:ascii="Arial" w:eastAsia="Arial" w:hAnsi="Arial" w:cs="Arial"/>
          <w:sz w:val="17"/>
          <w:szCs w:val="17"/>
        </w:rPr>
        <w:t>CSS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Print </w:t>
      </w:r>
      <w:proofErr w:type="gramStart"/>
      <w:r>
        <w:rPr>
          <w:rFonts w:ascii="Arial" w:eastAsia="Arial" w:hAnsi="Arial" w:cs="Arial"/>
          <w:sz w:val="17"/>
          <w:szCs w:val="17"/>
        </w:rPr>
        <w:t>Production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Data Visualisation</w:t>
      </w:r>
    </w:p>
    <w:p w14:paraId="0C96AB46" w14:textId="77777777" w:rsidR="00E642FD" w:rsidRDefault="00000000">
      <w:pPr>
        <w:spacing w:line="260" w:lineRule="auto"/>
      </w:pPr>
      <w:r>
        <w:rPr>
          <w:rFonts w:ascii="Arial" w:eastAsia="Arial" w:hAnsi="Arial" w:cs="Arial"/>
          <w:b/>
          <w:bCs/>
          <w:sz w:val="17"/>
          <w:szCs w:val="17"/>
        </w:rPr>
        <w:t xml:space="preserve">Services:  </w:t>
      </w:r>
      <w:r>
        <w:rPr>
          <w:rFonts w:ascii="Arial" w:eastAsia="Arial" w:hAnsi="Arial" w:cs="Arial"/>
          <w:sz w:val="17"/>
          <w:szCs w:val="17"/>
        </w:rPr>
        <w:t xml:space="preserve">Brand </w:t>
      </w:r>
      <w:proofErr w:type="gramStart"/>
      <w:r>
        <w:rPr>
          <w:rFonts w:ascii="Arial" w:eastAsia="Arial" w:hAnsi="Arial" w:cs="Arial"/>
          <w:sz w:val="17"/>
          <w:szCs w:val="17"/>
        </w:rPr>
        <w:t>Identity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Logo </w:t>
      </w:r>
      <w:proofErr w:type="gramStart"/>
      <w:r>
        <w:rPr>
          <w:rFonts w:ascii="Arial" w:eastAsia="Arial" w:hAnsi="Arial" w:cs="Arial"/>
          <w:sz w:val="17"/>
          <w:szCs w:val="17"/>
        </w:rPr>
        <w:t>Design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Brand </w:t>
      </w:r>
      <w:proofErr w:type="gramStart"/>
      <w:r>
        <w:rPr>
          <w:rFonts w:ascii="Arial" w:eastAsia="Arial" w:hAnsi="Arial" w:cs="Arial"/>
          <w:sz w:val="17"/>
          <w:szCs w:val="17"/>
        </w:rPr>
        <w:t>Guidelines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Social </w:t>
      </w:r>
      <w:proofErr w:type="gramStart"/>
      <w:r>
        <w:rPr>
          <w:rFonts w:ascii="Arial" w:eastAsia="Arial" w:hAnsi="Arial" w:cs="Arial"/>
          <w:sz w:val="17"/>
          <w:szCs w:val="17"/>
        </w:rPr>
        <w:t>Media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Publication </w:t>
      </w:r>
      <w:proofErr w:type="gramStart"/>
      <w:r>
        <w:rPr>
          <w:rFonts w:ascii="Arial" w:eastAsia="Arial" w:hAnsi="Arial" w:cs="Arial"/>
          <w:sz w:val="17"/>
          <w:szCs w:val="17"/>
        </w:rPr>
        <w:t>Design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Email </w:t>
      </w:r>
      <w:proofErr w:type="gramStart"/>
      <w:r>
        <w:rPr>
          <w:rFonts w:ascii="Arial" w:eastAsia="Arial" w:hAnsi="Arial" w:cs="Arial"/>
          <w:sz w:val="17"/>
          <w:szCs w:val="17"/>
        </w:rPr>
        <w:t>Development  ·</w:t>
      </w:r>
      <w:proofErr w:type="gramEnd"/>
      <w:r>
        <w:rPr>
          <w:rFonts w:ascii="Arial" w:eastAsia="Arial" w:hAnsi="Arial" w:cs="Arial"/>
          <w:sz w:val="17"/>
          <w:szCs w:val="17"/>
        </w:rPr>
        <w:t xml:space="preserve">  Web Design &amp; Build</w:t>
      </w:r>
    </w:p>
    <w:p w14:paraId="0B35486B" w14:textId="77777777" w:rsidR="00E642FD" w:rsidRDefault="00000000">
      <w:pPr>
        <w:pBdr>
          <w:bottom w:val="single" w:sz="4" w:space="4" w:color="000000"/>
        </w:pBdr>
        <w:spacing w:before="260" w:after="60"/>
      </w:pPr>
      <w:r>
        <w:rPr>
          <w:rFonts w:ascii="Arial" w:eastAsia="Arial" w:hAnsi="Arial" w:cs="Arial"/>
          <w:b/>
          <w:bCs/>
          <w:color w:val="000000"/>
          <w:spacing w:val="80"/>
          <w:sz w:val="17"/>
          <w:szCs w:val="17"/>
        </w:rPr>
        <w:t>EDUCATION</w:t>
      </w:r>
    </w:p>
    <w:p w14:paraId="1627D5E3" w14:textId="77777777" w:rsidR="00E642FD" w:rsidRDefault="00000000">
      <w:pPr>
        <w:spacing w:before="100"/>
      </w:pPr>
      <w:r>
        <w:rPr>
          <w:rFonts w:ascii="Arial" w:eastAsia="Arial" w:hAnsi="Arial" w:cs="Arial"/>
          <w:b/>
          <w:bCs/>
          <w:sz w:val="17"/>
          <w:szCs w:val="17"/>
        </w:rPr>
        <w:t>Graphic Design BA (Hons), 2:</w:t>
      </w:r>
      <w:proofErr w:type="gramStart"/>
      <w:r>
        <w:rPr>
          <w:rFonts w:ascii="Arial" w:eastAsia="Arial" w:hAnsi="Arial" w:cs="Arial"/>
          <w:b/>
          <w:bCs/>
          <w:sz w:val="17"/>
          <w:szCs w:val="17"/>
        </w:rPr>
        <w:t>1</w:t>
      </w:r>
      <w:r>
        <w:rPr>
          <w:rFonts w:ascii="Arial" w:eastAsia="Arial" w:hAnsi="Arial" w:cs="Arial"/>
          <w:color w:val="555555"/>
          <w:sz w:val="17"/>
          <w:szCs w:val="17"/>
        </w:rPr>
        <w:t xml:space="preserve">  —</w:t>
      </w:r>
      <w:proofErr w:type="gramEnd"/>
      <w:r>
        <w:rPr>
          <w:rFonts w:ascii="Arial" w:eastAsia="Arial" w:hAnsi="Arial" w:cs="Arial"/>
          <w:color w:val="555555"/>
          <w:sz w:val="17"/>
          <w:szCs w:val="17"/>
        </w:rPr>
        <w:t xml:space="preserve">  University of Brighton, 2018–2021</w:t>
      </w:r>
    </w:p>
    <w:p w14:paraId="114534F8" w14:textId="77777777" w:rsidR="00E642FD" w:rsidRDefault="00E642FD">
      <w:pPr>
        <w:spacing w:before="140"/>
      </w:pPr>
    </w:p>
    <w:p w14:paraId="270DB6DB" w14:textId="77777777" w:rsidR="00E642FD" w:rsidRDefault="00000000">
      <w:pPr>
        <w:jc w:val="center"/>
      </w:pPr>
      <w:r>
        <w:rPr>
          <w:rFonts w:ascii="Arial" w:eastAsia="Arial" w:hAnsi="Arial" w:cs="Arial"/>
          <w:color w:val="777777"/>
          <w:sz w:val="15"/>
          <w:szCs w:val="15"/>
        </w:rPr>
        <w:t xml:space="preserve">Full project details at </w:t>
      </w:r>
      <w:proofErr w:type="gramStart"/>
      <w:r>
        <w:rPr>
          <w:rFonts w:ascii="Arial" w:eastAsia="Arial" w:hAnsi="Arial" w:cs="Arial"/>
          <w:b/>
          <w:bCs/>
          <w:color w:val="000000"/>
          <w:sz w:val="15"/>
          <w:szCs w:val="15"/>
        </w:rPr>
        <w:t>www.finbar.studio</w:t>
      </w:r>
      <w:r>
        <w:rPr>
          <w:rFonts w:ascii="Arial" w:eastAsia="Arial" w:hAnsi="Arial" w:cs="Arial"/>
          <w:color w:val="777777"/>
          <w:sz w:val="15"/>
          <w:szCs w:val="15"/>
        </w:rPr>
        <w:t xml:space="preserve">  |</w:t>
      </w:r>
      <w:proofErr w:type="gramEnd"/>
      <w:r>
        <w:rPr>
          <w:rFonts w:ascii="Arial" w:eastAsia="Arial" w:hAnsi="Arial" w:cs="Arial"/>
          <w:color w:val="777777"/>
          <w:sz w:val="15"/>
          <w:szCs w:val="15"/>
        </w:rPr>
        <w:t xml:space="preserve">  References available upon request</w:t>
      </w:r>
    </w:p>
    <w:sectPr w:rsidR="00E642FD">
      <w:pgSz w:w="11906" w:h="16838"/>
      <w:pgMar w:top="900" w:right="1080" w:bottom="72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04E3C"/>
    <w:multiLevelType w:val="hybridMultilevel"/>
    <w:tmpl w:val="440AB96E"/>
    <w:lvl w:ilvl="0" w:tplc="2C983FEE">
      <w:start w:val="1"/>
      <w:numFmt w:val="bullet"/>
      <w:lvlText w:val="●"/>
      <w:lvlJc w:val="left"/>
      <w:pPr>
        <w:ind w:left="720" w:hanging="360"/>
      </w:pPr>
    </w:lvl>
    <w:lvl w:ilvl="1" w:tplc="136ED42A">
      <w:start w:val="1"/>
      <w:numFmt w:val="bullet"/>
      <w:lvlText w:val="○"/>
      <w:lvlJc w:val="left"/>
      <w:pPr>
        <w:ind w:left="1440" w:hanging="360"/>
      </w:pPr>
    </w:lvl>
    <w:lvl w:ilvl="2" w:tplc="FCE43B20">
      <w:start w:val="1"/>
      <w:numFmt w:val="bullet"/>
      <w:lvlText w:val="■"/>
      <w:lvlJc w:val="left"/>
      <w:pPr>
        <w:ind w:left="2160" w:hanging="360"/>
      </w:pPr>
    </w:lvl>
    <w:lvl w:ilvl="3" w:tplc="BD784610">
      <w:start w:val="1"/>
      <w:numFmt w:val="bullet"/>
      <w:lvlText w:val="●"/>
      <w:lvlJc w:val="left"/>
      <w:pPr>
        <w:ind w:left="2880" w:hanging="360"/>
      </w:pPr>
    </w:lvl>
    <w:lvl w:ilvl="4" w:tplc="697668B2">
      <w:start w:val="1"/>
      <w:numFmt w:val="bullet"/>
      <w:lvlText w:val="○"/>
      <w:lvlJc w:val="left"/>
      <w:pPr>
        <w:ind w:left="3600" w:hanging="360"/>
      </w:pPr>
    </w:lvl>
    <w:lvl w:ilvl="5" w:tplc="E8D6FB1C">
      <w:start w:val="1"/>
      <w:numFmt w:val="bullet"/>
      <w:lvlText w:val="■"/>
      <w:lvlJc w:val="left"/>
      <w:pPr>
        <w:ind w:left="4320" w:hanging="360"/>
      </w:pPr>
    </w:lvl>
    <w:lvl w:ilvl="6" w:tplc="F0CC5C92">
      <w:start w:val="1"/>
      <w:numFmt w:val="bullet"/>
      <w:lvlText w:val="●"/>
      <w:lvlJc w:val="left"/>
      <w:pPr>
        <w:ind w:left="5040" w:hanging="360"/>
      </w:pPr>
    </w:lvl>
    <w:lvl w:ilvl="7" w:tplc="CA1C2106">
      <w:start w:val="1"/>
      <w:numFmt w:val="bullet"/>
      <w:lvlText w:val="●"/>
      <w:lvlJc w:val="left"/>
      <w:pPr>
        <w:ind w:left="5760" w:hanging="360"/>
      </w:pPr>
    </w:lvl>
    <w:lvl w:ilvl="8" w:tplc="3D542D3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3D348D4"/>
    <w:multiLevelType w:val="hybridMultilevel"/>
    <w:tmpl w:val="4D122BA8"/>
    <w:lvl w:ilvl="0" w:tplc="1046C3FA">
      <w:start w:val="1"/>
      <w:numFmt w:val="bullet"/>
      <w:lvlText w:val="•"/>
      <w:lvlJc w:val="left"/>
      <w:pPr>
        <w:ind w:left="280" w:hanging="280"/>
      </w:pPr>
    </w:lvl>
    <w:lvl w:ilvl="1" w:tplc="C602F848">
      <w:numFmt w:val="decimal"/>
      <w:lvlText w:val=""/>
      <w:lvlJc w:val="left"/>
    </w:lvl>
    <w:lvl w:ilvl="2" w:tplc="A7D068DA">
      <w:numFmt w:val="decimal"/>
      <w:lvlText w:val=""/>
      <w:lvlJc w:val="left"/>
    </w:lvl>
    <w:lvl w:ilvl="3" w:tplc="D944B1DE">
      <w:numFmt w:val="decimal"/>
      <w:lvlText w:val=""/>
      <w:lvlJc w:val="left"/>
    </w:lvl>
    <w:lvl w:ilvl="4" w:tplc="FF0888EC">
      <w:numFmt w:val="decimal"/>
      <w:lvlText w:val=""/>
      <w:lvlJc w:val="left"/>
    </w:lvl>
    <w:lvl w:ilvl="5" w:tplc="2E76F3F0">
      <w:numFmt w:val="decimal"/>
      <w:lvlText w:val=""/>
      <w:lvlJc w:val="left"/>
    </w:lvl>
    <w:lvl w:ilvl="6" w:tplc="06F4F8DE">
      <w:numFmt w:val="decimal"/>
      <w:lvlText w:val=""/>
      <w:lvlJc w:val="left"/>
    </w:lvl>
    <w:lvl w:ilvl="7" w:tplc="254A09FE">
      <w:numFmt w:val="decimal"/>
      <w:lvlText w:val=""/>
      <w:lvlJc w:val="left"/>
    </w:lvl>
    <w:lvl w:ilvl="8" w:tplc="DAAEE470">
      <w:numFmt w:val="decimal"/>
      <w:lvlText w:val=""/>
      <w:lvlJc w:val="left"/>
    </w:lvl>
  </w:abstractNum>
  <w:num w:numId="1" w16cid:durableId="92437528">
    <w:abstractNumId w:val="0"/>
    <w:lvlOverride w:ilvl="0">
      <w:startOverride w:val="1"/>
    </w:lvlOverride>
  </w:num>
  <w:num w:numId="2" w16cid:durableId="111170411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FD"/>
    <w:rsid w:val="003038ED"/>
    <w:rsid w:val="00A92222"/>
    <w:rsid w:val="00E6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8C721"/>
  <w15:docId w15:val="{CB7FEBAF-F56E-CC41-AC7B-4CF1669E7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Finbar Skitini</cp:lastModifiedBy>
  <cp:revision>2</cp:revision>
  <dcterms:created xsi:type="dcterms:W3CDTF">2026-02-10T09:18:00Z</dcterms:created>
  <dcterms:modified xsi:type="dcterms:W3CDTF">2026-02-10T09:18:00Z</dcterms:modified>
</cp:coreProperties>
</file>