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3000"/>
      </w:pPr>
    </w:p>
    <w:p>
      <w:pPr>
        <w:jc w:val="left"/>
      </w:pPr>
      <w:r>
        <w:rPr>
          <w:rFonts w:ascii="Arial" w:cs="Arial" w:eastAsia="Arial" w:hAnsi="Arial"/>
          <w:b/>
          <w:bCs/>
          <w:color w:val="1B2A4A"/>
          <w:sz w:val="56"/>
          <w:szCs w:val="56"/>
        </w:rPr>
        <w:t xml:space="preserve">THE ARCHITECTURE</w:t>
      </w:r>
    </w:p>
    <w:p>
      <w:pPr>
        <w:spacing w:after="200"/>
        <w:jc w:val="left"/>
      </w:pPr>
      <w:r>
        <w:rPr>
          <w:rFonts w:ascii="Arial" w:cs="Arial" w:eastAsia="Arial" w:hAnsi="Arial"/>
          <w:b/>
          <w:bCs/>
          <w:color w:val="2E75B6"/>
          <w:sz w:val="56"/>
          <w:szCs w:val="56"/>
        </w:rPr>
        <w:t xml:space="preserve">OF ATTRITION</w:t>
      </w:r>
    </w:p>
    <w:p>
      <w:pPr>
        <w:pBdr>
          <w:bottom w:val="single" w:color="2E75B6" w:sz="6" w:space="1"/>
        </w:pBdr>
        <w:spacing w:after="300"/>
      </w:pPr>
    </w:p>
    <w:p>
      <w:pPr>
        <w:spacing w:after="400"/>
      </w:pPr>
      <w:r>
        <w:rPr>
          <w:i/>
          <w:iCs/>
          <w:color w:val="666666"/>
          <w:sz w:val="26"/>
          <w:szCs w:val="26"/>
        </w:rPr>
        <w:t xml:space="preserve">Systemic Flaws in AI Recruitment Platforms and the Imperative for Skills-Based Validation</w:t>
      </w:r>
    </w:p>
    <w:p>
      <w:pPr>
        <w:spacing w:after="100"/>
      </w:pPr>
      <w:r>
        <w:rPr>
          <w:color w:val="666666"/>
          <w:sz w:val="22"/>
          <w:szCs w:val="22"/>
        </w:rPr>
        <w:t xml:space="preserve">Prepared for Executive Review  |  February 2026</w:t>
      </w:r>
    </w:p>
    <w:p>
      <w:r>
        <w:rPr>
          <w:color w:val="2E75B6"/>
          <w:sz w:val="20"/>
          <w:szCs w:val="20"/>
        </w:rPr>
        <w:t xml:space="preserve">Research-Grounded Edition with Verified Citations</w:t>
      </w:r>
    </w:p>
    <w:p>
      <w:pPr>
        <w:sectPr>
          <w:pgSz w:w="12240" w:h="15840" w:orient="portrait"/>
          <w:pgMar w:top="1440" w:right="1440" w:bottom="1440" w:left="1440" w:header="708" w:footer="708" w:gutter="0"/>
          <w:pgNumType/>
          <w:docGrid w:linePitch="360"/>
        </w:sectPr>
      </w:pPr>
    </w:p>
    <w:p>
      <w:pPr>
        <w:pStyle w:val="Heading1"/>
        <w:spacing w:after="200" w:before="300"/>
      </w:pPr>
      <w:r>
        <w:t xml:space="preserve">Abstract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20"/>
        <w:gridCol w:w="9240"/>
      </w:tblGrid>
      <w:tr>
        <w:tc>
          <w:tcPr>
            <w:tcW w:type="dxa" w:w="120"/>
            <w:tcBorders>
              <w:top w:val="none" w:sz="0"/>
              <w:left w:val="single" w:color="2E75B6" w:sz="12"/>
              <w:bottom w:val="none" w:sz="0"/>
              <w:right w:val="none" w:sz="0"/>
            </w:tcBorders>
            <w:shd w:fill="F0F4FA" w:val="clear"/>
          </w:tcPr>
          <w:p>
            <w:r>
              <w:t xml:space="preserve"/>
            </w:r>
          </w:p>
        </w:tc>
        <w:tc>
          <w:tcPr>
            <w:tcW w:type="dxa" w:w="9240"/>
            <w:tcBorders>
              <w:top w:val="none" w:sz="0"/>
              <w:left w:val="none" w:sz="0"/>
              <w:bottom w:val="none" w:sz="0"/>
              <w:right w:val="none" w:sz="0"/>
            </w:tcBorders>
            <w:shd w:fill="F0F4FA" w:val="clear"/>
            <w:tcMar>
              <w:top w:type="dxa" w:w="120"/>
              <w:left w:type="dxa" w:w="200"/>
              <w:bottom w:type="dxa" w:w="120"/>
              <w:right w:type="dxa" w:w="200"/>
            </w:tcMar>
          </w:tcPr>
          <w:p>
            <w:pPr>
              <w:spacing w:after="80"/>
            </w:pPr>
            <w:r>
              <w:rPr>
                <w:b/>
                <w:bCs/>
                <w:color w:val="2E75B6"/>
                <w:sz w:val="22"/>
                <w:szCs w:val="22"/>
              </w:rPr>
              <w:t xml:space="preserve">SYSTEMIC INEFFICIENCY</w:t>
            </w:r>
          </w:p>
          <w:p>
            <w:pPr>
              <w:spacing w:after="0" w:line="276"/>
            </w:pPr>
            <w:r>
              <w:rPr>
                <w:sz w:val="20"/>
                <w:szCs w:val="20"/>
              </w:rPr>
              <w:t xml:space="preserve">The contemporary recruitment pipeline exhibits structural failure. Up to 83% of employers project AI resume screening adoption by 2025, yet success rates for applicants hover between 0.1% and 2%. The root cause lies not in AI model limitations but in fundamental architectural defects within deploying platforms.</w:t>
            </w:r>
          </w:p>
        </w:tc>
      </w:tr>
    </w:tbl>
    <w:p>
      <w:pPr>
        <w:spacing w:after="1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20"/>
        <w:gridCol w:w="9240"/>
      </w:tblGrid>
      <w:tr>
        <w:tc>
          <w:tcPr>
            <w:tcW w:type="dxa" w:w="120"/>
            <w:tcBorders>
              <w:top w:val="none" w:sz="0"/>
              <w:left w:val="single" w:color="C92A2A" w:sz="12"/>
              <w:bottom w:val="none" w:sz="0"/>
              <w:right w:val="none" w:sz="0"/>
            </w:tcBorders>
            <w:shd w:fill="FDF2F2" w:val="clear"/>
          </w:tcPr>
          <w:p>
            <w:r>
              <w:t xml:space="preserve"/>
            </w:r>
          </w:p>
        </w:tc>
        <w:tc>
          <w:tcPr>
            <w:tcW w:type="dxa" w:w="9240"/>
            <w:tcBorders>
              <w:top w:val="none" w:sz="0"/>
              <w:left w:val="none" w:sz="0"/>
              <w:bottom w:val="none" w:sz="0"/>
              <w:right w:val="none" w:sz="0"/>
            </w:tcBorders>
            <w:shd w:fill="FDF2F2" w:val="clear"/>
            <w:tcMar>
              <w:top w:type="dxa" w:w="120"/>
              <w:left w:type="dxa" w:w="200"/>
              <w:bottom w:type="dxa" w:w="120"/>
              <w:right w:type="dxa" w:w="200"/>
            </w:tcMar>
          </w:tcPr>
          <w:p>
            <w:pPr>
              <w:spacing w:after="80"/>
            </w:pPr>
            <w:r>
              <w:rPr>
                <w:b/>
                <w:bCs/>
                <w:color w:val="C92A2A"/>
                <w:sz w:val="22"/>
                <w:szCs w:val="22"/>
              </w:rPr>
              <w:t xml:space="preserve">LIABILITY &amp; RISK</w:t>
            </w:r>
          </w:p>
          <w:p>
            <w:pPr>
              <w:spacing w:after="0" w:line="276"/>
            </w:pPr>
            <w:r>
              <w:rPr>
                <w:sz w:val="20"/>
                <w:szCs w:val="20"/>
              </w:rPr>
              <w:t xml:space="preserve">Fully automated algorithmic disqualification exposes organizations to legal, ethical, and reputational risks—including the perpetuation of algorithmic bias (documented at 85.1% racial preference rates), violation of consumer data protection standards, and non-compliance with the EU AI Act and FTC Section 5 guidelines.</w:t>
            </w:r>
          </w:p>
        </w:tc>
      </w:tr>
    </w:tbl>
    <w:p>
      <w:pPr>
        <w:spacing w:after="1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20"/>
        <w:gridCol w:w="9240"/>
      </w:tblGrid>
      <w:tr>
        <w:tc>
          <w:tcPr>
            <w:tcW w:type="dxa" w:w="120"/>
            <w:tcBorders>
              <w:top w:val="none" w:sz="0"/>
              <w:left w:val="single" w:color="2B8A3E" w:sz="12"/>
              <w:bottom w:val="none" w:sz="0"/>
              <w:right w:val="none" w:sz="0"/>
            </w:tcBorders>
            <w:shd w:fill="EEFAF0" w:val="clear"/>
          </w:tcPr>
          <w:p>
            <w:r>
              <w:t xml:space="preserve"/>
            </w:r>
          </w:p>
        </w:tc>
        <w:tc>
          <w:tcPr>
            <w:tcW w:type="dxa" w:w="9240"/>
            <w:tcBorders>
              <w:top w:val="none" w:sz="0"/>
              <w:left w:val="none" w:sz="0"/>
              <w:bottom w:val="none" w:sz="0"/>
              <w:right w:val="none" w:sz="0"/>
            </w:tcBorders>
            <w:shd w:fill="EEFAF0" w:val="clear"/>
            <w:tcMar>
              <w:top w:type="dxa" w:w="120"/>
              <w:left w:type="dxa" w:w="200"/>
              <w:bottom w:type="dxa" w:w="120"/>
              <w:right w:type="dxa" w:w="200"/>
            </w:tcMar>
          </w:tcPr>
          <w:p>
            <w:pPr>
              <w:spacing w:after="80"/>
            </w:pPr>
            <w:r>
              <w:rPr>
                <w:b/>
                <w:bCs/>
                <w:color w:val="2B8A3E"/>
                <w:sz w:val="22"/>
                <w:szCs w:val="22"/>
              </w:rPr>
              <w:t xml:space="preserve">STRATEGIC REMEDIATION</w:t>
            </w:r>
          </w:p>
          <w:p>
            <w:pPr>
              <w:spacing w:after="0" w:line="276"/>
            </w:pPr>
            <w:r>
              <w:rPr>
                <w:sz w:val="20"/>
                <w:szCs w:val="20"/>
              </w:rPr>
              <w:t xml:space="preserve">Mitigating these risks requires a shift from opaque resume parsing toward Human-in-the-Loop (HITL) architectures and objective skills-based validation. Deterministic, programmatic validation gates—such as weighted workflow benchmarking—reintroduce accountability and evaluate actual capability over keyword proximity.</w:t>
            </w:r>
          </w:p>
        </w:tc>
      </w:tr>
    </w:tbl>
    <w:p>
      <w:pPr>
        <w:spacing w:after="3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none" w:sz="0"/>
              <w:left w:val="none" w:sz="0"/>
              <w:bottom w:val="single" w:color="2E75B6" w:sz="6"/>
              <w:right w:val="none" w:sz="0"/>
            </w:tcBorders>
            <w:shd w:fill="FFFFFF" w:val="clear"/>
            <w:tcMar>
              <w:top w:type="dxa" w:w="160"/>
              <w:left w:type="dxa" w:w="120"/>
              <w:bottom w:type="dxa" w:w="160"/>
              <w:right w:type="dxa" w:w="120"/>
            </w:tcMar>
          </w:tcPr>
          <w:p>
            <w:pPr>
              <w:spacing w:after="60"/>
              <w:jc w:val="center"/>
            </w:pPr>
            <w:r>
              <w:rPr>
                <w:b/>
                <w:bCs/>
                <w:color w:val="2E75B6"/>
                <w:sz w:val="44"/>
                <w:szCs w:val="44"/>
              </w:rPr>
              <w:t xml:space="preserve">83%</w:t>
            </w:r>
          </w:p>
          <w:p>
            <w:pPr>
              <w:spacing w:after="0"/>
              <w:jc w:val="center"/>
            </w:pPr>
            <w:r>
              <w:rPr>
                <w:color w:val="666666"/>
                <w:sz w:val="18"/>
                <w:szCs w:val="18"/>
              </w:rPr>
              <w:t xml:space="preserve">of employers project AI
resume screening by 2025</w:t>
            </w:r>
          </w:p>
        </w:tc>
        <w:tc>
          <w:tcPr>
            <w:tcW w:type="dxa" w:w="3120"/>
            <w:tcBorders>
              <w:top w:val="none" w:sz="0"/>
              <w:left w:val="none" w:sz="0"/>
              <w:bottom w:val="single" w:color="C92A2A" w:sz="6"/>
              <w:right w:val="none" w:sz="0"/>
            </w:tcBorders>
            <w:shd w:fill="FFFFFF" w:val="clear"/>
            <w:tcMar>
              <w:top w:type="dxa" w:w="160"/>
              <w:left w:type="dxa" w:w="120"/>
              <w:bottom w:type="dxa" w:w="160"/>
              <w:right w:type="dxa" w:w="120"/>
            </w:tcMar>
          </w:tcPr>
          <w:p>
            <w:pPr>
              <w:spacing w:after="60"/>
              <w:jc w:val="center"/>
            </w:pPr>
            <w:r>
              <w:rPr>
                <w:b/>
                <w:bCs/>
                <w:color w:val="C92A2A"/>
                <w:sz w:val="44"/>
                <w:szCs w:val="44"/>
              </w:rPr>
              <w:t xml:space="preserve">85.1%</w:t>
            </w:r>
          </w:p>
          <w:p>
            <w:pPr>
              <w:spacing w:after="0"/>
              <w:jc w:val="center"/>
            </w:pPr>
            <w:r>
              <w:rPr>
                <w:color w:val="666666"/>
                <w:sz w:val="18"/>
                <w:szCs w:val="18"/>
              </w:rPr>
              <w:t xml:space="preserve">racial preference rate
in AI screening models</w:t>
            </w:r>
          </w:p>
        </w:tc>
        <w:tc>
          <w:tcPr>
            <w:tcW w:type="dxa" w:w="3120"/>
            <w:tcBorders>
              <w:top w:val="none" w:sz="0"/>
              <w:left w:val="none" w:sz="0"/>
              <w:bottom w:val="single" w:color="1B2A4A" w:sz="6"/>
              <w:right w:val="none" w:sz="0"/>
            </w:tcBorders>
            <w:shd w:fill="FFFFFF" w:val="clear"/>
            <w:tcMar>
              <w:top w:type="dxa" w:w="160"/>
              <w:left w:type="dxa" w:w="120"/>
              <w:bottom w:type="dxa" w:w="160"/>
              <w:right w:type="dxa" w:w="120"/>
            </w:tcMar>
          </w:tcPr>
          <w:p>
            <w:pPr>
              <w:spacing w:after="60"/>
              <w:jc w:val="center"/>
            </w:pPr>
            <w:r>
              <w:rPr>
                <w:b/>
                <w:bCs/>
                <w:color w:val="1B2A4A"/>
                <w:sz w:val="44"/>
                <w:szCs w:val="44"/>
              </w:rPr>
              <w:t xml:space="preserve">0.1–2%</w:t>
            </w:r>
          </w:p>
          <w:p>
            <w:pPr>
              <w:spacing w:after="0"/>
              <w:jc w:val="center"/>
            </w:pPr>
            <w:r>
              <w:rPr>
                <w:color w:val="666666"/>
                <w:sz w:val="18"/>
                <w:szCs w:val="18"/>
              </w:rPr>
              <w:t xml:space="preserve">cold application
success rate</w:t>
            </w:r>
          </w:p>
        </w:tc>
      </w:tr>
    </w:tbl>
    <w:p>
      <w:pPr>
        <w:spacing w:after="300"/>
      </w:pPr>
    </w:p>
    <w:p>
      <w:pPr>
        <w:pStyle w:val="Heading1"/>
        <w:spacing w:after="200" w:before="300"/>
      </w:pPr>
      <w:r>
        <w:t xml:space="preserve">1. The Collapse of the Algorithmic Hiring Pipeline</w:t>
      </w:r>
    </w:p>
    <w:p>
      <w:pPr>
        <w:spacing w:after="200" w:line="276"/>
      </w:pPr>
      <w:r>
        <w:t xml:space="preserve">The global recruitment ecosystem is navigating a period of significant structural instability, driven by the unvalidated integration of artificial intelligence into complex human decision-making processes. A Resume Builder survey of 948 business leaders in October 2024 found that 82% of companies currently use AI to review resumes, with 83% projecting such use by the end of 2025.</w:t>
      </w:r>
      <w:r>
        <w:rPr>
          <w:rStyle w:val="FootnoteReference"/>
        </w:rPr>
        <w:footnoteReference w:id="1"/>
      </w:r>
    </w:p>
    <w:p>
      <w:pPr>
        <w:spacing w:after="200" w:line="276"/>
      </w:pPr>
      <w:r>
        <w:t xml:space="preserve">The widespread availability of automated application tools and generative text models has precipitated an unprecedented influx of algorithmically optimized resumes into the labor market. In response, employers have deployed increasingly restrictive AI filters. According to multiple industry analyses, cold application success rates now range between 0.1% and 2%, with the average employer receiving approximately 180 applicants per hire.</w:t>
      </w:r>
      <w:r>
        <w:rPr>
          <w:rStyle w:val="FootnoteReference"/>
        </w:rPr>
        <w:footnoteReference w:id="3"/>
      </w:r>
      <w:r>
        <w:rPr>
          <w:rStyle w:val="FootnoteReference"/>
        </w:rPr>
        <w:footnoteReference w:id="4"/>
      </w:r>
    </w:p>
    <w:p>
      <w:pPr>
        <w:spacing w:after="200" w:line="276"/>
      </w:pPr>
      <w:r>
        <w:t xml:space="preserve">This has created a self-perpetuating feedback loop: candidates deploy automation to submit hundreds of applications to bypass aggressive algorithmic filters, while employers continuously restrict those filters to manage the deluge. The median time to first offer has increased 22% to 68.5 days, with 14.3% of job seekers needing over 100 applications before receiving a single offer.</w:t>
      </w:r>
      <w:r>
        <w:rPr>
          <w:rStyle w:val="FootnoteReference"/>
        </w:rPr>
        <w:footnoteReference w:id="15"/>
      </w:r>
    </w:p>
    <w:p>
      <w:pPr>
        <w:spacing w:after="200" w:line="276"/>
      </w:pPr>
      <w:r>
        <w:t xml:space="preserve">Additionally, 90% of employers report increased spam applications attributed to AI tools, and 94% have encountered misleading AI-generated content on resumes.</w:t>
      </w:r>
      <w:r>
        <w:rPr>
          <w:rStyle w:val="FootnoteReference"/>
        </w:rPr>
        <w:footnoteReference w:id="16"/>
      </w:r>
      <w:r>
        <w:t xml:space="preserve"> When these systems yield biased or illogical outcomes, HR departments frequently attribute the failure to the AI model itself. However, comprehensive analysis indicates this is a misdiagnosis—the root cause resides in the structural design of the software, not the mathematical models within.</w:t>
      </w:r>
    </w:p>
    <w:p>
      <w:pPr>
        <w:pStyle w:val="Heading1"/>
        <w:spacing w:after="200" w:before="300"/>
      </w:pPr>
      <w:r>
        <w:t xml:space="preserve">2. The Content Moderation Parallel: Externalizing Friction</w:t>
      </w:r>
    </w:p>
    <w:p>
      <w:pPr>
        <w:spacing w:after="200" w:line="276"/>
      </w:pPr>
      <w:r>
        <w:t xml:space="preserve">The current crisis in algorithmic recruitment mirrors historical precedents in digital content moderation, where automated processes were rapidly integrated into complex human decision-making to manage scale at the expense of accuracy. Rather than improving outcomes, such systems frequently transfer the operational burden onto external users—in this case, candidates who must spend countless hours reverse-engineering opaque systems merely to receive a preliminary evaluation.</w:t>
      </w:r>
    </w:p>
    <w:p>
      <w:pPr>
        <w:spacing w:after="200" w:line="276"/>
      </w:pPr>
      <w:r>
        <w:t xml:space="preserve">Social media platforms initially relied on statistical matching and early ML classifiers to govern interactions, under the flawed premise that velocity could substitute for nuanced judgment. When these algorithms inevitably failed, the platforms externalized the socio-economic costs onto users, who were forced to navigate unresponsive appeals processes. Corporate hiring platforms are undergoing a similar reckoning.</w:t>
      </w:r>
    </w:p>
    <w:p>
      <w:pPr>
        <w:spacing w:after="200" w:line="276"/>
      </w:pPr>
      <w:r>
        <w:t xml:space="preserve">Research in human-computer interaction highlights two compounding psychological phenomena. When individuals perceive an AI failure in a high-stakes scenario (such as an unwarranted job rejection), they judge it more harshly than an equivalent human error—a manifestation of </w:t>
      </w:r>
      <w:r>
        <w:rPr>
          <w:i/>
          <w:iCs/>
        </w:rPr>
        <w:t xml:space="preserve">algorithmic aversion.</w:t>
      </w:r>
      <w:r>
        <w:t xml:space="preserve"> Conversely, internal system operators exhibit </w:t>
      </w:r>
      <w:r>
        <w:rPr>
          <w:i/>
          <w:iCs/>
        </w:rPr>
        <w:t xml:space="preserve">automation bias</w:t>
      </w:r>
      <w:r>
        <w:t xml:space="preserve">: overwhelmed by volume, they implicitly trust and rubber-stamp algorithmic outputs, even when demonstrably flawed. In a 2025 University of Washington study, 528 human participants working alongside biased AI systems demonstrated a high propensity to mirror the machine’s biased recommendations.</w:t>
      </w:r>
      <w:r>
        <w:rPr>
          <w:rStyle w:val="FootnoteReference"/>
        </w:rPr>
        <w:footnoteReference w:id="11"/>
      </w:r>
    </w:p>
    <w:p>
      <w:pPr>
        <w:pStyle w:val="Heading1"/>
        <w:spacing w:after="200" w:before="300"/>
      </w:pPr>
      <w:r>
        <w:t xml:space="preserve">3. The “Defective Product” Paradigm and Liability</w:t>
      </w:r>
    </w:p>
    <w:p>
      <w:pPr>
        <w:spacing w:after="200" w:line="276"/>
      </w:pPr>
      <w:r>
        <w:t xml:space="preserve">When an enterprise AI system rejects a qualified candidate due to formatting irregularities or arbitrary probabilistic scoring, the AI is executing its directives precisely as programmed. The failure is located in a system architecture that permits an unvalidated statistical probability to trigger an irreversible administrative action.</w:t>
      </w:r>
    </w:p>
    <w:p>
      <w:pPr>
        <w:pStyle w:val="Heading2"/>
        <w:spacing w:after="200" w:before="300"/>
      </w:pPr>
      <w:r>
        <w:t xml:space="preserve">3.1 FTC Section 5 and U.S. Regulatory Exposure</w:t>
      </w:r>
    </w:p>
    <w:p>
      <w:pPr>
        <w:spacing w:after="200" w:line="276"/>
      </w:pPr>
      <w:r>
        <w:t xml:space="preserve">Under Section 5 of the FTC Act, deploying an AI product that implies a degree of functional accuracy it does not possess may constitute a “deceptive practice.” If a dysfunctional AI system causes systemic, unappealable exclusion from the labor market, it qualifies as an “unfair practice.” In September 2024, the FTC launched Operation AI Comply, announcing enforcement actions against five companies for deceptive AI conduct.</w:t>
      </w:r>
      <w:r>
        <w:rPr>
          <w:rStyle w:val="FootnoteReference"/>
        </w:rPr>
        <w:footnoteReference w:id="5"/>
      </w:r>
      <w:r>
        <w:rPr>
          <w:rStyle w:val="FootnoteReference"/>
        </w:rPr>
        <w:footnoteReference w:id="6"/>
      </w:r>
    </w:p>
    <w:p>
      <w:pPr>
        <w:pStyle w:val="Heading2"/>
        <w:spacing w:after="200" w:before="300"/>
      </w:pPr>
      <w:r>
        <w:t xml:space="preserve">3.2 The EU AI Act: High-Risk Classification</w:t>
      </w:r>
    </w:p>
    <w:p>
      <w:pPr>
        <w:spacing w:after="200" w:line="276"/>
      </w:pPr>
      <w:r>
        <w:t xml:space="preserve">The EU AI Act (Regulation 2024/1689), which entered into force on August 1, 2024, explicitly classifies AI systems used in recruitment and employment decision-making as “high-risk.” This triggers stringent requirements including mandatory risk assessments, bias testing, human oversight mechanisms, technical documentation, and registration in an EU database before deployment. Prohibited practices—including AI-based emotion recognition in workplace contexts—have been banned since February 2, 2025. Full high-risk compliance is required by August 2, 2026, with penalties reaching €35 million or 7% of global turnover.</w:t>
      </w:r>
      <w:r>
        <w:rPr>
          <w:rStyle w:val="FootnoteReference"/>
        </w:rPr>
        <w:footnoteReference w:id="7"/>
      </w:r>
      <w:r>
        <w:rPr>
          <w:rStyle w:val="FootnoteReference"/>
        </w:rPr>
        <w:footnoteReference w:id="8"/>
      </w:r>
    </w:p>
    <w:p>
      <w:pPr>
        <w:spacing w:after="200" w:line="276"/>
      </w:pPr>
      <w:r>
        <w:t xml:space="preserve">Critically, the Act has extraterritorial reach: it applies to any organization whose AI outputs affect employment outcomes within the EU, regardless of where the company is headquartered.</w:t>
      </w:r>
      <w:r>
        <w:rPr>
          <w:rStyle w:val="FootnoteReference"/>
        </w:rPr>
        <w:footnoteReference w:id="19"/>
      </w:r>
    </w:p>
    <w:p>
      <w:pPr>
        <w:pStyle w:val="Heading2"/>
        <w:spacing w:after="200" w:before="300"/>
      </w:pPr>
      <w:r>
        <w:t xml:space="preserve">3.3 Landmark Litigation: Mobley v. Workday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20"/>
        <w:gridCol w:w="9240"/>
      </w:tblGrid>
      <w:tr>
        <w:tc>
          <w:tcPr>
            <w:tcW w:type="dxa" w:w="120"/>
            <w:tcBorders>
              <w:top w:val="none" w:sz="0"/>
              <w:left w:val="single" w:color="D97706" w:sz="12"/>
              <w:bottom w:val="none" w:sz="0"/>
              <w:right w:val="none" w:sz="0"/>
            </w:tcBorders>
            <w:shd w:fill="FDF8E8" w:val="clear"/>
          </w:tcPr>
          <w:p>
            <w:r>
              <w:t xml:space="preserve"/>
            </w:r>
          </w:p>
        </w:tc>
        <w:tc>
          <w:tcPr>
            <w:tcW w:type="dxa" w:w="9240"/>
            <w:tcBorders>
              <w:top w:val="none" w:sz="0"/>
              <w:left w:val="none" w:sz="0"/>
              <w:bottom w:val="none" w:sz="0"/>
              <w:right w:val="none" w:sz="0"/>
            </w:tcBorders>
            <w:shd w:fill="FDF8E8" w:val="clear"/>
            <w:tcMar>
              <w:top w:type="dxa" w:w="120"/>
              <w:left w:type="dxa" w:w="200"/>
              <w:bottom w:type="dxa" w:w="120"/>
              <w:right w:type="dxa" w:w="200"/>
            </w:tcMar>
          </w:tcPr>
          <w:p>
            <w:pPr>
              <w:spacing w:after="80"/>
            </w:pPr>
            <w:r>
              <w:rPr>
                <w:b/>
                <w:bCs/>
                <w:color w:val="D97706"/>
                <w:sz w:val="22"/>
                <w:szCs w:val="22"/>
              </w:rPr>
              <w:t xml:space="preserve">CASE SPOTLIGHT: Mobley v. Workday, Inc. (N.D. Cal., No. 3:23-cv-00770-RFL)</w:t>
            </w:r>
          </w:p>
          <w:p>
            <w:pPr>
              <w:spacing w:after="0" w:line="276"/>
            </w:pPr>
            <w:r>
              <w:rPr>
                <w:sz w:val="20"/>
                <w:szCs w:val="20"/>
              </w:rPr>
              <w:t xml:space="preserve">Derek Mobley, an African American man over 40 with disabilities, applied to 100+ jobs through Workday’s AI-powered screening system and was rejected every time—often within minutes, sometimes at 1:50 a.m. In July 2024, Judge Rita Lin ruled Workday could be held liable as an “agent” of employers under Title VII. The EEOC filed an amicus brief supporting this novel theory. In May 2025, the court conditionally certified the case as a nationwide collective action under the ADEA, potentially covering millions of applicants age 40+. Workday disclosed that 1.1 billion applications were processed through its system during the relevant period.</w:t>
            </w:r>
          </w:p>
        </w:tc>
      </w:tr>
    </w:tbl>
    <w:p>
      <w:pPr>
        <w:spacing w:after="200"/>
      </w:pPr>
    </w:p>
    <w:p>
      <w:pPr>
        <w:spacing w:after="200" w:line="276"/>
      </w:pPr>
      <w:r>
        <w:t xml:space="preserve">This case represents one of the first major judicial tests of AI vendor liability in employment discrimination, with significant implications for the industry.</w:t>
      </w:r>
      <w:r>
        <w:rPr>
          <w:rStyle w:val="FootnoteReference"/>
        </w:rPr>
        <w:footnoteReference w:id="9"/>
      </w:r>
      <w:r>
        <w:rPr>
          <w:rStyle w:val="FootnoteReference"/>
        </w:rPr>
        <w:footnoteReference w:id="10"/>
      </w:r>
    </w:p>
    <w:p>
      <w:r>
        <w:br w:type="page"/>
      </w:r>
    </w:p>
    <w:p>
      <w:pPr>
        <w:pStyle w:val="Heading1"/>
        <w:spacing w:after="200" w:before="300"/>
      </w:pPr>
      <w:r>
        <w:t xml:space="preserve">4. The Anatomy of Failure: Algorithmic Bias and Drift</w:t>
      </w:r>
    </w:p>
    <w:p>
      <w:pPr>
        <w:spacing w:after="200" w:line="276"/>
      </w:pPr>
      <w:r>
        <w:t xml:space="preserve">An AI resume screening system does not comprehend professional experience or potential—it identifies statistical patterns in training data. If these datasets reflect historical inequities, the model replicates and amplifies them.</w:t>
      </w:r>
    </w:p>
    <w:p>
      <w:pPr>
        <w:spacing w:after="200" w:line="276"/>
      </w:pPr>
      <w:r>
        <w:rPr>
          <w:b/>
          <w:bCs/>
        </w:rPr>
        <w:t xml:space="preserve">Landmark Study: </w:t>
      </w:r>
      <w:r>
        <w:t xml:space="preserve">A 2024 empirical study by Wilson and Caliskan at the University of Washington Information School audited leading open-source large language models used for resume screening. By systematically altering demographically associated names on over 550 identical resumes across more than 3 million comparisons, the researchers observed:</w:t>
      </w:r>
      <w:r>
        <w:rPr>
          <w:rStyle w:val="FootnoteReference"/>
        </w:rPr>
        <w:footnoteReference w:id="2"/>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1B2A4A" w:val="clear"/>
            <w:tcMar>
              <w:top w:type="dxa" w:w="80"/>
              <w:left w:type="dxa" w:w="120"/>
              <w:bottom w:type="dxa" w:w="80"/>
              <w:right w:type="dxa" w:w="120"/>
            </w:tcMar>
          </w:tcPr>
          <w:p>
            <w:pPr>
              <w:jc w:val="center"/>
            </w:pPr>
            <w:r>
              <w:rPr>
                <w:b/>
                <w:bCs/>
                <w:color w:val="FFFFFF"/>
                <w:sz w:val="20"/>
                <w:szCs w:val="20"/>
              </w:rPr>
              <w:t xml:space="preserve">Demographic Category</w:t>
            </w:r>
          </w:p>
        </w:tc>
        <w:tc>
          <w:tcPr>
            <w:tcW w:type="dxa" w:w="4680"/>
            <w:tcBorders>
              <w:top w:val="single" w:color="CCCCCC" w:sz="1"/>
              <w:left w:val="single" w:color="CCCCCC" w:sz="1"/>
              <w:bottom w:val="single" w:color="CCCCCC" w:sz="1"/>
              <w:right w:val="single" w:color="CCCCCC" w:sz="1"/>
            </w:tcBorders>
            <w:shd w:fill="1B2A4A" w:val="clear"/>
            <w:tcMar>
              <w:top w:type="dxa" w:w="80"/>
              <w:left w:type="dxa" w:w="120"/>
              <w:bottom w:type="dxa" w:w="80"/>
              <w:right w:type="dxa" w:w="120"/>
            </w:tcMar>
          </w:tcPr>
          <w:p>
            <w:pPr>
              <w:jc w:val="center"/>
            </w:pPr>
            <w:r>
              <w:rPr>
                <w:b/>
                <w:bCs/>
                <w:color w:val="FFFFFF"/>
                <w:sz w:val="20"/>
                <w:szCs w:val="20"/>
              </w:rPr>
              <w:t xml:space="preserve">Preference Rate</w:t>
            </w:r>
          </w:p>
        </w:tc>
      </w:tr>
      <w:tr>
        <w:tc>
          <w:tcPr>
            <w:tcW w:type="dxa" w:w="4680"/>
            <w:tcBorders>
              <w:top w:val="single" w:color="CCCCCC" w:sz="1"/>
              <w:left w:val="single" w:color="CCCCCC" w:sz="1"/>
              <w:bottom w:val="single" w:color="CCCCCC" w:sz="1"/>
              <w:right w:val="single" w:color="CCCCCC" w:sz="1"/>
            </w:tcBorders>
            <w:shd w:fill="FDF2F2" w:val="clear"/>
            <w:tcMar>
              <w:top w:type="dxa" w:w="80"/>
              <w:left w:type="dxa" w:w="120"/>
              <w:bottom w:type="dxa" w:w="80"/>
              <w:right w:type="dxa" w:w="120"/>
            </w:tcMar>
          </w:tcPr>
          <w:p>
            <w:r>
              <w:rPr>
                <w:sz w:val="20"/>
                <w:szCs w:val="20"/>
              </w:rPr>
              <w:t xml:space="preserve">White-associated names</w:t>
            </w:r>
          </w:p>
        </w:tc>
        <w:tc>
          <w:tcPr>
            <w:tcW w:type="dxa" w:w="4680"/>
            <w:tcBorders>
              <w:top w:val="single" w:color="CCCCCC" w:sz="1"/>
              <w:left w:val="single" w:color="CCCCCC" w:sz="1"/>
              <w:bottom w:val="single" w:color="CCCCCC" w:sz="1"/>
              <w:right w:val="single" w:color="CCCCCC" w:sz="1"/>
            </w:tcBorders>
            <w:shd w:fill="FDF2F2" w:val="clear"/>
            <w:tcMar>
              <w:top w:type="dxa" w:w="80"/>
              <w:left w:type="dxa" w:w="120"/>
              <w:bottom w:type="dxa" w:w="80"/>
              <w:right w:type="dxa" w:w="120"/>
            </w:tcMar>
          </w:tcPr>
          <w:p>
            <w:r>
              <w:rPr>
                <w:b/>
                <w:bCs/>
                <w:sz w:val="20"/>
                <w:szCs w:val="20"/>
              </w:rPr>
              <w:t xml:space="preserve">85.1% preference rate</w:t>
            </w:r>
          </w:p>
        </w:tc>
      </w:tr>
      <w:tr>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sz w:val="20"/>
                <w:szCs w:val="20"/>
              </w:rPr>
              <w:t xml:space="preserve">Female-associated names</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bCs/>
                <w:sz w:val="20"/>
                <w:szCs w:val="20"/>
              </w:rPr>
              <w:t xml:space="preserve">11.1% preference rate</w:t>
            </w:r>
          </w:p>
        </w:tc>
      </w:tr>
      <w:tr>
        <w:tc>
          <w:tcPr>
            <w:tcW w:type="dxa" w:w="4680"/>
            <w:tcBorders>
              <w:top w:val="single" w:color="CCCCCC" w:sz="1"/>
              <w:left w:val="single" w:color="CCCCCC" w:sz="1"/>
              <w:bottom w:val="single" w:color="CCCCCC" w:sz="1"/>
              <w:right w:val="single" w:color="CCCCCC" w:sz="1"/>
            </w:tcBorders>
            <w:shd w:fill="FDF2F2" w:val="clear"/>
            <w:tcMar>
              <w:top w:type="dxa" w:w="80"/>
              <w:left w:type="dxa" w:w="120"/>
              <w:bottom w:type="dxa" w:w="80"/>
              <w:right w:type="dxa" w:w="120"/>
            </w:tcMar>
          </w:tcPr>
          <w:p>
            <w:r>
              <w:rPr>
                <w:sz w:val="20"/>
                <w:szCs w:val="20"/>
              </w:rPr>
              <w:t xml:space="preserve">Black male-associated names</w:t>
            </w:r>
          </w:p>
        </w:tc>
        <w:tc>
          <w:tcPr>
            <w:tcW w:type="dxa" w:w="4680"/>
            <w:tcBorders>
              <w:top w:val="single" w:color="CCCCCC" w:sz="1"/>
              <w:left w:val="single" w:color="CCCCCC" w:sz="1"/>
              <w:bottom w:val="single" w:color="CCCCCC" w:sz="1"/>
              <w:right w:val="single" w:color="CCCCCC" w:sz="1"/>
            </w:tcBorders>
            <w:shd w:fill="FDF2F2" w:val="clear"/>
            <w:tcMar>
              <w:top w:type="dxa" w:w="80"/>
              <w:left w:type="dxa" w:w="120"/>
              <w:bottom w:type="dxa" w:w="80"/>
              <w:right w:type="dxa" w:w="120"/>
            </w:tcMar>
          </w:tcPr>
          <w:p>
            <w:r>
              <w:rPr>
                <w:b/>
                <w:bCs/>
                <w:sz w:val="20"/>
                <w:szCs w:val="20"/>
              </w:rPr>
              <w:t xml:space="preserve">Disadvantaged in up to 100% of direct comparisons</w:t>
            </w:r>
          </w:p>
        </w:tc>
      </w:tr>
    </w:tbl>
    <w:p>
      <w:pPr>
        <w:spacing w:after="200"/>
      </w:pPr>
    </w:p>
    <w:p>
      <w:pPr>
        <w:spacing w:after="200" w:line="276"/>
      </w:pPr>
      <w:r>
        <w:t xml:space="preserve">Crucially, redacting explicit demographic identifiers does not resolve this flaw. AI models detect correlated proxy variables for race, gender, or socioeconomic status—such as educational institutions, geographic zip codes, or subtle linguistic patterns.</w:t>
      </w:r>
      <w:r>
        <w:rPr>
          <w:rStyle w:val="FootnoteReference"/>
        </w:rPr>
        <w:footnoteReference w:id="13"/>
      </w:r>
      <w:r>
        <w:t xml:space="preserve"> Furthermore, human oversight at the terminus of a flawed pipeline does not reliably mitigate bias: human participants working alongside biased AI demonstrated a high propensity to mirror its biased recommendations.</w:t>
      </w:r>
      <w:r>
        <w:rPr>
          <w:rStyle w:val="FootnoteReference"/>
        </w:rPr>
        <w:footnoteReference w:id="11"/>
      </w:r>
    </w:p>
    <w:p>
      <w:pPr>
        <w:pStyle w:val="Heading1"/>
        <w:spacing w:after="200" w:before="300"/>
      </w:pPr>
      <w:r>
        <w:t xml:space="preserve">5. Architectural Remediation: The Five-Tier Oversight Hierarchy</w:t>
      </w:r>
    </w:p>
    <w:p>
      <w:pPr>
        <w:spacing w:after="200" w:line="276"/>
      </w:pPr>
      <w:r>
        <w:t xml:space="preserve">To resolve these systemic inefficiencies and mitigate compounding liabilities, recruitment pipelines require fundamental structural redesigns. The objective should not be total replacement of human judgment but the augmentation of human capability through “shared intelligence” frameworks. A robust, legally defensible system incorporates Validation Gates—discrete checkpoints that identify statistical anomalies early in the processing sequence.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560"/>
        <w:gridCol w:w="7800"/>
      </w:tblGrid>
      <w:tr>
        <w:tc>
          <w:tcPr>
            <w:tcW w:type="dxa" w:w="1560"/>
            <w:tcBorders>
              <w:top w:val="single" w:color="CCCCCC" w:sz="1"/>
              <w:left w:val="single" w:color="CCCCCC" w:sz="1"/>
              <w:bottom w:val="single" w:color="CCCCCC" w:sz="1"/>
              <w:right w:val="single" w:color="CCCCCC" w:sz="1"/>
            </w:tcBorders>
            <w:shd w:fill="F0F4FA" w:val="clear"/>
            <w:tcMar>
              <w:top w:type="dxa" w:w="100"/>
              <w:left w:type="dxa" w:w="120"/>
              <w:bottom w:type="dxa" w:w="100"/>
              <w:right w:type="dxa" w:w="120"/>
            </w:tcMar>
            <w:vAlign w:val="center"/>
          </w:tcPr>
          <w:p>
            <w:pPr>
              <w:jc w:val="center"/>
            </w:pPr>
            <w:r>
              <w:rPr>
                <w:b/>
                <w:bCs/>
                <w:color w:val="2E75B6"/>
                <w:sz w:val="20"/>
                <w:szCs w:val="20"/>
              </w:rPr>
              <w:t xml:space="preserve">Tier 1</w:t>
            </w:r>
          </w:p>
        </w:tc>
        <w:tc>
          <w:tcPr>
            <w:tcW w:type="dxa" w:w="7800"/>
            <w:tcBorders>
              <w:top w:val="single" w:color="CCCCCC" w:sz="1"/>
              <w:left w:val="single" w:color="CCCCCC" w:sz="1"/>
              <w:bottom w:val="single" w:color="CCCCCC" w:sz="1"/>
              <w:right w:val="single" w:color="CCCCCC" w:sz="1"/>
            </w:tcBorders>
            <w:shd w:fill="F0F4FA" w:val="clear"/>
            <w:tcMar>
              <w:top w:type="dxa" w:w="100"/>
              <w:left w:type="dxa" w:w="120"/>
              <w:bottom w:type="dxa" w:w="100"/>
              <w:right w:type="dxa" w:w="120"/>
            </w:tcMar>
          </w:tcPr>
          <w:p>
            <w:pPr>
              <w:spacing w:after="60"/>
            </w:pPr>
            <w:r>
              <w:rPr>
                <w:b/>
                <w:bCs/>
                <w:sz w:val="20"/>
                <w:szCs w:val="20"/>
              </w:rPr>
              <w:t xml:space="preserve">Deterministic Guardrails</w:t>
            </w:r>
          </w:p>
          <w:p>
            <w:pPr>
              <w:spacing w:after="0" w:line="264"/>
            </w:pPr>
            <w:r>
              <w:rPr>
                <w:sz w:val="19"/>
                <w:szCs w:val="19"/>
              </w:rPr>
              <w:t xml:space="preserve">Replace probabilistic AI and flawed checkbox systems with strict, structured inputs. Mandate forced ranking of qualifications from strongest to weakest—curtailing “skill-spamming” and producing algorithmically reliable intake data before any AI parsing occurs.</w:t>
            </w:r>
          </w:p>
        </w:tc>
      </w:tr>
      <w:tr>
        <w:tc>
          <w:tcPr>
            <w:tcW w:type="dxa" w:w="1560"/>
            <w:tcBorders>
              <w:top w:val="single" w:color="CCCCCC" w:sz="1"/>
              <w:left w:val="single" w:color="CCCCCC" w:sz="1"/>
              <w:bottom w:val="single" w:color="CCCCCC" w:sz="1"/>
              <w:right w:val="single" w:color="CCCCCC" w:sz="1"/>
            </w:tcBorders>
            <w:shd w:fill="FFFFFF" w:val="clear"/>
            <w:tcMar>
              <w:top w:type="dxa" w:w="100"/>
              <w:left w:type="dxa" w:w="120"/>
              <w:bottom w:type="dxa" w:w="100"/>
              <w:right w:type="dxa" w:w="120"/>
            </w:tcMar>
            <w:vAlign w:val="center"/>
          </w:tcPr>
          <w:p>
            <w:pPr>
              <w:jc w:val="center"/>
            </w:pPr>
            <w:r>
              <w:rPr>
                <w:b/>
                <w:bCs/>
                <w:color w:val="2E75B6"/>
                <w:sz w:val="20"/>
                <w:szCs w:val="20"/>
              </w:rPr>
              <w:t xml:space="preserve">Tier 2</w:t>
            </w:r>
          </w:p>
        </w:tc>
        <w:tc>
          <w:tcPr>
            <w:tcW w:type="dxa" w:w="7800"/>
            <w:tcBorders>
              <w:top w:val="single" w:color="CCCCCC" w:sz="1"/>
              <w:left w:val="single" w:color="CCCCCC" w:sz="1"/>
              <w:bottom w:val="single" w:color="CCCCCC" w:sz="1"/>
              <w:right w:val="single" w:color="CCCCCC" w:sz="1"/>
            </w:tcBorders>
            <w:shd w:fill="FFFFFF" w:val="clear"/>
            <w:tcMar>
              <w:top w:type="dxa" w:w="100"/>
              <w:left w:type="dxa" w:w="120"/>
              <w:bottom w:type="dxa" w:w="100"/>
              <w:right w:type="dxa" w:w="120"/>
            </w:tcMar>
          </w:tcPr>
          <w:p>
            <w:pPr>
              <w:spacing w:after="60"/>
            </w:pPr>
            <w:r>
              <w:rPr>
                <w:b/>
                <w:bCs/>
                <w:sz w:val="20"/>
                <w:szCs w:val="20"/>
              </w:rPr>
              <w:t xml:space="preserve">AI-Assisted Triage</w:t>
            </w:r>
          </w:p>
          <w:p>
            <w:pPr>
              <w:spacing w:after="0" w:line="264"/>
            </w:pPr>
            <w:r>
              <w:rPr>
                <w:sz w:val="19"/>
                <w:szCs w:val="19"/>
              </w:rPr>
              <w:t xml:space="preserve">AI functions strictly as an assessment mechanism aligned with a transparent rubric. It may summarize or highlight experience, but is architecturally restricted from executing autonomous rejections.</w:t>
            </w:r>
          </w:p>
        </w:tc>
      </w:tr>
      <w:tr>
        <w:tc>
          <w:tcPr>
            <w:tcW w:type="dxa" w:w="1560"/>
            <w:tcBorders>
              <w:top w:val="single" w:color="CCCCCC" w:sz="1"/>
              <w:left w:val="single" w:color="CCCCCC" w:sz="1"/>
              <w:bottom w:val="single" w:color="CCCCCC" w:sz="1"/>
              <w:right w:val="single" w:color="CCCCCC" w:sz="1"/>
            </w:tcBorders>
            <w:shd w:fill="F0F4FA" w:val="clear"/>
            <w:tcMar>
              <w:top w:type="dxa" w:w="100"/>
              <w:left w:type="dxa" w:w="120"/>
              <w:bottom w:type="dxa" w:w="100"/>
              <w:right w:type="dxa" w:w="120"/>
            </w:tcMar>
            <w:vAlign w:val="center"/>
          </w:tcPr>
          <w:p>
            <w:pPr>
              <w:jc w:val="center"/>
            </w:pPr>
            <w:r>
              <w:rPr>
                <w:b/>
                <w:bCs/>
                <w:color w:val="2E75B6"/>
                <w:sz w:val="20"/>
                <w:szCs w:val="20"/>
              </w:rPr>
              <w:t xml:space="preserve">Tier 3</w:t>
            </w:r>
          </w:p>
        </w:tc>
        <w:tc>
          <w:tcPr>
            <w:tcW w:type="dxa" w:w="7800"/>
            <w:tcBorders>
              <w:top w:val="single" w:color="CCCCCC" w:sz="1"/>
              <w:left w:val="single" w:color="CCCCCC" w:sz="1"/>
              <w:bottom w:val="single" w:color="CCCCCC" w:sz="1"/>
              <w:right w:val="single" w:color="CCCCCC" w:sz="1"/>
            </w:tcBorders>
            <w:shd w:fill="F0F4FA" w:val="clear"/>
            <w:tcMar>
              <w:top w:type="dxa" w:w="100"/>
              <w:left w:type="dxa" w:w="120"/>
              <w:bottom w:type="dxa" w:w="100"/>
              <w:right w:type="dxa" w:w="120"/>
            </w:tcMar>
          </w:tcPr>
          <w:p>
            <w:pPr>
              <w:spacing w:after="60"/>
            </w:pPr>
            <w:r>
              <w:rPr>
                <w:b/>
                <w:bCs/>
                <w:sz w:val="20"/>
                <w:szCs w:val="20"/>
              </w:rPr>
              <w:t xml:space="preserve">Human-on-the-Loop Monitoring</w:t>
            </w:r>
          </w:p>
          <w:p>
            <w:pPr>
              <w:spacing w:after="0" w:line="264"/>
            </w:pPr>
            <w:r>
              <w:rPr>
                <w:sz w:val="19"/>
                <w:szCs w:val="19"/>
              </w:rPr>
              <w:t xml:space="preserve">Dedicated human auditors continuously sample applications receiving low or anomalous algorithmic scores to identify model drift and systematic errors.</w:t>
            </w:r>
          </w:p>
        </w:tc>
      </w:tr>
      <w:tr>
        <w:tc>
          <w:tcPr>
            <w:tcW w:type="dxa" w:w="1560"/>
            <w:tcBorders>
              <w:top w:val="single" w:color="CCCCCC" w:sz="1"/>
              <w:left w:val="single" w:color="CCCCCC" w:sz="1"/>
              <w:bottom w:val="single" w:color="CCCCCC" w:sz="1"/>
              <w:right w:val="single" w:color="CCCCCC" w:sz="1"/>
            </w:tcBorders>
            <w:shd w:fill="FFFFFF" w:val="clear"/>
            <w:tcMar>
              <w:top w:type="dxa" w:w="100"/>
              <w:left w:type="dxa" w:w="120"/>
              <w:bottom w:type="dxa" w:w="100"/>
              <w:right w:type="dxa" w:w="120"/>
            </w:tcMar>
            <w:vAlign w:val="center"/>
          </w:tcPr>
          <w:p>
            <w:pPr>
              <w:jc w:val="center"/>
            </w:pPr>
            <w:r>
              <w:rPr>
                <w:b/>
                <w:bCs/>
                <w:color w:val="2E75B6"/>
                <w:sz w:val="20"/>
                <w:szCs w:val="20"/>
              </w:rPr>
              <w:t xml:space="preserve">Tier 4</w:t>
            </w:r>
          </w:p>
        </w:tc>
        <w:tc>
          <w:tcPr>
            <w:tcW w:type="dxa" w:w="7800"/>
            <w:tcBorders>
              <w:top w:val="single" w:color="CCCCCC" w:sz="1"/>
              <w:left w:val="single" w:color="CCCCCC" w:sz="1"/>
              <w:bottom w:val="single" w:color="CCCCCC" w:sz="1"/>
              <w:right w:val="single" w:color="CCCCCC" w:sz="1"/>
            </w:tcBorders>
            <w:shd w:fill="FFFFFF" w:val="clear"/>
            <w:tcMar>
              <w:top w:type="dxa" w:w="100"/>
              <w:left w:type="dxa" w:w="120"/>
              <w:bottom w:type="dxa" w:w="100"/>
              <w:right w:type="dxa" w:w="120"/>
            </w:tcMar>
          </w:tcPr>
          <w:p>
            <w:pPr>
              <w:spacing w:after="60"/>
            </w:pPr>
            <w:r>
              <w:rPr>
                <w:b/>
                <w:bCs/>
                <w:sz w:val="20"/>
                <w:szCs w:val="20"/>
              </w:rPr>
              <w:t xml:space="preserve">Programmatic Skills Validation</w:t>
            </w:r>
          </w:p>
          <w:p>
            <w:pPr>
              <w:spacing w:after="0" w:line="264"/>
            </w:pPr>
            <w:r>
              <w:rPr>
                <w:sz w:val="19"/>
                <w:szCs w:val="19"/>
              </w:rPr>
              <w:t xml:space="preserve">Candidates advance to a secure, deterministic evaluation environment. This practical artifact bypasses the inherent flaws of textual resumes, serving as an empirical capability indicator.</w:t>
            </w:r>
          </w:p>
        </w:tc>
      </w:tr>
      <w:tr>
        <w:tc>
          <w:tcPr>
            <w:tcW w:type="dxa" w:w="1560"/>
            <w:tcBorders>
              <w:top w:val="single" w:color="CCCCCC" w:sz="1"/>
              <w:left w:val="single" w:color="CCCCCC" w:sz="1"/>
              <w:bottom w:val="single" w:color="CCCCCC" w:sz="1"/>
              <w:right w:val="single" w:color="CCCCCC" w:sz="1"/>
            </w:tcBorders>
            <w:shd w:fill="F0F4FA" w:val="clear"/>
            <w:tcMar>
              <w:top w:type="dxa" w:w="100"/>
              <w:left w:type="dxa" w:w="120"/>
              <w:bottom w:type="dxa" w:w="100"/>
              <w:right w:type="dxa" w:w="120"/>
            </w:tcMar>
            <w:vAlign w:val="center"/>
          </w:tcPr>
          <w:p>
            <w:pPr>
              <w:jc w:val="center"/>
            </w:pPr>
            <w:r>
              <w:rPr>
                <w:b/>
                <w:bCs/>
                <w:color w:val="2E75B6"/>
                <w:sz w:val="20"/>
                <w:szCs w:val="20"/>
              </w:rPr>
              <w:t xml:space="preserve">Tier 5</w:t>
            </w:r>
          </w:p>
        </w:tc>
        <w:tc>
          <w:tcPr>
            <w:tcW w:type="dxa" w:w="7800"/>
            <w:tcBorders>
              <w:top w:val="single" w:color="CCCCCC" w:sz="1"/>
              <w:left w:val="single" w:color="CCCCCC" w:sz="1"/>
              <w:bottom w:val="single" w:color="CCCCCC" w:sz="1"/>
              <w:right w:val="single" w:color="CCCCCC" w:sz="1"/>
            </w:tcBorders>
            <w:shd w:fill="F0F4FA" w:val="clear"/>
            <w:tcMar>
              <w:top w:type="dxa" w:w="100"/>
              <w:left w:type="dxa" w:w="120"/>
              <w:bottom w:type="dxa" w:w="100"/>
              <w:right w:type="dxa" w:w="120"/>
            </w:tcMar>
          </w:tcPr>
          <w:p>
            <w:pPr>
              <w:spacing w:after="60"/>
            </w:pPr>
            <w:r>
              <w:rPr>
                <w:b/>
                <w:bCs/>
                <w:sz w:val="20"/>
                <w:szCs w:val="20"/>
              </w:rPr>
              <w:t xml:space="preserve">Human-in-the-Loop Verification</w:t>
            </w:r>
          </w:p>
          <w:p>
            <w:pPr>
              <w:spacing w:after="0" w:line="264"/>
            </w:pPr>
            <w:r>
              <w:rPr>
                <w:sz w:val="19"/>
                <w:szCs w:val="19"/>
              </w:rPr>
              <w:t xml:space="preserve">A designated Subject Matter Expert evaluates the final technical artifact. The human expert assumes total accountability for assessing error severity, contextual logic, and progression decisions.</w:t>
            </w:r>
          </w:p>
        </w:tc>
      </w:tr>
    </w:tbl>
    <w:p>
      <w:pPr>
        <w:spacing w:after="300"/>
      </w:pPr>
    </w:p>
    <w:p>
      <w:pPr>
        <w:pStyle w:val="Heading1"/>
        <w:spacing w:after="200" w:before="300"/>
      </w:pPr>
      <w:r>
        <w:t xml:space="preserve">6. Operationalizing the Validation Gate: Workflow Benchmarking</w:t>
      </w:r>
    </w:p>
    <w:p>
      <w:pPr>
        <w:spacing w:after="200" w:line="276"/>
      </w:pPr>
      <w:r>
        <w:t xml:space="preserve">To implement Tier 4, organizations must engineer deterministic, hard-coded assessments that programmatically score a candidate’s actual workflow rather than relying on subjective review or stochastic AI interpretations.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20"/>
        <w:gridCol w:w="9240"/>
      </w:tblGrid>
      <w:tr>
        <w:tc>
          <w:tcPr>
            <w:tcW w:type="dxa" w:w="120"/>
            <w:tcBorders>
              <w:top w:val="none" w:sz="0"/>
              <w:left w:val="single" w:color="2B8A3E" w:sz="12"/>
              <w:bottom w:val="none" w:sz="0"/>
              <w:right w:val="none" w:sz="0"/>
            </w:tcBorders>
            <w:shd w:fill="EEFAF0" w:val="clear"/>
          </w:tcPr>
          <w:p>
            <w:r>
              <w:t xml:space="preserve"/>
            </w:r>
          </w:p>
        </w:tc>
        <w:tc>
          <w:tcPr>
            <w:tcW w:type="dxa" w:w="9240"/>
            <w:tcBorders>
              <w:top w:val="none" w:sz="0"/>
              <w:left w:val="none" w:sz="0"/>
              <w:bottom w:val="none" w:sz="0"/>
              <w:right w:val="none" w:sz="0"/>
            </w:tcBorders>
            <w:shd w:fill="EEFAF0" w:val="clear"/>
            <w:tcMar>
              <w:top w:type="dxa" w:w="120"/>
              <w:left w:type="dxa" w:w="200"/>
              <w:bottom w:type="dxa" w:w="120"/>
              <w:right w:type="dxa" w:w="200"/>
            </w:tcMar>
          </w:tcPr>
          <w:p>
            <w:pPr>
              <w:spacing w:after="80"/>
            </w:pPr>
            <w:r>
              <w:rPr>
                <w:b/>
                <w:bCs/>
                <w:color w:val="2B8A3E"/>
                <w:sz w:val="22"/>
                <w:szCs w:val="22"/>
              </w:rPr>
              <w:t xml:space="preserve">CORE PRINCIPLE</w:t>
            </w:r>
          </w:p>
          <w:p>
            <w:pPr>
              <w:spacing w:after="0" w:line="276"/>
            </w:pPr>
            <w:r>
              <w:rPr>
                <w:sz w:val="20"/>
                <w:szCs w:val="20"/>
              </w:rPr>
              <w:t xml:space="preserve">It does not matter how the code is generated; what matters is the empirical quality of the result. By permitting AI augmentation (mirroring modern production workflows), the enterprise evaluates candidates as engineering operators—not syntax libraries.</w:t>
            </w:r>
          </w:p>
        </w:tc>
      </w:tr>
    </w:tbl>
    <w:p>
      <w:pPr>
        <w:spacing w:after="200"/>
      </w:pPr>
    </w:p>
    <w:p>
      <w:pPr>
        <w:pStyle w:val="Heading2"/>
        <w:spacing w:after="200" w:before="300"/>
      </w:pPr>
      <w:r>
        <w:t xml:space="preserve">6.1 The Multi-Dimensional Scoring Algorithm</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2340"/>
        <w:gridCol w:w="4680"/>
      </w:tblGrid>
      <w:tr>
        <w:tc>
          <w:tcPr>
            <w:tcW w:type="dxa" w:w="2340"/>
            <w:tcBorders>
              <w:top w:val="single" w:color="CCCCCC" w:sz="1"/>
              <w:left w:val="single" w:color="CCCCCC" w:sz="1"/>
              <w:bottom w:val="single" w:color="CCCCCC" w:sz="1"/>
              <w:right w:val="single" w:color="CCCCCC" w:sz="1"/>
            </w:tcBorders>
            <w:shd w:fill="1B2A4A" w:val="clear"/>
            <w:tcMar>
              <w:top w:type="dxa" w:w="80"/>
              <w:left w:type="dxa" w:w="120"/>
              <w:bottom w:type="dxa" w:w="80"/>
              <w:right w:type="dxa" w:w="120"/>
            </w:tcMar>
          </w:tcPr>
          <w:p>
            <w:pPr>
              <w:jc w:val="center"/>
            </w:pPr>
            <w:r>
              <w:rPr>
                <w:b/>
                <w:bCs/>
                <w:color w:val="FFFFFF"/>
                <w:sz w:val="19"/>
                <w:szCs w:val="19"/>
              </w:rPr>
              <w:t xml:space="preserve">Dimension</w:t>
            </w:r>
          </w:p>
        </w:tc>
        <w:tc>
          <w:tcPr>
            <w:tcW w:type="dxa" w:w="2340"/>
            <w:tcBorders>
              <w:top w:val="single" w:color="CCCCCC" w:sz="1"/>
              <w:left w:val="single" w:color="CCCCCC" w:sz="1"/>
              <w:bottom w:val="single" w:color="CCCCCC" w:sz="1"/>
              <w:right w:val="single" w:color="CCCCCC" w:sz="1"/>
            </w:tcBorders>
            <w:shd w:fill="1B2A4A" w:val="clear"/>
            <w:tcMar>
              <w:top w:type="dxa" w:w="80"/>
              <w:left w:type="dxa" w:w="120"/>
              <w:bottom w:type="dxa" w:w="80"/>
              <w:right w:type="dxa" w:w="120"/>
            </w:tcMar>
          </w:tcPr>
          <w:p>
            <w:pPr>
              <w:jc w:val="center"/>
            </w:pPr>
            <w:r>
              <w:rPr>
                <w:b/>
                <w:bCs/>
                <w:color w:val="FFFFFF"/>
                <w:sz w:val="19"/>
                <w:szCs w:val="19"/>
              </w:rPr>
              <w:t xml:space="preserve">Weight</w:t>
            </w:r>
          </w:p>
        </w:tc>
        <w:tc>
          <w:tcPr>
            <w:tcW w:type="dxa" w:w="4680"/>
            <w:tcBorders>
              <w:top w:val="single" w:color="CCCCCC" w:sz="1"/>
              <w:left w:val="single" w:color="CCCCCC" w:sz="1"/>
              <w:bottom w:val="single" w:color="CCCCCC" w:sz="1"/>
              <w:right w:val="single" w:color="CCCCCC" w:sz="1"/>
            </w:tcBorders>
            <w:shd w:fill="1B2A4A" w:val="clear"/>
            <w:tcMar>
              <w:top w:type="dxa" w:w="80"/>
              <w:left w:type="dxa" w:w="120"/>
              <w:bottom w:type="dxa" w:w="80"/>
              <w:right w:type="dxa" w:w="120"/>
            </w:tcMar>
          </w:tcPr>
          <w:p>
            <w:pPr>
              <w:jc w:val="center"/>
            </w:pPr>
            <w:r>
              <w:rPr>
                <w:b/>
                <w:bCs/>
                <w:color w:val="FFFFFF"/>
                <w:sz w:val="19"/>
                <w:szCs w:val="19"/>
              </w:rPr>
              <w:t xml:space="preserve">Evaluation Method</w:t>
            </w:r>
          </w:p>
        </w:tc>
      </w:tr>
      <w:tr>
        <w:tc>
          <w:tcPr>
            <w:tcW w:type="dxa" w:w="2340"/>
            <w:tcBorders>
              <w:top w:val="single" w:color="CCCCCC" w:sz="1"/>
              <w:left w:val="single" w:color="CCCCCC" w:sz="1"/>
              <w:bottom w:val="single" w:color="CCCCCC" w:sz="1"/>
              <w:right w:val="single" w:color="CCCCCC" w:sz="1"/>
            </w:tcBorders>
            <w:shd w:fill="F0F4FA" w:val="clear"/>
            <w:tcMar>
              <w:top w:type="dxa" w:w="80"/>
              <w:left w:type="dxa" w:w="120"/>
              <w:bottom w:type="dxa" w:w="80"/>
              <w:right w:type="dxa" w:w="120"/>
            </w:tcMar>
          </w:tcPr>
          <w:p>
            <w:r>
              <w:rPr>
                <w:b/>
                <w:bCs/>
                <w:sz w:val="19"/>
                <w:szCs w:val="19"/>
              </w:rPr>
              <w:t xml:space="preserve">Accuracy &amp; Edge Cases (W₃)</w:t>
            </w:r>
          </w:p>
        </w:tc>
        <w:tc>
          <w:tcPr>
            <w:tcW w:type="dxa" w:w="2340"/>
            <w:tcBorders>
              <w:top w:val="single" w:color="CCCCCC" w:sz="1"/>
              <w:left w:val="single" w:color="CCCCCC" w:sz="1"/>
              <w:bottom w:val="single" w:color="CCCCCC" w:sz="1"/>
              <w:right w:val="single" w:color="CCCCCC" w:sz="1"/>
            </w:tcBorders>
            <w:shd w:fill="F0F4FA" w:val="clear"/>
            <w:tcMar>
              <w:top w:type="dxa" w:w="80"/>
              <w:left w:type="dxa" w:w="120"/>
              <w:bottom w:type="dxa" w:w="80"/>
              <w:right w:type="dxa" w:w="120"/>
            </w:tcMar>
          </w:tcPr>
          <w:p>
            <w:pPr>
              <w:jc w:val="center"/>
            </w:pPr>
            <w:r>
              <w:rPr>
                <w:sz w:val="19"/>
                <w:szCs w:val="19"/>
              </w:rPr>
              <w:t xml:space="preserve">0.60</w:t>
            </w:r>
          </w:p>
        </w:tc>
        <w:tc>
          <w:tcPr>
            <w:tcW w:type="dxa" w:w="4680"/>
            <w:tcBorders>
              <w:top w:val="single" w:color="CCCCCC" w:sz="1"/>
              <w:left w:val="single" w:color="CCCCCC" w:sz="1"/>
              <w:bottom w:val="single" w:color="CCCCCC" w:sz="1"/>
              <w:right w:val="single" w:color="CCCCCC" w:sz="1"/>
            </w:tcBorders>
            <w:shd w:fill="F0F4FA" w:val="clear"/>
            <w:tcMar>
              <w:top w:type="dxa" w:w="80"/>
              <w:left w:type="dxa" w:w="120"/>
              <w:bottom w:type="dxa" w:w="80"/>
              <w:right w:type="dxa" w:w="120"/>
            </w:tcMar>
          </w:tcPr>
          <w:p>
            <w:pPr>
              <w:spacing w:line="264"/>
            </w:pPr>
            <w:r>
              <w:rPr>
                <w:sz w:val="19"/>
                <w:szCs w:val="19"/>
              </w:rPr>
              <w:t xml:space="preserve">Unit test pass rate against an obscured test suite</w:t>
            </w:r>
          </w:p>
        </w:tc>
      </w:tr>
      <w:tr>
        <w:tc>
          <w:tcPr>
            <w:tcW w:type="dxa" w:w="23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bCs/>
                <w:sz w:val="19"/>
                <w:szCs w:val="19"/>
              </w:rPr>
              <w:t xml:space="preserve">Execution Latency (W₂)</w:t>
            </w:r>
          </w:p>
        </w:tc>
        <w:tc>
          <w:tcPr>
            <w:tcW w:type="dxa" w:w="23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sz w:val="19"/>
                <w:szCs w:val="19"/>
              </w:rPr>
              <w:t xml:space="preserve">0.30</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line="264"/>
            </w:pPr>
            <w:r>
              <w:rPr>
                <w:sz w:val="19"/>
                <w:szCs w:val="19"/>
              </w:rPr>
              <w:t xml:space="preserve">Benchmarked against high-volume data payloads</w:t>
            </w:r>
          </w:p>
        </w:tc>
      </w:tr>
      <w:tr>
        <w:tc>
          <w:tcPr>
            <w:tcW w:type="dxa" w:w="2340"/>
            <w:tcBorders>
              <w:top w:val="single" w:color="CCCCCC" w:sz="1"/>
              <w:left w:val="single" w:color="CCCCCC" w:sz="1"/>
              <w:bottom w:val="single" w:color="CCCCCC" w:sz="1"/>
              <w:right w:val="single" w:color="CCCCCC" w:sz="1"/>
            </w:tcBorders>
            <w:shd w:fill="F0F4FA" w:val="clear"/>
            <w:tcMar>
              <w:top w:type="dxa" w:w="80"/>
              <w:left w:type="dxa" w:w="120"/>
              <w:bottom w:type="dxa" w:w="80"/>
              <w:right w:type="dxa" w:w="120"/>
            </w:tcMar>
          </w:tcPr>
          <w:p>
            <w:r>
              <w:rPr>
                <w:b/>
                <w:bCs/>
                <w:sz w:val="19"/>
                <w:szCs w:val="19"/>
              </w:rPr>
              <w:t xml:space="preserve">Time-to-Completion (W₄)</w:t>
            </w:r>
          </w:p>
        </w:tc>
        <w:tc>
          <w:tcPr>
            <w:tcW w:type="dxa" w:w="2340"/>
            <w:tcBorders>
              <w:top w:val="single" w:color="CCCCCC" w:sz="1"/>
              <w:left w:val="single" w:color="CCCCCC" w:sz="1"/>
              <w:bottom w:val="single" w:color="CCCCCC" w:sz="1"/>
              <w:right w:val="single" w:color="CCCCCC" w:sz="1"/>
            </w:tcBorders>
            <w:shd w:fill="F0F4FA" w:val="clear"/>
            <w:tcMar>
              <w:top w:type="dxa" w:w="80"/>
              <w:left w:type="dxa" w:w="120"/>
              <w:bottom w:type="dxa" w:w="80"/>
              <w:right w:type="dxa" w:w="120"/>
            </w:tcMar>
          </w:tcPr>
          <w:p>
            <w:pPr>
              <w:jc w:val="center"/>
            </w:pPr>
            <w:r>
              <w:rPr>
                <w:sz w:val="19"/>
                <w:szCs w:val="19"/>
              </w:rPr>
              <w:t xml:space="preserve">0.10</w:t>
            </w:r>
          </w:p>
        </w:tc>
        <w:tc>
          <w:tcPr>
            <w:tcW w:type="dxa" w:w="4680"/>
            <w:tcBorders>
              <w:top w:val="single" w:color="CCCCCC" w:sz="1"/>
              <w:left w:val="single" w:color="CCCCCC" w:sz="1"/>
              <w:bottom w:val="single" w:color="CCCCCC" w:sz="1"/>
              <w:right w:val="single" w:color="CCCCCC" w:sz="1"/>
            </w:tcBorders>
            <w:shd w:fill="F0F4FA" w:val="clear"/>
            <w:tcMar>
              <w:top w:type="dxa" w:w="80"/>
              <w:left w:type="dxa" w:w="120"/>
              <w:bottom w:type="dxa" w:w="80"/>
              <w:right w:type="dxa" w:w="120"/>
            </w:tcMar>
          </w:tcPr>
          <w:p>
            <w:pPr>
              <w:spacing w:line="264"/>
            </w:pPr>
            <w:r>
              <w:rPr>
                <w:sz w:val="19"/>
                <w:szCs w:val="19"/>
              </w:rPr>
              <w:t xml:space="preserve">Workflow velocity; rapid completion with high accuracy indicates AI-collaboration fluency</w:t>
            </w:r>
          </w:p>
        </w:tc>
      </w:tr>
    </w:tbl>
    <w:p>
      <w:pPr>
        <w:spacing w:after="240"/>
      </w:pPr>
    </w:p>
    <w:p>
      <w:pPr>
        <w:pStyle w:val="Heading2"/>
        <w:spacing w:after="200" w:before="300"/>
      </w:pPr>
      <w:r>
        <w:t xml:space="preserve">6.2 Scoring Engine Implementation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F5F5F5" w:val="clear"/>
            <w:tcMar>
              <w:top w:type="dxa" w:w="120"/>
              <w:left w:type="dxa" w:w="200"/>
              <w:bottom w:type="dxa" w:w="120"/>
              <w:right w:type="dxa" w:w="200"/>
            </w:tcMar>
          </w:tcPr>
          <w:p>
            <w:pPr>
              <w:spacing w:after="40" w:line="240"/>
            </w:pPr>
            <w:r>
              <w:rPr>
                <w:rFonts w:ascii="Courier New" w:cs="Courier New" w:eastAsia="Courier New" w:hAnsi="Courier New"/>
                <w:sz w:val="16"/>
                <w:szCs w:val="16"/>
              </w:rPr>
              <w:t xml:space="preserve">import math</w:t>
            </w:r>
          </w:p>
          <w:p>
            <w:pPr>
              <w:spacing w:after="40" w:line="240"/>
            </w:pPr>
            <w:r>
              <w:rPr>
                <w:rFonts w:ascii="Courier New" w:cs="Courier New" w:eastAsia="Courier New" w:hAnsi="Courier New"/>
                <w:sz w:val="16"/>
                <w:szCs w:val="16"/>
              </w:rPr>
              <w:t xml:space="preserve">from typing import Dict, Any</w:t>
            </w:r>
          </w:p>
          <w:p>
            <w:pPr>
              <w:spacing w:after="40" w:line="240"/>
            </w:pPr>
            <w:r>
              <w:rPr>
                <w:rFonts w:ascii="Courier New" w:cs="Courier New" w:eastAsia="Courier New" w:hAnsi="Courier New"/>
                <w:sz w:val="16"/>
                <w:szCs w:val="16"/>
              </w:rPr>
              <w:t xml:space="preserve"/>
            </w:r>
          </w:p>
          <w:p>
            <w:pPr>
              <w:spacing w:after="40" w:line="240"/>
            </w:pPr>
            <w:r>
              <w:rPr>
                <w:rFonts w:ascii="Courier New" w:cs="Courier New" w:eastAsia="Courier New" w:hAnsi="Courier New"/>
                <w:sz w:val="16"/>
                <w:szCs w:val="16"/>
              </w:rPr>
              <w:t xml:space="preserve">class CandidateWorkflowEvaluator:</w:t>
            </w:r>
          </w:p>
          <w:p>
            <w:pPr>
              <w:spacing w:after="40" w:line="240"/>
            </w:pPr>
            <w:r>
              <w:rPr>
                <w:rFonts w:ascii="Courier New" w:cs="Courier New" w:eastAsia="Courier New" w:hAnsi="Courier New"/>
                <w:sz w:val="16"/>
                <w:szCs w:val="16"/>
              </w:rPr>
              <w:t xml:space="preserve">    """Deterministic scoring engine for engineering artifacts.</w:t>
            </w:r>
          </w:p>
          <w:p>
            <w:pPr>
              <w:spacing w:after="40" w:line="240"/>
            </w:pPr>
            <w:r>
              <w:rPr>
                <w:rFonts w:ascii="Courier New" w:cs="Courier New" w:eastAsia="Courier New" w:hAnsi="Courier New"/>
                <w:sz w:val="16"/>
                <w:szCs w:val="16"/>
              </w:rPr>
              <w:t xml:space="preserve">    Weights are configurable per organizational requirements."""</w:t>
            </w:r>
          </w:p>
          <w:p>
            <w:pPr>
              <w:spacing w:after="40" w:line="240"/>
            </w:pPr>
            <w:r>
              <w:rPr>
                <w:rFonts w:ascii="Courier New" w:cs="Courier New" w:eastAsia="Courier New" w:hAnsi="Courier New"/>
                <w:sz w:val="16"/>
                <w:szCs w:val="16"/>
              </w:rPr>
              <w:t xml:space="preserve"/>
            </w:r>
          </w:p>
          <w:p>
            <w:pPr>
              <w:spacing w:after="40" w:line="240"/>
            </w:pPr>
            <w:r>
              <w:rPr>
                <w:rFonts w:ascii="Courier New" w:cs="Courier New" w:eastAsia="Courier New" w:hAnsi="Courier New"/>
                <w:sz w:val="16"/>
                <w:szCs w:val="16"/>
              </w:rPr>
              <w:t xml:space="preserve">    def __init__(self, role_weights: Dict[str, float],</w:t>
            </w:r>
          </w:p>
          <w:p>
            <w:pPr>
              <w:spacing w:after="40" w:line="240"/>
            </w:pPr>
            <w:r>
              <w:rPr>
                <w:rFonts w:ascii="Courier New" w:cs="Courier New" w:eastAsia="Courier New" w:hAnsi="Courier New"/>
                <w:sz w:val="16"/>
                <w:szCs w:val="16"/>
              </w:rPr>
              <w:t xml:space="preserve">                 benchmarks: Dict[str, Any]):</w:t>
            </w:r>
          </w:p>
          <w:p>
            <w:pPr>
              <w:spacing w:after="40" w:line="240"/>
            </w:pPr>
            <w:r>
              <w:rPr>
                <w:rFonts w:ascii="Courier New" w:cs="Courier New" w:eastAsia="Courier New" w:hAnsi="Courier New"/>
                <w:sz w:val="16"/>
                <w:szCs w:val="16"/>
              </w:rPr>
              <w:t xml:space="preserve">        self.weights = role_weights</w:t>
            </w:r>
          </w:p>
          <w:p>
            <w:pPr>
              <w:spacing w:after="40" w:line="240"/>
            </w:pPr>
            <w:r>
              <w:rPr>
                <w:rFonts w:ascii="Courier New" w:cs="Courier New" w:eastAsia="Courier New" w:hAnsi="Courier New"/>
                <w:sz w:val="16"/>
                <w:szCs w:val="16"/>
              </w:rPr>
              <w:t xml:space="preserve">        self.benchmarks = benchmarks</w:t>
            </w:r>
          </w:p>
          <w:p>
            <w:pPr>
              <w:spacing w:after="40" w:line="240"/>
            </w:pPr>
            <w:r>
              <w:rPr>
                <w:rFonts w:ascii="Courier New" w:cs="Courier New" w:eastAsia="Courier New" w:hAnsi="Courier New"/>
                <w:sz w:val="16"/>
                <w:szCs w:val="16"/>
              </w:rPr>
              <w:t xml:space="preserve"/>
            </w:r>
          </w:p>
          <w:p>
            <w:pPr>
              <w:spacing w:after="40" w:line="240"/>
            </w:pPr>
            <w:r>
              <w:rPr>
                <w:rFonts w:ascii="Courier New" w:cs="Courier New" w:eastAsia="Courier New" w:hAnsi="Courier New"/>
                <w:sz w:val="16"/>
                <w:szCs w:val="16"/>
              </w:rPr>
              <w:t xml:space="preserve">    def calculate_composite_score(</w:t>
            </w:r>
          </w:p>
          <w:p>
            <w:pPr>
              <w:spacing w:after="40" w:line="240"/>
            </w:pPr>
            <w:r>
              <w:rPr>
                <w:rFonts w:ascii="Courier New" w:cs="Courier New" w:eastAsia="Courier New" w:hAnsi="Courier New"/>
                <w:sz w:val="16"/>
                <w:szCs w:val="16"/>
              </w:rPr>
              <w:t xml:space="preserve">        self, execution_data: Dict[str, Any]</w:t>
            </w:r>
          </w:p>
          <w:p>
            <w:pPr>
              <w:spacing w:after="40" w:line="240"/>
            </w:pPr>
            <w:r>
              <w:rPr>
                <w:rFonts w:ascii="Courier New" w:cs="Courier New" w:eastAsia="Courier New" w:hAnsi="Courier New"/>
                <w:sz w:val="16"/>
                <w:szCs w:val="16"/>
              </w:rPr>
              <w:t xml:space="preserve">    ) -&gt; float:</w:t>
            </w:r>
          </w:p>
          <w:p>
            <w:pPr>
              <w:spacing w:after="40" w:line="240"/>
            </w:pPr>
            <w:r>
              <w:rPr>
                <w:rFonts w:ascii="Courier New" w:cs="Courier New" w:eastAsia="Courier New" w:hAnsi="Courier New"/>
                <w:sz w:val="16"/>
                <w:szCs w:val="16"/>
              </w:rPr>
              <w:t xml:space="preserve">        try:</w:t>
            </w:r>
          </w:p>
          <w:p>
            <w:pPr>
              <w:spacing w:after="40" w:line="240"/>
            </w:pPr>
            <w:r>
              <w:rPr>
                <w:rFonts w:ascii="Courier New" w:cs="Courier New" w:eastAsia="Courier New" w:hAnsi="Courier New"/>
                <w:sz w:val="16"/>
                <w:szCs w:val="16"/>
              </w:rPr>
              <w:t xml:space="preserve">            # 1. Accuracy Score (edge-case mastery)</w:t>
            </w:r>
          </w:p>
          <w:p>
            <w:pPr>
              <w:spacing w:after="40" w:line="240"/>
            </w:pPr>
            <w:r>
              <w:rPr>
                <w:rFonts w:ascii="Courier New" w:cs="Courier New" w:eastAsia="Courier New" w:hAnsi="Courier New"/>
                <w:sz w:val="16"/>
                <w:szCs w:val="16"/>
              </w:rPr>
              <w:t xml:space="preserve">            accuracy = (</w:t>
            </w:r>
          </w:p>
          <w:p>
            <w:pPr>
              <w:spacing w:after="40" w:line="240"/>
            </w:pPr>
            <w:r>
              <w:rPr>
                <w:rFonts w:ascii="Courier New" w:cs="Courier New" w:eastAsia="Courier New" w:hAnsi="Courier New"/>
                <w:sz w:val="16"/>
                <w:szCs w:val="16"/>
              </w:rPr>
              <w:t xml:space="preserve">                execution_data['passed_tests']</w:t>
            </w:r>
          </w:p>
          <w:p>
            <w:pPr>
              <w:spacing w:after="40" w:line="240"/>
            </w:pPr>
            <w:r>
              <w:rPr>
                <w:rFonts w:ascii="Courier New" w:cs="Courier New" w:eastAsia="Courier New" w:hAnsi="Courier New"/>
                <w:sz w:val="16"/>
                <w:szCs w:val="16"/>
              </w:rPr>
              <w:t xml:space="preserve">                / execution_data['total_tests']</w:t>
            </w:r>
          </w:p>
          <w:p>
            <w:pPr>
              <w:spacing w:after="40" w:line="240"/>
            </w:pPr>
            <w:r>
              <w:rPr>
                <w:rFonts w:ascii="Courier New" w:cs="Courier New" w:eastAsia="Courier New" w:hAnsi="Courier New"/>
                <w:sz w:val="16"/>
                <w:szCs w:val="16"/>
              </w:rPr>
              <w:t xml:space="preserve">            ) * 100</w:t>
            </w:r>
          </w:p>
          <w:p>
            <w:pPr>
              <w:spacing w:after="40" w:line="240"/>
            </w:pPr>
            <w:r>
              <w:rPr>
                <w:rFonts w:ascii="Courier New" w:cs="Courier New" w:eastAsia="Courier New" w:hAnsi="Courier New"/>
                <w:sz w:val="16"/>
                <w:szCs w:val="16"/>
              </w:rPr>
              <w:t xml:space="preserve"/>
            </w:r>
          </w:p>
          <w:p>
            <w:pPr>
              <w:spacing w:after="40" w:line="240"/>
            </w:pPr>
            <w:r>
              <w:rPr>
                <w:rFonts w:ascii="Courier New" w:cs="Courier New" w:eastAsia="Courier New" w:hAnsi="Courier New"/>
                <w:sz w:val="16"/>
                <w:szCs w:val="16"/>
              </w:rPr>
              <w:t xml:space="preserve">            # 2. Latency Score (exponential decay penalty)</w:t>
            </w:r>
          </w:p>
          <w:p>
            <w:pPr>
              <w:spacing w:after="40" w:line="240"/>
            </w:pPr>
            <w:r>
              <w:rPr>
                <w:rFonts w:ascii="Courier New" w:cs="Courier New" w:eastAsia="Courier New" w:hAnsi="Courier New"/>
                <w:sz w:val="16"/>
                <w:szCs w:val="16"/>
              </w:rPr>
              <w:t xml:space="preserve">            max_lat = self.benchmarks['max_acceptable_latency_ms']</w:t>
            </w:r>
          </w:p>
          <w:p>
            <w:pPr>
              <w:spacing w:after="40" w:line="240"/>
            </w:pPr>
            <w:r>
              <w:rPr>
                <w:rFonts w:ascii="Courier New" w:cs="Courier New" w:eastAsia="Courier New" w:hAnsi="Courier New"/>
                <w:sz w:val="16"/>
                <w:szCs w:val="16"/>
              </w:rPr>
              <w:t xml:space="preserve">            act_lat = execution_data['average_latency_ms']</w:t>
            </w:r>
          </w:p>
          <w:p>
            <w:pPr>
              <w:spacing w:after="40" w:line="240"/>
            </w:pPr>
            <w:r>
              <w:rPr>
                <w:rFonts w:ascii="Courier New" w:cs="Courier New" w:eastAsia="Courier New" w:hAnsi="Courier New"/>
                <w:sz w:val="16"/>
                <w:szCs w:val="16"/>
              </w:rPr>
              <w:t xml:space="preserve">            latency = max(0, 100 * math.exp(</w:t>
            </w:r>
          </w:p>
          <w:p>
            <w:pPr>
              <w:spacing w:after="40" w:line="240"/>
            </w:pPr>
            <w:r>
              <w:rPr>
                <w:rFonts w:ascii="Courier New" w:cs="Courier New" w:eastAsia="Courier New" w:hAnsi="Courier New"/>
                <w:sz w:val="16"/>
                <w:szCs w:val="16"/>
              </w:rPr>
              <w:t xml:space="preserve">                -0.5 * (act_lat / max_lat)))</w:t>
            </w:r>
          </w:p>
          <w:p>
            <w:pPr>
              <w:spacing w:after="40" w:line="240"/>
            </w:pPr>
            <w:r>
              <w:rPr>
                <w:rFonts w:ascii="Courier New" w:cs="Courier New" w:eastAsia="Courier New" w:hAnsi="Courier New"/>
                <w:sz w:val="16"/>
                <w:szCs w:val="16"/>
              </w:rPr>
              <w:t xml:space="preserve"/>
            </w:r>
          </w:p>
          <w:p>
            <w:pPr>
              <w:spacing w:after="40" w:line="240"/>
            </w:pPr>
            <w:r>
              <w:rPr>
                <w:rFonts w:ascii="Courier New" w:cs="Courier New" w:eastAsia="Courier New" w:hAnsi="Courier New"/>
                <w:sz w:val="16"/>
                <w:szCs w:val="16"/>
              </w:rPr>
              <w:t xml:space="preserve">            # 3. Time-to-Completion Score</w:t>
            </w:r>
          </w:p>
          <w:p>
            <w:pPr>
              <w:spacing w:after="40" w:line="240"/>
            </w:pPr>
            <w:r>
              <w:rPr>
                <w:rFonts w:ascii="Courier New" w:cs="Courier New" w:eastAsia="Courier New" w:hAnsi="Courier New"/>
                <w:sz w:val="16"/>
                <w:szCs w:val="16"/>
              </w:rPr>
              <w:t xml:space="preserve">            exp_time = self.benchmarks['expected_completion_mins']</w:t>
            </w:r>
          </w:p>
          <w:p>
            <w:pPr>
              <w:spacing w:after="40" w:line="240"/>
            </w:pPr>
            <w:r>
              <w:rPr>
                <w:rFonts w:ascii="Courier New" w:cs="Courier New" w:eastAsia="Courier New" w:hAnsi="Courier New"/>
                <w:sz w:val="16"/>
                <w:szCs w:val="16"/>
              </w:rPr>
              <w:t xml:space="preserve">            act_time = execution_data['completion_time_mins']</w:t>
            </w:r>
          </w:p>
          <w:p>
            <w:pPr>
              <w:spacing w:after="40" w:line="240"/>
            </w:pPr>
            <w:r>
              <w:rPr>
                <w:rFonts w:ascii="Courier New" w:cs="Courier New" w:eastAsia="Courier New" w:hAnsi="Courier New"/>
                <w:sz w:val="16"/>
                <w:szCs w:val="16"/>
              </w:rPr>
              <w:t xml:space="preserve">            velocity = min(100, 100 * (exp_time / max(1, act_time)))</w:t>
            </w:r>
          </w:p>
          <w:p>
            <w:pPr>
              <w:spacing w:after="40" w:line="240"/>
            </w:pPr>
            <w:r>
              <w:rPr>
                <w:rFonts w:ascii="Courier New" w:cs="Courier New" w:eastAsia="Courier New" w:hAnsi="Courier New"/>
                <w:sz w:val="16"/>
                <w:szCs w:val="16"/>
              </w:rPr>
              <w:t xml:space="preserve"/>
            </w:r>
          </w:p>
          <w:p>
            <w:pPr>
              <w:spacing w:after="40" w:line="240"/>
            </w:pPr>
            <w:r>
              <w:rPr>
                <w:rFonts w:ascii="Courier New" w:cs="Courier New" w:eastAsia="Courier New" w:hAnsi="Courier New"/>
                <w:sz w:val="16"/>
                <w:szCs w:val="16"/>
              </w:rPr>
              <w:t xml:space="preserve">            # Weighted composite index</w:t>
            </w:r>
          </w:p>
          <w:p>
            <w:pPr>
              <w:spacing w:after="40" w:line="240"/>
            </w:pPr>
            <w:r>
              <w:rPr>
                <w:rFonts w:ascii="Courier New" w:cs="Courier New" w:eastAsia="Courier New" w:hAnsi="Courier New"/>
                <w:sz w:val="16"/>
                <w:szCs w:val="16"/>
              </w:rPr>
              <w:t xml:space="preserve">            return round(</w:t>
            </w:r>
          </w:p>
          <w:p>
            <w:pPr>
              <w:spacing w:after="40" w:line="240"/>
            </w:pPr>
            <w:r>
              <w:rPr>
                <w:rFonts w:ascii="Courier New" w:cs="Courier New" w:eastAsia="Courier New" w:hAnsi="Courier New"/>
                <w:sz w:val="16"/>
                <w:szCs w:val="16"/>
              </w:rPr>
              <w:t xml:space="preserve">                (accuracy * self.weights.get('accuracy', 0.6))</w:t>
            </w:r>
          </w:p>
          <w:p>
            <w:pPr>
              <w:spacing w:after="40" w:line="240"/>
            </w:pPr>
            <w:r>
              <w:rPr>
                <w:rFonts w:ascii="Courier New" w:cs="Courier New" w:eastAsia="Courier New" w:hAnsi="Courier New"/>
                <w:sz w:val="16"/>
                <w:szCs w:val="16"/>
              </w:rPr>
              <w:t xml:space="preserve">                + (latency * self.weights.get('latency', 0.3))</w:t>
            </w:r>
          </w:p>
          <w:p>
            <w:pPr>
              <w:spacing w:after="40" w:line="240"/>
            </w:pPr>
            <w:r>
              <w:rPr>
                <w:rFonts w:ascii="Courier New" w:cs="Courier New" w:eastAsia="Courier New" w:hAnsi="Courier New"/>
                <w:sz w:val="16"/>
                <w:szCs w:val="16"/>
              </w:rPr>
              <w:t xml:space="preserve">                + (velocity * self.weights.get('velocity', 0.1)),</w:t>
            </w:r>
          </w:p>
          <w:p>
            <w:pPr>
              <w:spacing w:after="40" w:line="240"/>
            </w:pPr>
            <w:r>
              <w:rPr>
                <w:rFonts w:ascii="Courier New" w:cs="Courier New" w:eastAsia="Courier New" w:hAnsi="Courier New"/>
                <w:sz w:val="16"/>
                <w:szCs w:val="16"/>
              </w:rPr>
              <w:t xml:space="preserve">                2</w:t>
            </w:r>
          </w:p>
          <w:p>
            <w:pPr>
              <w:spacing w:after="40" w:line="240"/>
            </w:pPr>
            <w:r>
              <w:rPr>
                <w:rFonts w:ascii="Courier New" w:cs="Courier New" w:eastAsia="Courier New" w:hAnsi="Courier New"/>
                <w:sz w:val="16"/>
                <w:szCs w:val="16"/>
              </w:rPr>
              <w:t xml:space="preserve">            )</w:t>
            </w:r>
          </w:p>
          <w:p>
            <w:pPr>
              <w:spacing w:after="40" w:line="240"/>
            </w:pPr>
            <w:r>
              <w:rPr>
                <w:rFonts w:ascii="Courier New" w:cs="Courier New" w:eastAsia="Courier New" w:hAnsi="Courier New"/>
                <w:sz w:val="16"/>
                <w:szCs w:val="16"/>
              </w:rPr>
              <w:t xml:space="preserve">        except ZeroDivisionError as e:</w:t>
            </w:r>
          </w:p>
          <w:p>
            <w:pPr>
              <w:spacing w:after="40" w:line="240"/>
            </w:pPr>
            <w:r>
              <w:rPr>
                <w:rFonts w:ascii="Courier New" w:cs="Courier New" w:eastAsia="Courier New" w:hAnsi="Courier New"/>
                <w:sz w:val="16"/>
                <w:szCs w:val="16"/>
              </w:rPr>
              <w:t xml:space="preserve">            raise ValueError(</w:t>
            </w:r>
          </w:p>
          <w:p>
            <w:pPr>
              <w:spacing w:after="40" w:line="240"/>
            </w:pPr>
            <w:r>
              <w:rPr>
                <w:rFonts w:ascii="Courier New" w:cs="Courier New" w:eastAsia="Courier New" w:hAnsi="Courier New"/>
                <w:sz w:val="16"/>
                <w:szCs w:val="16"/>
              </w:rPr>
              <w:t xml:space="preserve">                f'Invalid benchmark data: {str(e)}'</w:t>
            </w:r>
          </w:p>
          <w:p>
            <w:pPr>
              <w:spacing w:after="40" w:line="240"/>
            </w:pPr>
            <w:r>
              <w:rPr>
                <w:rFonts w:ascii="Courier New" w:cs="Courier New" w:eastAsia="Courier New" w:hAnsi="Courier New"/>
                <w:sz w:val="16"/>
                <w:szCs w:val="16"/>
              </w:rPr>
              <w:t xml:space="preserve">            )</w:t>
            </w:r>
          </w:p>
        </w:tc>
      </w:tr>
    </w:tbl>
    <w:p>
      <w:pPr>
        <w:spacing w:after="300"/>
      </w:pPr>
    </w:p>
    <w:p>
      <w:pPr>
        <w:pStyle w:val="Heading1"/>
        <w:spacing w:after="200" w:before="300"/>
      </w:pPr>
      <w:r>
        <w:t xml:space="preserve">7. Empirical Demonstration: Deterministic Filtration</w:t>
      </w:r>
    </w:p>
    <w:p>
      <w:pPr>
        <w:spacing w:after="200" w:line="276"/>
      </w:pPr>
      <w:r>
        <w:t xml:space="preserve">Consider a standard data-engineering assessment: Identify the top K most frequent transaction IDs from a continuous data stream of 10 million records. Maximum acceptable latency: 1000ms.</w:t>
      </w:r>
    </w:p>
    <w:p>
      <w:pPr>
        <w:pStyle w:val="Heading3"/>
        <w:spacing w:after="200" w:before="300"/>
      </w:pPr>
      <w:r>
        <w:t xml:space="preserve">Scenario A: The Improper Submission (Filtered Out)</w:t>
      </w:r>
    </w:p>
    <w:p>
      <w:pPr>
        <w:spacing w:after="200" w:line="276"/>
      </w:pPr>
      <w:r>
        <w:t xml:space="preserve">Candidate A uses an AI generator without applying secondary validation and submits a functionally correct but architecturally flawed script using full array sort O(n log 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F5F5F5" w:val="clear"/>
            <w:tcMar>
              <w:top w:type="dxa" w:w="120"/>
              <w:left w:type="dxa" w:w="200"/>
              <w:bottom w:type="dxa" w:w="120"/>
              <w:right w:type="dxa" w:w="200"/>
            </w:tcMar>
          </w:tcPr>
          <w:p>
            <w:pPr>
              <w:spacing w:after="40" w:line="240"/>
            </w:pPr>
            <w:r>
              <w:rPr>
                <w:rFonts w:ascii="Courier New" w:cs="Courier New" w:eastAsia="Courier New" w:hAnsi="Courier New"/>
                <w:sz w:val="16"/>
                <w:szCs w:val="16"/>
              </w:rPr>
              <w:t xml:space="preserve"># FLAWED: Relies on unoptimized full sorting</w:t>
            </w:r>
          </w:p>
          <w:p>
            <w:pPr>
              <w:spacing w:after="40" w:line="240"/>
            </w:pPr>
            <w:r>
              <w:rPr>
                <w:rFonts w:ascii="Courier New" w:cs="Courier New" w:eastAsia="Courier New" w:hAnsi="Courier New"/>
                <w:sz w:val="16"/>
                <w:szCs w:val="16"/>
              </w:rPr>
              <w:t xml:space="preserve">def top_k_transactions(stream, k):</w:t>
            </w:r>
          </w:p>
          <w:p>
            <w:pPr>
              <w:spacing w:after="40" w:line="240"/>
            </w:pPr>
            <w:r>
              <w:rPr>
                <w:rFonts w:ascii="Courier New" w:cs="Courier New" w:eastAsia="Courier New" w:hAnsi="Courier New"/>
                <w:sz w:val="16"/>
                <w:szCs w:val="16"/>
              </w:rPr>
              <w:t xml:space="preserve">    frequencies = {}</w:t>
            </w:r>
          </w:p>
          <w:p>
            <w:pPr>
              <w:spacing w:after="40" w:line="240"/>
            </w:pPr>
            <w:r>
              <w:rPr>
                <w:rFonts w:ascii="Courier New" w:cs="Courier New" w:eastAsia="Courier New" w:hAnsi="Courier New"/>
                <w:sz w:val="16"/>
                <w:szCs w:val="16"/>
              </w:rPr>
              <w:t xml:space="preserve">    for tx in stream:</w:t>
            </w:r>
          </w:p>
          <w:p>
            <w:pPr>
              <w:spacing w:after="40" w:line="240"/>
            </w:pPr>
            <w:r>
              <w:rPr>
                <w:rFonts w:ascii="Courier New" w:cs="Courier New" w:eastAsia="Courier New" w:hAnsi="Courier New"/>
                <w:sz w:val="16"/>
                <w:szCs w:val="16"/>
              </w:rPr>
              <w:t xml:space="preserve">        frequencies[tx] = frequencies.get(tx, 0) + 1</w:t>
            </w:r>
          </w:p>
          <w:p>
            <w:pPr>
              <w:spacing w:after="40" w:line="240"/>
            </w:pPr>
            <w:r>
              <w:rPr>
                <w:rFonts w:ascii="Courier New" w:cs="Courier New" w:eastAsia="Courier New" w:hAnsi="Courier New"/>
                <w:sz w:val="16"/>
                <w:szCs w:val="16"/>
              </w:rPr>
              <w:t xml:space="preserve">    return sorted(frequencies.items(),</w:t>
            </w:r>
          </w:p>
          <w:p>
            <w:pPr>
              <w:spacing w:after="40" w:line="240"/>
            </w:pPr>
            <w:r>
              <w:rPr>
                <w:rFonts w:ascii="Courier New" w:cs="Courier New" w:eastAsia="Courier New" w:hAnsi="Courier New"/>
                <w:sz w:val="16"/>
                <w:szCs w:val="16"/>
              </w:rPr>
              <w:t xml:space="preserve">        key=lambda x: x[1], reverse=True)[:k]</w:t>
            </w:r>
          </w:p>
        </w:tc>
      </w:tr>
    </w:tbl>
    <w:p>
      <w:pPr>
        <w:spacing w:after="1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none" w:sz="0"/>
              <w:left w:val="none" w:sz="0"/>
              <w:bottom w:val="single" w:color="C92A2A" w:sz="6"/>
              <w:right w:val="none" w:sz="0"/>
            </w:tcBorders>
            <w:shd w:fill="FFFFFF" w:val="clear"/>
            <w:tcMar>
              <w:top w:type="dxa" w:w="160"/>
              <w:left w:type="dxa" w:w="120"/>
              <w:bottom w:type="dxa" w:w="160"/>
              <w:right w:type="dxa" w:w="120"/>
            </w:tcMar>
          </w:tcPr>
          <w:p>
            <w:pPr>
              <w:spacing w:after="60"/>
              <w:jc w:val="center"/>
            </w:pPr>
            <w:r>
              <w:rPr>
                <w:b/>
                <w:bCs/>
                <w:color w:val="C92A2A"/>
                <w:sz w:val="44"/>
                <w:szCs w:val="44"/>
              </w:rPr>
              <w:t xml:space="preserve">4/5</w:t>
            </w:r>
          </w:p>
          <w:p>
            <w:pPr>
              <w:spacing w:after="0"/>
              <w:jc w:val="center"/>
            </w:pPr>
            <w:r>
              <w:rPr>
                <w:color w:val="666666"/>
                <w:sz w:val="18"/>
                <w:szCs w:val="18"/>
              </w:rPr>
              <w:t xml:space="preserve">Tests Passed</w:t>
            </w:r>
          </w:p>
        </w:tc>
        <w:tc>
          <w:tcPr>
            <w:tcW w:type="dxa" w:w="3120"/>
            <w:tcBorders>
              <w:top w:val="none" w:sz="0"/>
              <w:left w:val="none" w:sz="0"/>
              <w:bottom w:val="single" w:color="C92A2A" w:sz="6"/>
              <w:right w:val="none" w:sz="0"/>
            </w:tcBorders>
            <w:shd w:fill="FFFFFF" w:val="clear"/>
            <w:tcMar>
              <w:top w:type="dxa" w:w="160"/>
              <w:left w:type="dxa" w:w="120"/>
              <w:bottom w:type="dxa" w:w="160"/>
              <w:right w:type="dxa" w:w="120"/>
            </w:tcMar>
          </w:tcPr>
          <w:p>
            <w:pPr>
              <w:spacing w:after="60"/>
              <w:jc w:val="center"/>
            </w:pPr>
            <w:r>
              <w:rPr>
                <w:b/>
                <w:bCs/>
                <w:color w:val="C92A2A"/>
                <w:sz w:val="44"/>
                <w:szCs w:val="44"/>
              </w:rPr>
              <w:t xml:space="preserve">4,500ms</w:t>
            </w:r>
          </w:p>
          <w:p>
            <w:pPr>
              <w:spacing w:after="0"/>
              <w:jc w:val="center"/>
            </w:pPr>
            <w:r>
              <w:rPr>
                <w:color w:val="666666"/>
                <w:sz w:val="18"/>
                <w:szCs w:val="18"/>
              </w:rPr>
              <w:t xml:space="preserve">Avg. Latency</w:t>
            </w:r>
          </w:p>
        </w:tc>
        <w:tc>
          <w:tcPr>
            <w:tcW w:type="dxa" w:w="3120"/>
            <w:tcBorders>
              <w:top w:val="none" w:sz="0"/>
              <w:left w:val="none" w:sz="0"/>
              <w:bottom w:val="single" w:color="C92A2A" w:sz="6"/>
              <w:right w:val="none" w:sz="0"/>
            </w:tcBorders>
            <w:shd w:fill="FFFFFF" w:val="clear"/>
            <w:tcMar>
              <w:top w:type="dxa" w:w="160"/>
              <w:left w:type="dxa" w:w="120"/>
              <w:bottom w:type="dxa" w:w="160"/>
              <w:right w:type="dxa" w:w="120"/>
            </w:tcMar>
          </w:tcPr>
          <w:p>
            <w:pPr>
              <w:spacing w:after="60"/>
              <w:jc w:val="center"/>
            </w:pPr>
            <w:r>
              <w:rPr>
                <w:b/>
                <w:bCs/>
                <w:color w:val="C92A2A"/>
                <w:sz w:val="44"/>
                <w:szCs w:val="44"/>
              </w:rPr>
              <w:t xml:space="preserve">61.15</w:t>
            </w:r>
          </w:p>
          <w:p>
            <w:pPr>
              <w:spacing w:after="0"/>
              <w:jc w:val="center"/>
            </w:pPr>
            <w:r>
              <w:rPr>
                <w:color w:val="666666"/>
                <w:sz w:val="18"/>
                <w:szCs w:val="18"/>
              </w:rPr>
              <w:t xml:space="preserve">Composite Score
(DISQUALIFIED)</w:t>
            </w:r>
          </w:p>
        </w:tc>
      </w:tr>
    </w:tbl>
    <w:p>
      <w:pPr>
        <w:spacing w:after="240"/>
      </w:pPr>
    </w:p>
    <w:p>
      <w:pPr>
        <w:spacing w:after="200" w:line="276"/>
      </w:pPr>
      <w:r>
        <w:rPr>
          <w:b/>
          <w:bCs/>
        </w:rPr>
        <w:t xml:space="preserve">Diagnostic: </w:t>
      </w:r>
      <w:r>
        <w:t xml:space="preserve">A traditional AI resume parser would have advanced this candidate based on matching keywords (“Python,” “Data Processing”). The deterministic gate mathematically proves the candidate lacks understanding of time complexity and memory constraints at scale.</w:t>
      </w:r>
    </w:p>
    <w:p>
      <w:pPr>
        <w:pStyle w:val="Heading3"/>
        <w:spacing w:after="200" w:before="300"/>
      </w:pPr>
      <w:r>
        <w:t xml:space="preserve">Scenario B: The Proper Submission (Validated Hire)</w:t>
      </w:r>
    </w:p>
    <w:p>
      <w:pPr>
        <w:spacing w:after="200" w:line="276"/>
      </w:pPr>
      <w:r>
        <w:t xml:space="preserve">Candidate B leverages AI strategically for boilerplate but applies senior-level architectural reasoning, implementing a Min-Heap priority queue with O(n log k) complexity.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F5F5F5" w:val="clear"/>
            <w:tcMar>
              <w:top w:type="dxa" w:w="120"/>
              <w:left w:type="dxa" w:w="200"/>
              <w:bottom w:type="dxa" w:w="120"/>
              <w:right w:type="dxa" w:w="200"/>
            </w:tcMar>
          </w:tcPr>
          <w:p>
            <w:pPr>
              <w:spacing w:after="40" w:line="240"/>
            </w:pPr>
            <w:r>
              <w:rPr>
                <w:rFonts w:ascii="Courier New" w:cs="Courier New" w:eastAsia="Courier New" w:hAnsi="Courier New"/>
                <w:sz w:val="16"/>
                <w:szCs w:val="16"/>
              </w:rPr>
              <w:t xml:space="preserve">import collections</w:t>
            </w:r>
          </w:p>
          <w:p>
            <w:pPr>
              <w:spacing w:after="40" w:line="240"/>
            </w:pPr>
            <w:r>
              <w:rPr>
                <w:rFonts w:ascii="Courier New" w:cs="Courier New" w:eastAsia="Courier New" w:hAnsi="Courier New"/>
                <w:sz w:val="16"/>
                <w:szCs w:val="16"/>
              </w:rPr>
              <w:t xml:space="preserve">import heapq</w:t>
            </w:r>
          </w:p>
          <w:p>
            <w:pPr>
              <w:spacing w:after="40" w:line="240"/>
            </w:pPr>
            <w:r>
              <w:rPr>
                <w:rFonts w:ascii="Courier New" w:cs="Courier New" w:eastAsia="Courier New" w:hAnsi="Courier New"/>
                <w:sz w:val="16"/>
                <w:szCs w:val="16"/>
              </w:rPr>
              <w:t xml:space="preserve"/>
            </w:r>
          </w:p>
          <w:p>
            <w:pPr>
              <w:spacing w:after="40" w:line="240"/>
            </w:pPr>
            <w:r>
              <w:rPr>
                <w:rFonts w:ascii="Courier New" w:cs="Courier New" w:eastAsia="Courier New" w:hAnsi="Courier New"/>
                <w:sz w:val="16"/>
                <w:szCs w:val="16"/>
              </w:rPr>
              <w:t xml:space="preserve"># OPTIMIZED: Memory-safe priority queue</w:t>
            </w:r>
          </w:p>
          <w:p>
            <w:pPr>
              <w:spacing w:after="40" w:line="240"/>
            </w:pPr>
            <w:r>
              <w:rPr>
                <w:rFonts w:ascii="Courier New" w:cs="Courier New" w:eastAsia="Courier New" w:hAnsi="Courier New"/>
                <w:sz w:val="16"/>
                <w:szCs w:val="16"/>
              </w:rPr>
              <w:t xml:space="preserve">def top_k_transactions(stream, k):</w:t>
            </w:r>
          </w:p>
          <w:p>
            <w:pPr>
              <w:spacing w:after="40" w:line="240"/>
            </w:pPr>
            <w:r>
              <w:rPr>
                <w:rFonts w:ascii="Courier New" w:cs="Courier New" w:eastAsia="Courier New" w:hAnsi="Courier New"/>
                <w:sz w:val="16"/>
                <w:szCs w:val="16"/>
              </w:rPr>
              <w:t xml:space="preserve">    if not stream or k &lt;= 0: return []</w:t>
            </w:r>
          </w:p>
          <w:p>
            <w:pPr>
              <w:spacing w:after="40" w:line="240"/>
            </w:pPr>
            <w:r>
              <w:rPr>
                <w:rFonts w:ascii="Courier New" w:cs="Courier New" w:eastAsia="Courier New" w:hAnsi="Courier New"/>
                <w:sz w:val="16"/>
                <w:szCs w:val="16"/>
              </w:rPr>
              <w:t xml:space="preserve">    frequencies = collections.Counter(stream)</w:t>
            </w:r>
          </w:p>
          <w:p>
            <w:pPr>
              <w:spacing w:after="40" w:line="240"/>
            </w:pPr>
            <w:r>
              <w:rPr>
                <w:rFonts w:ascii="Courier New" w:cs="Courier New" w:eastAsia="Courier New" w:hAnsi="Courier New"/>
                <w:sz w:val="16"/>
                <w:szCs w:val="16"/>
              </w:rPr>
              <w:t xml:space="preserve">    return heapq.nlargest(</w:t>
            </w:r>
          </w:p>
          <w:p>
            <w:pPr>
              <w:spacing w:after="40" w:line="240"/>
            </w:pPr>
            <w:r>
              <w:rPr>
                <w:rFonts w:ascii="Courier New" w:cs="Courier New" w:eastAsia="Courier New" w:hAnsi="Courier New"/>
                <w:sz w:val="16"/>
                <w:szCs w:val="16"/>
              </w:rPr>
              <w:t xml:space="preserve">        k, frequencies.keys(), key=frequencies.get)</w:t>
            </w:r>
          </w:p>
        </w:tc>
      </w:tr>
    </w:tbl>
    <w:p>
      <w:pPr>
        <w:spacing w:after="1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none" w:sz="0"/>
              <w:left w:val="none" w:sz="0"/>
              <w:bottom w:val="single" w:color="2B8A3E" w:sz="6"/>
              <w:right w:val="none" w:sz="0"/>
            </w:tcBorders>
            <w:shd w:fill="FFFFFF" w:val="clear"/>
            <w:tcMar>
              <w:top w:type="dxa" w:w="160"/>
              <w:left w:type="dxa" w:w="120"/>
              <w:bottom w:type="dxa" w:w="160"/>
              <w:right w:type="dxa" w:w="120"/>
            </w:tcMar>
          </w:tcPr>
          <w:p>
            <w:pPr>
              <w:spacing w:after="60"/>
              <w:jc w:val="center"/>
            </w:pPr>
            <w:r>
              <w:rPr>
                <w:b/>
                <w:bCs/>
                <w:color w:val="2B8A3E"/>
                <w:sz w:val="44"/>
                <w:szCs w:val="44"/>
              </w:rPr>
              <w:t xml:space="preserve">5/5</w:t>
            </w:r>
          </w:p>
          <w:p>
            <w:pPr>
              <w:spacing w:after="0"/>
              <w:jc w:val="center"/>
            </w:pPr>
            <w:r>
              <w:rPr>
                <w:color w:val="666666"/>
                <w:sz w:val="18"/>
                <w:szCs w:val="18"/>
              </w:rPr>
              <w:t xml:space="preserve">Tests Passed</w:t>
            </w:r>
          </w:p>
        </w:tc>
        <w:tc>
          <w:tcPr>
            <w:tcW w:type="dxa" w:w="3120"/>
            <w:tcBorders>
              <w:top w:val="none" w:sz="0"/>
              <w:left w:val="none" w:sz="0"/>
              <w:bottom w:val="single" w:color="2B8A3E" w:sz="6"/>
              <w:right w:val="none" w:sz="0"/>
            </w:tcBorders>
            <w:shd w:fill="FFFFFF" w:val="clear"/>
            <w:tcMar>
              <w:top w:type="dxa" w:w="160"/>
              <w:left w:type="dxa" w:w="120"/>
              <w:bottom w:type="dxa" w:w="160"/>
              <w:right w:type="dxa" w:w="120"/>
            </w:tcMar>
          </w:tcPr>
          <w:p>
            <w:pPr>
              <w:spacing w:after="60"/>
              <w:jc w:val="center"/>
            </w:pPr>
            <w:r>
              <w:rPr>
                <w:b/>
                <w:bCs/>
                <w:color w:val="2B8A3E"/>
                <w:sz w:val="44"/>
                <w:szCs w:val="44"/>
              </w:rPr>
              <w:t xml:space="preserve">250ms</w:t>
            </w:r>
          </w:p>
          <w:p>
            <w:pPr>
              <w:spacing w:after="0"/>
              <w:jc w:val="center"/>
            </w:pPr>
            <w:r>
              <w:rPr>
                <w:color w:val="666666"/>
                <w:sz w:val="18"/>
                <w:szCs w:val="18"/>
              </w:rPr>
              <w:t xml:space="preserve">Avg. Latency</w:t>
            </w:r>
          </w:p>
        </w:tc>
        <w:tc>
          <w:tcPr>
            <w:tcW w:type="dxa" w:w="3120"/>
            <w:tcBorders>
              <w:top w:val="none" w:sz="0"/>
              <w:left w:val="none" w:sz="0"/>
              <w:bottom w:val="single" w:color="2B8A3E" w:sz="6"/>
              <w:right w:val="none" w:sz="0"/>
            </w:tcBorders>
            <w:shd w:fill="FFFFFF" w:val="clear"/>
            <w:tcMar>
              <w:top w:type="dxa" w:w="160"/>
              <w:left w:type="dxa" w:w="120"/>
              <w:bottom w:type="dxa" w:w="160"/>
              <w:right w:type="dxa" w:w="120"/>
            </w:tcMar>
          </w:tcPr>
          <w:p>
            <w:pPr>
              <w:spacing w:after="60"/>
              <w:jc w:val="center"/>
            </w:pPr>
            <w:r>
              <w:rPr>
                <w:b/>
                <w:bCs/>
                <w:color w:val="2B8A3E"/>
                <w:sz w:val="44"/>
                <w:szCs w:val="44"/>
              </w:rPr>
              <w:t xml:space="preserve">96.46</w:t>
            </w:r>
          </w:p>
          <w:p>
            <w:pPr>
              <w:spacing w:after="0"/>
              <w:jc w:val="center"/>
            </w:pPr>
            <w:r>
              <w:rPr>
                <w:color w:val="666666"/>
                <w:sz w:val="18"/>
                <w:szCs w:val="18"/>
              </w:rPr>
              <w:t xml:space="preserve">Composite Score
(HIGH-CONFIDENCE)</w:t>
            </w:r>
          </w:p>
        </w:tc>
      </w:tr>
    </w:tbl>
    <w:p>
      <w:pPr>
        <w:spacing w:after="300"/>
      </w:pPr>
    </w:p>
    <w:p>
      <w:r>
        <w:br w:type="page"/>
      </w:r>
    </w:p>
    <w:p>
      <w:pPr>
        <w:pStyle w:val="Heading1"/>
        <w:spacing w:after="200" w:before="300"/>
      </w:pPr>
      <w:r>
        <w:t xml:space="preserve">8. Predictive Analytics and Pipeline Calibration</w:t>
      </w:r>
    </w:p>
    <w:p>
      <w:pPr>
        <w:spacing w:after="200" w:line="276"/>
      </w:pPr>
      <w:r>
        <w:t xml:space="preserve">The implementation of a programmatic scoring framework extends beyond candidate filtration; it serves as the foundational data layer for forecasting organizational ROI and advanced predictive analytics.</w:t>
      </w:r>
    </w:p>
    <w:p>
      <w:pPr>
        <w:pStyle w:val="Heading2"/>
        <w:spacing w:after="200" w:before="300"/>
      </w:pPr>
      <w:r>
        <w:t xml:space="preserve">8.1 ROI Profile Mapping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CCCCCC" w:sz="1"/>
              <w:left w:val="single" w:color="CCCCCC" w:sz="1"/>
              <w:bottom w:val="single" w:color="CCCCCC" w:sz="1"/>
              <w:right w:val="single" w:color="CCCCCC" w:sz="1"/>
            </w:tcBorders>
            <w:shd w:fill="1B2A4A" w:val="clear"/>
            <w:tcMar>
              <w:top w:type="dxa" w:w="80"/>
              <w:left w:type="dxa" w:w="120"/>
              <w:bottom w:type="dxa" w:w="80"/>
              <w:right w:type="dxa" w:w="120"/>
            </w:tcMar>
          </w:tcPr>
          <w:p>
            <w:pPr>
              <w:jc w:val="center"/>
            </w:pPr>
            <w:r>
              <w:rPr>
                <w:b/>
                <w:bCs/>
                <w:color w:val="FFFFFF"/>
                <w:sz w:val="19"/>
                <w:szCs w:val="19"/>
              </w:rPr>
              <w:t xml:space="preserve">Candidate Profile</w:t>
            </w:r>
          </w:p>
        </w:tc>
        <w:tc>
          <w:tcPr>
            <w:tcW w:type="dxa" w:w="3120"/>
            <w:tcBorders>
              <w:top w:val="single" w:color="CCCCCC" w:sz="1"/>
              <w:left w:val="single" w:color="CCCCCC" w:sz="1"/>
              <w:bottom w:val="single" w:color="CCCCCC" w:sz="1"/>
              <w:right w:val="single" w:color="CCCCCC" w:sz="1"/>
            </w:tcBorders>
            <w:shd w:fill="1B2A4A" w:val="clear"/>
            <w:tcMar>
              <w:top w:type="dxa" w:w="80"/>
              <w:left w:type="dxa" w:w="120"/>
              <w:bottom w:type="dxa" w:w="80"/>
              <w:right w:type="dxa" w:w="120"/>
            </w:tcMar>
          </w:tcPr>
          <w:p>
            <w:pPr>
              <w:jc w:val="center"/>
            </w:pPr>
            <w:r>
              <w:rPr>
                <w:b/>
                <w:bCs/>
                <w:color w:val="FFFFFF"/>
                <w:sz w:val="19"/>
                <w:szCs w:val="19"/>
              </w:rPr>
              <w:t xml:space="preserve">Score Signature</w:t>
            </w:r>
          </w:p>
        </w:tc>
        <w:tc>
          <w:tcPr>
            <w:tcW w:type="dxa" w:w="3120"/>
            <w:tcBorders>
              <w:top w:val="single" w:color="CCCCCC" w:sz="1"/>
              <w:left w:val="single" w:color="CCCCCC" w:sz="1"/>
              <w:bottom w:val="single" w:color="CCCCCC" w:sz="1"/>
              <w:right w:val="single" w:color="CCCCCC" w:sz="1"/>
            </w:tcBorders>
            <w:shd w:fill="1B2A4A" w:val="clear"/>
            <w:tcMar>
              <w:top w:type="dxa" w:w="80"/>
              <w:left w:type="dxa" w:w="120"/>
              <w:bottom w:type="dxa" w:w="80"/>
              <w:right w:type="dxa" w:w="120"/>
            </w:tcMar>
          </w:tcPr>
          <w:p>
            <w:pPr>
              <w:jc w:val="center"/>
            </w:pPr>
            <w:r>
              <w:rPr>
                <w:b/>
                <w:bCs/>
                <w:color w:val="FFFFFF"/>
                <w:sz w:val="19"/>
                <w:szCs w:val="19"/>
              </w:rPr>
              <w:t xml:space="preserve">Optimal Placement</w:t>
            </w:r>
          </w:p>
        </w:tc>
      </w:tr>
      <w:tr>
        <w:tc>
          <w:tcPr>
            <w:tcW w:type="dxa" w:w="3120"/>
            <w:tcBorders>
              <w:top w:val="single" w:color="CCCCCC" w:sz="1"/>
              <w:left w:val="single" w:color="CCCCCC" w:sz="1"/>
              <w:bottom w:val="single" w:color="CCCCCC" w:sz="1"/>
              <w:right w:val="single" w:color="CCCCCC" w:sz="1"/>
            </w:tcBorders>
            <w:shd w:fill="F0F4FA" w:val="clear"/>
            <w:tcMar>
              <w:top w:type="dxa" w:w="80"/>
              <w:left w:type="dxa" w:w="120"/>
              <w:bottom w:type="dxa" w:w="80"/>
              <w:right w:type="dxa" w:w="120"/>
            </w:tcMar>
          </w:tcPr>
          <w:p>
            <w:r>
              <w:rPr>
                <w:b/>
                <w:bCs/>
                <w:sz w:val="19"/>
                <w:szCs w:val="19"/>
              </w:rPr>
              <w:t xml:space="preserve">High-Velocity Developer</w:t>
            </w:r>
          </w:p>
        </w:tc>
        <w:tc>
          <w:tcPr>
            <w:tcW w:type="dxa" w:w="3120"/>
            <w:tcBorders>
              <w:top w:val="single" w:color="CCCCCC" w:sz="1"/>
              <w:left w:val="single" w:color="CCCCCC" w:sz="1"/>
              <w:bottom w:val="single" w:color="CCCCCC" w:sz="1"/>
              <w:right w:val="single" w:color="CCCCCC" w:sz="1"/>
            </w:tcBorders>
            <w:shd w:fill="F0F4FA" w:val="clear"/>
            <w:tcMar>
              <w:top w:type="dxa" w:w="80"/>
              <w:left w:type="dxa" w:w="120"/>
              <w:bottom w:type="dxa" w:w="80"/>
              <w:right w:type="dxa" w:w="120"/>
            </w:tcMar>
          </w:tcPr>
          <w:p>
            <w:r>
              <w:rPr>
                <w:sz w:val="19"/>
                <w:szCs w:val="19"/>
              </w:rPr>
              <w:t xml:space="preserve">High W₄, Moderate W₂</w:t>
            </w:r>
          </w:p>
        </w:tc>
        <w:tc>
          <w:tcPr>
            <w:tcW w:type="dxa" w:w="3120"/>
            <w:tcBorders>
              <w:top w:val="single" w:color="CCCCCC" w:sz="1"/>
              <w:left w:val="single" w:color="CCCCCC" w:sz="1"/>
              <w:bottom w:val="single" w:color="CCCCCC" w:sz="1"/>
              <w:right w:val="single" w:color="CCCCCC" w:sz="1"/>
            </w:tcBorders>
            <w:shd w:fill="F0F4FA" w:val="clear"/>
            <w:tcMar>
              <w:top w:type="dxa" w:w="80"/>
              <w:left w:type="dxa" w:w="120"/>
              <w:bottom w:type="dxa" w:w="80"/>
              <w:right w:type="dxa" w:w="120"/>
            </w:tcMar>
          </w:tcPr>
          <w:p>
            <w:r>
              <w:rPr>
                <w:sz w:val="19"/>
                <w:szCs w:val="19"/>
              </w:rPr>
              <w:t xml:space="preserve">Rapid prototyping, agile product teams</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bCs/>
                <w:sz w:val="19"/>
                <w:szCs w:val="19"/>
              </w:rPr>
              <w:t xml:space="preserve">Systems Architect</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sz w:val="19"/>
                <w:szCs w:val="19"/>
              </w:rPr>
              <w:t xml:space="preserve">High W₂, Moderate W₄</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sz w:val="19"/>
                <w:szCs w:val="19"/>
              </w:rPr>
              <w:t xml:space="preserve">Core infrastructure, database admin, HFT systems</w:t>
            </w:r>
          </w:p>
        </w:tc>
      </w:tr>
    </w:tbl>
    <w:p>
      <w:pPr>
        <w:spacing w:after="240"/>
      </w:pPr>
    </w:p>
    <w:p>
      <w:pPr>
        <w:pStyle w:val="Heading2"/>
        <w:spacing w:after="200" w:before="300"/>
      </w:pPr>
      <w:r>
        <w:t xml:space="preserve">8.2 Continuous Pipeline Calibration</w:t>
      </w:r>
    </w:p>
    <w:p>
      <w:pPr>
        <w:spacing w:after="200" w:line="276"/>
      </w:pPr>
      <w:r>
        <w:t xml:space="preserve">The enterprise hiring pipeline must be treated not as a static administrative function but as a complex system requiring continuous calibration—analogous to Reinforcement Learning from Human Feedback (RLHF) in AI model training. Organizations must implement a post-hire feedback loop measuring actual production performance (MTTR, code review rejection rates, deployment frequencies). If post-hire data reveals that high-Velocity candidates consistently generate technical debt, the organization adjusts the role_weights configuration accordingly.</w:t>
      </w:r>
    </w:p>
    <w:p>
      <w:pPr>
        <w:pStyle w:val="Heading1"/>
        <w:spacing w:after="200" w:before="300"/>
      </w:pPr>
      <w:r>
        <w:t xml:space="preserve">9. The Talent Paradox: Evaluating for the Agentic Era</w:t>
      </w:r>
    </w:p>
    <w:p>
      <w:pPr>
        <w:spacing w:after="200" w:line="276"/>
      </w:pPr>
      <w:r>
        <w:t xml:space="preserve">The rationale for this transition is further grounded in a contemporary “talent paradox” disrupting the IT sector. A significant shift toward skills-based hiring is underway: 73% of employers adopted skills-based approaches in 2024 (up from 56% in 2022), and 45% are expected to drop degree requirements for key roles in 2025.</w:t>
      </w:r>
      <w:r>
        <w:rPr>
          <w:rStyle w:val="FootnoteReference"/>
        </w:rPr>
        <w:footnoteReference w:id="20"/>
      </w:r>
    </w:p>
    <w:p>
      <w:pPr>
        <w:spacing w:after="200" w:line="276"/>
      </w:pPr>
      <w:r>
        <w:t xml:space="preserve">Traditional AI resume screeners are optimized to identify localized syntax knowledge (specific languages, frameworks, packages). However, as AI agents become capable of generating foundational code instantaneously, rote syntax recall becomes a marginalized, commoditized skill. Modern enterprise value derives from architectural reasoning, edge-case anticipation, secure systems design, and regulatory compliance—attributes no text parser can infer from historical text.</w:t>
      </w:r>
    </w:p>
    <w:p>
      <w:pPr>
        <w:spacing w:after="200" w:line="276"/>
      </w:pPr>
      <w:r>
        <w:t xml:space="preserve">Under this modernized paradigm, a candidate’s use of generative AI tools during assessment is not prohibited but actively encouraged and integrated into evaluation criteria. The focus shifts toward three key competencies:</w:t>
      </w:r>
    </w:p>
    <w:p>
      <w:pPr>
        <w:pStyle w:val="ListParagraph"/>
        <w:numPr>
          <w:ilvl w:val="0"/>
          <w:numId w:val="2"/>
        </w:numPr>
        <w:spacing w:after="120" w:line="276"/>
      </w:pPr>
      <w:r>
        <w:rPr>
          <w:b/>
          <w:bCs/>
        </w:rPr>
        <w:t xml:space="preserve">Architectural Reasoning: </w:t>
      </w:r>
      <w:r>
        <w:t xml:space="preserve">Evaluating the rationale behind structural choices—not just code viability, but ability to anticipate vulnerabilities, manage latency trade-offs, and conceptualize scaling behavior.</w:t>
      </w:r>
    </w:p>
    <w:p>
      <w:pPr>
        <w:pStyle w:val="ListParagraph"/>
        <w:numPr>
          <w:ilvl w:val="0"/>
          <w:numId w:val="2"/>
        </w:numPr>
        <w:spacing w:after="120" w:line="276"/>
      </w:pPr>
      <w:r>
        <w:rPr>
          <w:b/>
          <w:bCs/>
        </w:rPr>
        <w:t xml:space="preserve">Technological Delegation: </w:t>
      </w:r>
      <w:r>
        <w:t xml:space="preserve">Assessing proficiency in delegating routine coding tasks to AI agents, preserving cognitive bandwidth for complex logic and strategic decision-making.</w:t>
      </w:r>
    </w:p>
    <w:p>
      <w:pPr>
        <w:pStyle w:val="ListParagraph"/>
        <w:numPr>
          <w:ilvl w:val="0"/>
          <w:numId w:val="2"/>
        </w:numPr>
        <w:spacing w:after="300" w:line="276"/>
      </w:pPr>
      <w:r>
        <w:rPr>
          <w:b/>
          <w:bCs/>
        </w:rPr>
        <w:t xml:space="preserve">Validation and Governance: </w:t>
      </w:r>
      <w:r>
        <w:t xml:space="preserve">Measuring discipline in functioning as a rigorous validation gate for AI-generated outputs—testing, identifying, and rectifying the subtle logic errors and security vulnerabilities that generative models produce.</w:t>
      </w:r>
    </w:p>
    <w:p>
      <w:pPr>
        <w:pStyle w:val="Heading1"/>
        <w:spacing w:after="200" w:before="300"/>
      </w:pPr>
      <w:r>
        <w:t xml:space="preserve">10. Conclusion</w:t>
      </w:r>
    </w:p>
    <w:p>
      <w:pPr>
        <w:spacing w:after="200" w:line="276"/>
      </w:pPr>
      <w:r>
        <w:t xml:space="preserve">The systemic challenges in modern recruitment cannot be ameliorated by applying more restrictive algorithmic filters or optimizing defective systems. The automation of high-stakes human evaluations without mechanisms for contextual review, empirical verification, and legal accountability generates unsustainable operational friction and exposes organizations to severe liability.</w:t>
      </w:r>
    </w:p>
    <w:p>
      <w:pPr>
        <w:spacing w:after="200" w:line="276"/>
      </w:pPr>
      <w:r>
        <w:t xml:space="preserve">Restoring efficacy, equity, and regulatory compliance necessitates a definitive departure from opaque text-parsing algorithms toward empirical, verifiable validation. By replacing stochastic keyword searches with deterministic workflow benchmarks, enterprises align hiring with modern engineering realities—transitioning from penalizing AI use to evaluating how intelligently candidates leverage it. True efficiency in recruitment must be measured not by the velocity of algorithmic disqualification, but by the precision, legal safety, and qualitative excellence of human discovery.</w:t>
      </w:r>
    </w:p>
    <w:p>
      <w:pPr>
        <w:spacing w:after="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20"/>
        <w:gridCol w:w="9240"/>
      </w:tblGrid>
      <w:tr>
        <w:tc>
          <w:tcPr>
            <w:tcW w:type="dxa" w:w="120"/>
            <w:tcBorders>
              <w:top w:val="none" w:sz="0"/>
              <w:left w:val="single" w:color="D97706" w:sz="12"/>
              <w:bottom w:val="none" w:sz="0"/>
              <w:right w:val="none" w:sz="0"/>
            </w:tcBorders>
            <w:shd w:fill="FDF8E8" w:val="clear"/>
          </w:tcPr>
          <w:p>
            <w:r>
              <w:t xml:space="preserve"/>
            </w:r>
          </w:p>
        </w:tc>
        <w:tc>
          <w:tcPr>
            <w:tcW w:type="dxa" w:w="9240"/>
            <w:tcBorders>
              <w:top w:val="none" w:sz="0"/>
              <w:left w:val="none" w:sz="0"/>
              <w:bottom w:val="none" w:sz="0"/>
              <w:right w:val="none" w:sz="0"/>
            </w:tcBorders>
            <w:shd w:fill="FDF8E8" w:val="clear"/>
            <w:tcMar>
              <w:top w:type="dxa" w:w="120"/>
              <w:left w:type="dxa" w:w="200"/>
              <w:bottom w:type="dxa" w:w="120"/>
              <w:right w:type="dxa" w:w="200"/>
            </w:tcMar>
          </w:tcPr>
          <w:p>
            <w:pPr>
              <w:spacing w:after="80"/>
            </w:pPr>
            <w:r>
              <w:rPr>
                <w:b/>
                <w:bCs/>
                <w:color w:val="D97706"/>
                <w:sz w:val="22"/>
                <w:szCs w:val="22"/>
              </w:rPr>
              <w:t xml:space="preserve">REGULATORY COMPLIANCE TIMELINE</w:t>
            </w:r>
          </w:p>
          <w:p>
            <w:pPr>
              <w:spacing w:after="0" w:line="276"/>
            </w:pPr>
            <w:r>
              <w:rPr>
                <w:sz w:val="20"/>
                <w:szCs w:val="20"/>
              </w:rPr>
              <w:t xml:space="preserve">February 2, 2025: EU AI Act banned practices (emotion recognition in hiring) effective.
August 2, 2025: GPAI model obligations apply.
August 2, 2026: Full high-risk system compliance required.
2027+: Active EU enforcement with fines up to €35M or 7% of global revenue.
Ongoing: FTC Section 5 enforcement under Operation AI Comply; Mobley v. Workday litigation.</w:t>
            </w:r>
          </w:p>
        </w:tc>
      </w:tr>
    </w:tbl>
    <w:p>
      <w:pPr>
        <w:spacing w:after="300"/>
      </w:pPr>
    </w:p>
    <w:p>
      <w:pPr>
        <w:pStyle w:val="Heading1"/>
        <w:spacing w:after="200" w:before="300"/>
      </w:pPr>
      <w:r>
        <w:t xml:space="preserve">References</w:t>
      </w:r>
    </w:p>
    <w:p>
      <w:pPr>
        <w:spacing w:after="120"/>
      </w:pPr>
      <w:r>
        <w:rPr>
          <w:color w:val="666666"/>
          <w:sz w:val="20"/>
          <w:szCs w:val="20"/>
        </w:rPr>
        <w:t xml:space="preserve">All citations are provided as footnotes throughout the document. Key sources include:</w:t>
      </w:r>
    </w:p>
    <w:p>
      <w:pPr>
        <w:pStyle w:val="ListParagraph"/>
        <w:numPr>
          <w:ilvl w:val="0"/>
          <w:numId w:val="2"/>
        </w:numPr>
        <w:spacing w:after="80" w:line="264"/>
      </w:pPr>
      <w:r>
        <w:rPr>
          <w:sz w:val="18"/>
          <w:szCs w:val="18"/>
        </w:rPr>
        <w:t xml:space="preserve">Resume Builder. "7 in 10 Companies Will Use AI in Hiring in 2025." Survey of 948 business leaders, October 2024. resumebuilder.com</w:t>
      </w:r>
    </w:p>
    <w:p>
      <w:pPr>
        <w:pStyle w:val="ListParagraph"/>
        <w:numPr>
          <w:ilvl w:val="0"/>
          <w:numId w:val="2"/>
        </w:numPr>
        <w:spacing w:after="80" w:line="264"/>
      </w:pPr>
      <w:r>
        <w:rPr>
          <w:sz w:val="18"/>
          <w:szCs w:val="18"/>
        </w:rPr>
        <w:t xml:space="preserve">Wilson, K. &amp; Caliskan, A. (2024). "Gender, Race, and Intersectional Bias in Resume Screening via Language Model Retrieval." AAAI/ACM AIES 2024, 1578-1590. arXiv:2407.20371</w:t>
      </w:r>
    </w:p>
    <w:p>
      <w:pPr>
        <w:pStyle w:val="ListParagraph"/>
        <w:numPr>
          <w:ilvl w:val="0"/>
          <w:numId w:val="2"/>
        </w:numPr>
        <w:spacing w:after="80" w:line="264"/>
      </w:pPr>
      <w:r>
        <w:rPr>
          <w:sz w:val="18"/>
          <w:szCs w:val="18"/>
        </w:rPr>
        <w:t xml:space="preserve">Mobley v. Workday, Inc., No. 3:23-cv-00770-RFL (N.D. Cal. 2023-present). EEOC Amicus Brief filed April 9, 2024.</w:t>
      </w:r>
    </w:p>
    <w:p>
      <w:pPr>
        <w:pStyle w:val="ListParagraph"/>
        <w:numPr>
          <w:ilvl w:val="0"/>
          <w:numId w:val="2"/>
        </w:numPr>
        <w:spacing w:after="80" w:line="264"/>
      </w:pPr>
      <w:r>
        <w:rPr>
          <w:sz w:val="18"/>
          <w:szCs w:val="18"/>
        </w:rPr>
        <w:t xml:space="preserve">European Union Regulation 2024/1689 (EU AI Act). Effective August 1, 2024. digital-strategy.ec.europa.eu</w:t>
      </w:r>
    </w:p>
    <w:p>
      <w:pPr>
        <w:pStyle w:val="ListParagraph"/>
        <w:numPr>
          <w:ilvl w:val="0"/>
          <w:numId w:val="2"/>
        </w:numPr>
        <w:spacing w:after="80" w:line="264"/>
      </w:pPr>
      <w:r>
        <w:rPr>
          <w:sz w:val="18"/>
          <w:szCs w:val="18"/>
        </w:rPr>
        <w:t xml:space="preserve">U.S. Federal Trade Commission. "Operation AI Comply" (September 2024). ftc.gov</w:t>
      </w:r>
    </w:p>
    <w:p>
      <w:pPr>
        <w:pStyle w:val="ListParagraph"/>
        <w:numPr>
          <w:ilvl w:val="0"/>
          <w:numId w:val="2"/>
        </w:numPr>
        <w:spacing w:after="80" w:line="264"/>
      </w:pPr>
      <w:r>
        <w:rPr>
          <w:sz w:val="18"/>
          <w:szCs w:val="18"/>
        </w:rPr>
        <w:t xml:space="preserve">University of Washington (November 2025). "People mirror AI systems' hiring biases, study finds." washington.edu</w:t>
      </w:r>
    </w:p>
    <w:p>
      <w:pPr>
        <w:pStyle w:val="ListParagraph"/>
        <w:numPr>
          <w:ilvl w:val="0"/>
          <w:numId w:val="2"/>
        </w:numPr>
        <w:spacing w:after="80" w:line="264"/>
      </w:pPr>
      <w:r>
        <w:rPr>
          <w:sz w:val="18"/>
          <w:szCs w:val="18"/>
        </w:rPr>
        <w:t xml:space="preserve">CareerPlug (2025). "Recruiting Metrics Report." Analysis of 10M+ applications. careerplug.com</w:t>
      </w:r>
    </w:p>
    <w:p>
      <w:pPr>
        <w:pStyle w:val="ListParagraph"/>
        <w:numPr>
          <w:ilvl w:val="0"/>
          <w:numId w:val="2"/>
        </w:numPr>
        <w:spacing w:after="80" w:line="264"/>
      </w:pPr>
      <w:r>
        <w:rPr>
          <w:sz w:val="18"/>
          <w:szCs w:val="18"/>
        </w:rPr>
        <w:t xml:space="preserve">Ashby (2025). "Talent Trends Report." Analysis of 31M+ applications. ashbyhq.com</w:t>
      </w:r>
    </w:p>
    <w:p>
      <w:pPr>
        <w:pStyle w:val="ListParagraph"/>
        <w:numPr>
          <w:ilvl w:val="0"/>
          <w:numId w:val="2"/>
        </w:numPr>
        <w:spacing w:after="80" w:line="264"/>
      </w:pPr>
      <w:r>
        <w:rPr>
          <w:sz w:val="18"/>
          <w:szCs w:val="18"/>
        </w:rPr>
        <w:t xml:space="preserve">Huntr Q2 2025 Job Search Analysis. Via The Interview Guys "State of Job Search 2025."</w:t>
      </w:r>
    </w:p>
    <w:p>
      <w:pPr>
        <w:pStyle w:val="ListParagraph"/>
        <w:numPr>
          <w:ilvl w:val="0"/>
          <w:numId w:val="2"/>
        </w:numPr>
        <w:spacing w:after="80" w:line="264"/>
      </w:pPr>
      <w:r>
        <w:rPr>
          <w:sz w:val="18"/>
          <w:szCs w:val="18"/>
        </w:rPr>
        <w:t xml:space="preserve">Resume Now (2025). "AI Applicant Report." resume-now.com</w:t>
      </w:r>
    </w:p>
    <w:p>
      <w:pPr>
        <w:pStyle w:val="ListParagraph"/>
        <w:numPr>
          <w:ilvl w:val="0"/>
          <w:numId w:val="2"/>
        </w:numPr>
        <w:spacing w:after="80" w:line="264"/>
      </w:pPr>
      <w:r>
        <w:rPr>
          <w:sz w:val="18"/>
          <w:szCs w:val="18"/>
        </w:rPr>
        <w:t xml:space="preserve">NYC Local Law 144 (2023). Automated employment decision tools bias audit requirement.</w:t>
      </w:r>
    </w:p>
    <w:p>
      <w:pPr>
        <w:pStyle w:val="ListParagraph"/>
        <w:numPr>
          <w:ilvl w:val="0"/>
          <w:numId w:val="2"/>
        </w:numPr>
        <w:spacing w:after="80" w:line="264"/>
      </w:pPr>
      <w:r>
        <w:rPr>
          <w:sz w:val="18"/>
          <w:szCs w:val="18"/>
        </w:rPr>
        <w:t xml:space="preserve">Insight Global / Atomik Research (2024). "2025 AI in Hiring Survey." insightglobal.com</w:t>
      </w:r>
    </w:p>
    <w:p>
      <w:pPr>
        <w:pStyle w:val="ListParagraph"/>
        <w:numPr>
          <w:ilvl w:val="0"/>
          <w:numId w:val="2"/>
        </w:numPr>
        <w:spacing w:after="80" w:line="264"/>
      </w:pPr>
      <w:r>
        <w:rPr>
          <w:sz w:val="18"/>
          <w:szCs w:val="18"/>
        </w:rPr>
        <w:t xml:space="preserve">Fisher Phillips (2024). "AI Resume Screeners Prefer White Male Candidates." fisherphillips.com</w:t>
      </w:r>
    </w:p>
    <w:p>
      <w:pPr>
        <w:pStyle w:val="ListParagraph"/>
        <w:numPr>
          <w:ilvl w:val="0"/>
          <w:numId w:val="2"/>
        </w:numPr>
        <w:spacing w:after="80" w:line="264"/>
      </w:pPr>
      <w:r>
        <w:rPr>
          <w:sz w:val="18"/>
          <w:szCs w:val="18"/>
        </w:rPr>
        <w:t xml:space="preserve">The Interview Guys (2025). "State of Job Search 2025." Skills-based hiring trends data.</w:t>
      </w:r>
    </w:p>
    <w:p>
      <w:pPr>
        <w:pStyle w:val="ListParagraph"/>
        <w:numPr>
          <w:ilvl w:val="0"/>
          <w:numId w:val="2"/>
        </w:numPr>
        <w:spacing w:after="80" w:line="264"/>
      </w:pPr>
      <w:r>
        <w:rPr>
          <w:sz w:val="18"/>
          <w:szCs w:val="18"/>
        </w:rPr>
        <w:t xml:space="preserve">Ogletree Deakins (2025). "EU AI Act: What It Means for U.S. Employers." ogletree.com</w:t>
      </w:r>
    </w:p>
    <w:p>
      <w:pPr>
        <w:pStyle w:val="ListParagraph"/>
        <w:numPr>
          <w:ilvl w:val="0"/>
          <w:numId w:val="2"/>
        </w:numPr>
        <w:spacing w:after="80" w:line="264"/>
      </w:pPr>
      <w:r>
        <w:rPr>
          <w:sz w:val="18"/>
          <w:szCs w:val="18"/>
        </w:rPr>
        <w:t xml:space="preserve">Greenberg Traurig (2025). "Use of AI in Recruitment and Hiring." gtlaw.com</w:t>
      </w:r>
    </w:p>
    <w:p>
      <w:pPr>
        <w:pStyle w:val="ListParagraph"/>
        <w:numPr>
          <w:ilvl w:val="0"/>
          <w:numId w:val="2"/>
        </w:numPr>
        <w:spacing w:after="80" w:line="264"/>
      </w:pPr>
      <w:r>
        <w:rPr>
          <w:sz w:val="18"/>
          <w:szCs w:val="18"/>
        </w:rPr>
        <w:t xml:space="preserve">Holland &amp; Knight (2025). "FTC Evaluating Deceptive AI Claims." hklaw.com</w:t>
      </w:r>
    </w:p>
    <w:p>
      <w:pPr>
        <w:pStyle w:val="ListParagraph"/>
        <w:numPr>
          <w:ilvl w:val="0"/>
          <w:numId w:val="2"/>
        </w:numPr>
        <w:spacing w:after="80" w:line="264"/>
      </w:pPr>
      <w:r>
        <w:rPr>
          <w:sz w:val="18"/>
          <w:szCs w:val="18"/>
        </w:rPr>
        <w:t xml:space="preserve">Fast Company (October 2024). "70% of companies will use AI for hiring in 2025."</w:t>
      </w:r>
    </w:p>
    <w:p>
      <w:pPr>
        <w:pStyle w:val="ListParagraph"/>
        <w:numPr>
          <w:ilvl w:val="0"/>
          <w:numId w:val="2"/>
        </w:numPr>
        <w:spacing w:after="80" w:line="264"/>
      </w:pPr>
      <w:r>
        <w:rPr>
          <w:sz w:val="18"/>
          <w:szCs w:val="18"/>
        </w:rPr>
        <w:t xml:space="preserve">HiringThing (2025). "2025 Job Application Statistics." blog.hiringthing.com</w:t>
      </w:r>
    </w:p>
    <w:p>
      <w:pPr>
        <w:pStyle w:val="ListParagraph"/>
        <w:numPr>
          <w:ilvl w:val="0"/>
          <w:numId w:val="2"/>
        </w:numPr>
        <w:spacing w:after="80" w:line="264"/>
      </w:pPr>
      <w:r>
        <w:rPr>
          <w:sz w:val="18"/>
          <w:szCs w:val="18"/>
        </w:rPr>
        <w:t xml:space="preserve">Seyfarth Shaw (2024). "Mobley v. Workday: Court Holds AI Providers Liable." seyfarth.com</w:t>
      </w:r>
    </w:p>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color w:val="666666"/>
        <w:sz w:val="18"/>
        <w:szCs w:val="18"/>
      </w:rPr>
      <w:t xml:space="preserve">Page </w:t>
    </w:r>
    <w:r>
      <w:rPr>
        <w:color w:val="666666"/>
        <w:sz w:val="18"/>
        <w:szCs w:val="18"/>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 w:id="1">
    <w:p>
      <w:pPr>
        <w:spacing w:after="40"/>
      </w:pPr>
      <w:r>
        <w:rPr>
          <w:rStyle w:val="FootnoteReference"/>
        </w:rPr>
        <w:footnoteRef/>
      </w:r>
      <w:r>
        <w:rPr>
          <w:rFonts w:ascii="Arial" w:cs="Arial" w:eastAsia="Arial" w:hAnsi="Arial"/>
          <w:sz w:val="16"/>
          <w:szCs w:val="16"/>
        </w:rPr>
        <w:t xml:space="preserve">Resume Builder. Survey of 948 business leaders, October 2024. "7 in 10 Companies Will Use AI in Hiring in 2025." resumebuilder.com</w:t>
      </w:r>
    </w:p>
  </w:footnote>
  <w:footnote w:id="2">
    <w:p>
      <w:pPr>
        <w:spacing w:after="40"/>
      </w:pPr>
      <w:r>
        <w:rPr>
          <w:rStyle w:val="FootnoteReference"/>
        </w:rPr>
        <w:footnoteRef/>
      </w:r>
      <w:r>
        <w:rPr>
          <w:rFonts w:ascii="Arial" w:cs="Arial" w:eastAsia="Arial" w:hAnsi="Arial"/>
          <w:sz w:val="16"/>
          <w:szCs w:val="16"/>
        </w:rPr>
        <w:t xml:space="preserve">Wilson, K. &amp; Caliskan, A. (2024). "Gender, Race, and Intersectional Bias in Resume Screening via Language Model Retrieval." Proceedings of the AAAI/ACM Conference on AI, Ethics, and Society (AIES 2024), 1578-1590. arXiv:2407.20371.</w:t>
      </w:r>
    </w:p>
  </w:footnote>
  <w:footnote w:id="3">
    <w:p>
      <w:pPr>
        <w:spacing w:after="40"/>
      </w:pPr>
      <w:r>
        <w:rPr>
          <w:rStyle w:val="FootnoteReference"/>
        </w:rPr>
        <w:footnoteRef/>
      </w:r>
      <w:r>
        <w:rPr>
          <w:rFonts w:ascii="Arial" w:cs="Arial" w:eastAsia="Arial" w:hAnsi="Arial"/>
          <w:sz w:val="16"/>
          <w:szCs w:val="16"/>
        </w:rPr>
        <w:t xml:space="preserve">HiringThing (2025). "2025 Job Application Statistics." Reports job seekers submit 32 to 200+ applications on average, with 0.1%-2% cold application success rates. blog.hiringthing.com</w:t>
      </w:r>
    </w:p>
  </w:footnote>
  <w:footnote w:id="4">
    <w:p>
      <w:pPr>
        <w:spacing w:after="40"/>
      </w:pPr>
      <w:r>
        <w:rPr>
          <w:rStyle w:val="FootnoteReference"/>
        </w:rPr>
        <w:footnoteRef/>
      </w:r>
      <w:r>
        <w:rPr>
          <w:rFonts w:ascii="Arial" w:cs="Arial" w:eastAsia="Arial" w:hAnsi="Arial"/>
          <w:sz w:val="16"/>
          <w:szCs w:val="16"/>
        </w:rPr>
        <w:t xml:space="preserve">CareerPlug (2025). "2025 Recruiting Metrics Report." Analysis of 10 million applications from 60,000+ small businesses. Applicant-to-interview ratio: 3%. Average 180 applicants per hire. careerplug.com</w:t>
      </w:r>
    </w:p>
  </w:footnote>
  <w:footnote w:id="5">
    <w:p>
      <w:pPr>
        <w:spacing w:after="40"/>
      </w:pPr>
      <w:r>
        <w:rPr>
          <w:rStyle w:val="FootnoteReference"/>
        </w:rPr>
        <w:footnoteRef/>
      </w:r>
      <w:r>
        <w:rPr>
          <w:rFonts w:ascii="Arial" w:cs="Arial" w:eastAsia="Arial" w:hAnsi="Arial"/>
          <w:sz w:val="16"/>
          <w:szCs w:val="16"/>
        </w:rPr>
        <w:t xml:space="preserve">U.S. Federal Trade Commission. "Operation AI Comply" (September 2024). Enforcement actions under Section 5 of the FTC Act against companies making deceptive AI claims. ftc.gov</w:t>
      </w:r>
    </w:p>
  </w:footnote>
  <w:footnote w:id="6">
    <w:p>
      <w:pPr>
        <w:spacing w:after="40"/>
      </w:pPr>
      <w:r>
        <w:rPr>
          <w:rStyle w:val="FootnoteReference"/>
        </w:rPr>
        <w:footnoteRef/>
      </w:r>
      <w:r>
        <w:rPr>
          <w:rFonts w:ascii="Arial" w:cs="Arial" w:eastAsia="Arial" w:hAnsi="Arial"/>
          <w:sz w:val="16"/>
          <w:szCs w:val="16"/>
        </w:rPr>
        <w:t xml:space="preserve">Holland &amp; Knight (2025). "FTC Evaluating Deceptive AI Claims." Analysis of Section 5 FTC Act authority over AI products, including bias in decision-making systems. hklaw.com</w:t>
      </w:r>
    </w:p>
  </w:footnote>
  <w:footnote w:id="7">
    <w:p>
      <w:pPr>
        <w:spacing w:after="40"/>
      </w:pPr>
      <w:r>
        <w:rPr>
          <w:rStyle w:val="FootnoteReference"/>
        </w:rPr>
        <w:footnoteRef/>
      </w:r>
      <w:r>
        <w:rPr>
          <w:rFonts w:ascii="Arial" w:cs="Arial" w:eastAsia="Arial" w:hAnsi="Arial"/>
          <w:sz w:val="16"/>
          <w:szCs w:val="16"/>
        </w:rPr>
        <w:t xml:space="preserve">European Union. Regulation (EU) 2024/1689 (AI Act). Entered into force August 1, 2024. Classifies AI in employment as "high-risk." Fines up to €35 million or 7% of global turnover. digital-strategy.ec.europa.eu</w:t>
      </w:r>
    </w:p>
  </w:footnote>
  <w:footnote w:id="8">
    <w:p>
      <w:pPr>
        <w:spacing w:after="40"/>
      </w:pPr>
      <w:r>
        <w:rPr>
          <w:rStyle w:val="FootnoteReference"/>
        </w:rPr>
        <w:footnoteRef/>
      </w:r>
      <w:r>
        <w:rPr>
          <w:rFonts w:ascii="Arial" w:cs="Arial" w:eastAsia="Arial" w:hAnsi="Arial"/>
          <w:sz w:val="16"/>
          <w:szCs w:val="16"/>
        </w:rPr>
        <w:t xml:space="preserve">Ogletree Deakins (2025). "EU AI Act: What It Means for U.S. Employers." AI in recruiting classified as high-risk; prohibited practices banned from February 2025; full compliance required by August 2026. ogletree.com</w:t>
      </w:r>
    </w:p>
  </w:footnote>
  <w:footnote w:id="9">
    <w:p>
      <w:pPr>
        <w:spacing w:after="40"/>
      </w:pPr>
      <w:r>
        <w:rPr>
          <w:rStyle w:val="FootnoteReference"/>
        </w:rPr>
        <w:footnoteRef/>
      </w:r>
      <w:r>
        <w:rPr>
          <w:rFonts w:ascii="Arial" w:cs="Arial" w:eastAsia="Arial" w:hAnsi="Arial"/>
          <w:sz w:val="16"/>
          <w:szCs w:val="16"/>
        </w:rPr>
        <w:t xml:space="preserve">Mobley v. Workday, Inc., No. 3:23-cv-00770-RFL (N.D. Cal.). Filed February 2023. Judge Rita Lin denied Workday’s motion to dismiss (July 12, 2024) under agent theory of liability. Conditionally certified as ADEA collective action (May 16, 2025).</w:t>
      </w:r>
    </w:p>
  </w:footnote>
  <w:footnote w:id="10">
    <w:p>
      <w:pPr>
        <w:spacing w:after="40"/>
      </w:pPr>
      <w:r>
        <w:rPr>
          <w:rStyle w:val="FootnoteReference"/>
        </w:rPr>
        <w:footnoteRef/>
      </w:r>
      <w:r>
        <w:rPr>
          <w:rFonts w:ascii="Arial" w:cs="Arial" w:eastAsia="Arial" w:hAnsi="Arial"/>
          <w:sz w:val="16"/>
          <w:szCs w:val="16"/>
        </w:rPr>
        <w:t xml:space="preserve">EEOC Amicus Brief, Mobley v. Workday, Inc. (April 9, 2024). The EEOC supported plaintiff’s theory that AI vendors can be liable as agents under Title VII. eeoc.gov</w:t>
      </w:r>
    </w:p>
  </w:footnote>
  <w:footnote w:id="11">
    <w:p>
      <w:pPr>
        <w:spacing w:after="40"/>
      </w:pPr>
      <w:r>
        <w:rPr>
          <w:rStyle w:val="FootnoteReference"/>
        </w:rPr>
        <w:footnoteRef/>
      </w:r>
      <w:r>
        <w:rPr>
          <w:rFonts w:ascii="Arial" w:cs="Arial" w:eastAsia="Arial" w:hAnsi="Arial"/>
          <w:sz w:val="16"/>
          <w:szCs w:val="16"/>
        </w:rPr>
        <w:t xml:space="preserve">University of Washington News (November 10, 2025). "People mirror AI systems’ hiring biases, study finds." 528 participants demonstrated propensity to mirror AI biased recommendations. washington.edu</w:t>
      </w:r>
    </w:p>
  </w:footnote>
  <w:footnote w:id="12">
    <w:p>
      <w:pPr>
        <w:spacing w:after="40"/>
      </w:pPr>
      <w:r>
        <w:rPr>
          <w:rStyle w:val="FootnoteReference"/>
        </w:rPr>
        <w:footnoteRef/>
      </w:r>
      <w:r>
        <w:rPr>
          <w:rFonts w:ascii="Arial" w:cs="Arial" w:eastAsia="Arial" w:hAnsi="Arial"/>
          <w:sz w:val="16"/>
          <w:szCs w:val="16"/>
        </w:rPr>
        <w:t xml:space="preserve">Insight Global / Atomik Research (2024). "2025 AI in Hiring Survey Report." 98% saw improved efficiency; 93% emphasized human involvement importance. Survey of 1,005 hiring managers. insightglobal.com</w:t>
      </w:r>
    </w:p>
  </w:footnote>
  <w:footnote w:id="13">
    <w:p>
      <w:pPr>
        <w:spacing w:after="40"/>
      </w:pPr>
      <w:r>
        <w:rPr>
          <w:rStyle w:val="FootnoteReference"/>
        </w:rPr>
        <w:footnoteRef/>
      </w:r>
      <w:r>
        <w:rPr>
          <w:rFonts w:ascii="Arial" w:cs="Arial" w:eastAsia="Arial" w:hAnsi="Arial"/>
          <w:sz w:val="16"/>
          <w:szCs w:val="16"/>
        </w:rPr>
        <w:t xml:space="preserve">Fisher Phillips (2024). "New Study Shows AI Resume Screeners Prefer White Male Candidates: Your 5-Step Blueprint." Legal analysis of UW bias study implications. fisherphillips.com</w:t>
      </w:r>
    </w:p>
  </w:footnote>
  <w:footnote w:id="14">
    <w:p>
      <w:pPr>
        <w:spacing w:after="40"/>
      </w:pPr>
      <w:r>
        <w:rPr>
          <w:rStyle w:val="FootnoteReference"/>
        </w:rPr>
        <w:footnoteRef/>
      </w:r>
      <w:r>
        <w:rPr>
          <w:rFonts w:ascii="Arial" w:cs="Arial" w:eastAsia="Arial" w:hAnsi="Arial"/>
          <w:sz w:val="16"/>
          <w:szCs w:val="16"/>
        </w:rPr>
        <w:t xml:space="preserve">Ashby (2025). "2025 Talent Trends Report: Recruiter Productivity." Analysis of 31M+ applications. 2.6-3x growth in applications at the start of 2024. ashbyhq.com</w:t>
      </w:r>
    </w:p>
  </w:footnote>
  <w:footnote w:id="15">
    <w:p>
      <w:pPr>
        <w:spacing w:after="40"/>
      </w:pPr>
      <w:r>
        <w:rPr>
          <w:rStyle w:val="FootnoteReference"/>
        </w:rPr>
        <w:footnoteRef/>
      </w:r>
      <w:r>
        <w:rPr>
          <w:rFonts w:ascii="Arial" w:cs="Arial" w:eastAsia="Arial" w:hAnsi="Arial"/>
          <w:sz w:val="16"/>
          <w:szCs w:val="16"/>
        </w:rPr>
        <w:t xml:space="preserve">Huntr Q2 2025 Analysis: Median time to first offer increased 22% to 68.5 days. 14.3% of users needed 100+ applications. As reported in The Interview Guys "State of Job Search 2025."</w:t>
      </w:r>
    </w:p>
  </w:footnote>
  <w:footnote w:id="16">
    <w:p>
      <w:pPr>
        <w:spacing w:after="40"/>
      </w:pPr>
      <w:r>
        <w:rPr>
          <w:rStyle w:val="FootnoteReference"/>
        </w:rPr>
        <w:footnoteRef/>
      </w:r>
      <w:r>
        <w:rPr>
          <w:rFonts w:ascii="Arial" w:cs="Arial" w:eastAsia="Arial" w:hAnsi="Arial"/>
          <w:sz w:val="16"/>
          <w:szCs w:val="16"/>
        </w:rPr>
        <w:t xml:space="preserve">Resume Now (2025). "AI Applicant Report." 90% of employers report more spam applications attributed to AI tools; 94% encountered misleading AI-generated content. resume-now.com</w:t>
      </w:r>
    </w:p>
  </w:footnote>
  <w:footnote w:id="17">
    <w:p>
      <w:pPr>
        <w:spacing w:after="40"/>
      </w:pPr>
      <w:r>
        <w:rPr>
          <w:rStyle w:val="FootnoteReference"/>
        </w:rPr>
        <w:footnoteRef/>
      </w:r>
      <w:r>
        <w:rPr>
          <w:rFonts w:ascii="Arial" w:cs="Arial" w:eastAsia="Arial" w:hAnsi="Arial"/>
          <w:sz w:val="16"/>
          <w:szCs w:val="16"/>
        </w:rPr>
        <w:t xml:space="preserve">NYC Local Law 144 (2023). Requires annual third-party bias audits on automated employment decision tools. Effective July 5, 2023. nyc.gov</w:t>
      </w:r>
    </w:p>
  </w:footnote>
  <w:footnote w:id="18">
    <w:p>
      <w:pPr>
        <w:spacing w:after="40"/>
      </w:pPr>
      <w:r>
        <w:rPr>
          <w:rStyle w:val="FootnoteReference"/>
        </w:rPr>
        <w:footnoteRef/>
      </w:r>
      <w:r>
        <w:rPr>
          <w:rFonts w:ascii="Arial" w:cs="Arial" w:eastAsia="Arial" w:hAnsi="Arial"/>
          <w:sz w:val="16"/>
          <w:szCs w:val="16"/>
        </w:rPr>
        <w:t xml:space="preserve">Fast Company (October 2024). "70% of companies will use AI for hiring in 2025." 50% of companies exclusively use AI tools to reject applicants during early resume review. fastcompany.com</w:t>
      </w:r>
    </w:p>
  </w:footnote>
  <w:footnote w:id="19">
    <w:p>
      <w:pPr>
        <w:spacing w:after="40"/>
      </w:pPr>
      <w:r>
        <w:rPr>
          <w:rStyle w:val="FootnoteReference"/>
        </w:rPr>
        <w:footnoteRef/>
      </w:r>
      <w:r>
        <w:rPr>
          <w:rFonts w:ascii="Arial" w:cs="Arial" w:eastAsia="Arial" w:hAnsi="Arial"/>
          <w:sz w:val="16"/>
          <w:szCs w:val="16"/>
        </w:rPr>
        <w:t xml:space="preserve">Greenberg Traurig (2025). "Use of AI in Recruitment and Hiring: Considerations for EU and US Companies." Analysis of regulatory frameworks. gtlaw.com</w:t>
      </w:r>
    </w:p>
  </w:footnote>
  <w:footnote w:id="20">
    <w:p>
      <w:pPr>
        <w:spacing w:after="40"/>
      </w:pPr>
      <w:r>
        <w:rPr>
          <w:rStyle w:val="FootnoteReference"/>
        </w:rPr>
        <w:footnoteRef/>
      </w:r>
      <w:r>
        <w:rPr>
          <w:rFonts w:ascii="Arial" w:cs="Arial" w:eastAsia="Arial" w:hAnsi="Arial"/>
          <w:sz w:val="16"/>
          <w:szCs w:val="16"/>
        </w:rPr>
        <w:t xml:space="preserve">The Interview Guys (2025). "State of Job Search 2025." 73% of employers adopted skills-based hiring in 2024, up from 56% in 2022. 45% expected to drop degree requirements in 2025.</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DDDDDD" w:sz="1" w:space="1"/>
      </w:pBdr>
      <w:tabs>
        <w:tab w:val="right" w:pos="9026"/>
      </w:tabs>
    </w:pPr>
    <w:r>
      <w:rPr>
        <w:i/>
        <w:iCs/>
        <w:color w:val="666666"/>
        <w:sz w:val="18"/>
        <w:szCs w:val="18"/>
      </w:rPr>
      <w:t xml:space="preserve">The Architecture of Attrition</w:t>
    </w:r>
    <w:r>
      <w:t xml:space="preserve">	</w:t>
    </w:r>
    <w:r>
      <w:rPr>
        <w:color w:val="666666"/>
        <w:sz w:val="18"/>
        <w:szCs w:val="18"/>
      </w:rPr>
      <w:t xml:space="preserve">Executive Review</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abstractNum w:abstractNumId="4" w15:restartNumberingAfterBreak="0">
    <w:multiLevelType w:val="hybridMultilevel"/>
    <w:lvl w:ilvl="0" w15:tentative="1">
      <w:start w:val="1"/>
      <w:numFmt w:val="decimal"/>
      <w:lvlText w:val="Tier %1:"/>
      <w:lvlJc w:val="left"/>
      <w:pPr>
        <w:ind w:left="720" w:hanging="360"/>
      </w:pPr>
    </w:lvl>
  </w:abstractNum>
  <w:num w:numId="1">
    <w:abstractNumId w:val="1"/>
    <w:lvlOverride w:ilvl="0">
      <w:startOverride w:val="1"/>
    </w:lvlOverride>
  </w:num>
  <w:num w:numId="2">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360"/>
      <w:outlineLvl w:val="0"/>
    </w:pPr>
    <w:rPr>
      <w:rFonts w:ascii="Arial" w:cs="Arial" w:eastAsia="Arial" w:hAnsi="Arial"/>
      <w:b/>
      <w:bCs/>
      <w:color w:val="1B2A4A"/>
      <w:sz w:val="36"/>
      <w:szCs w:val="36"/>
    </w:rPr>
  </w:style>
  <w:style w:type="paragraph" w:styleId="Heading2">
    <w:name w:val="Heading 2"/>
    <w:basedOn w:val="Normal"/>
    <w:next w:val="Normal"/>
    <w:qFormat/>
    <w:pPr>
      <w:spacing w:after="180" w:before="280"/>
      <w:outlineLvl w:val="1"/>
    </w:pPr>
    <w:rPr>
      <w:rFonts w:ascii="Arial" w:cs="Arial" w:eastAsia="Arial" w:hAnsi="Arial"/>
      <w:b/>
      <w:bCs/>
      <w:color w:val="2E75B6"/>
      <w:sz w:val="28"/>
      <w:szCs w:val="28"/>
    </w:rPr>
  </w:style>
  <w:style w:type="paragraph" w:styleId="Heading3">
    <w:name w:val="Heading 3"/>
    <w:basedOn w:val="Normal"/>
    <w:next w:val="Normal"/>
    <w:qFormat/>
    <w:pPr>
      <w:spacing w:after="120" w:before="200"/>
      <w:outlineLvl w:val="2"/>
    </w:pPr>
    <w:rPr>
      <w:rFonts w:ascii="Arial" w:cs="Arial" w:eastAsia="Arial" w:hAnsi="Arial"/>
      <w:b/>
      <w:bCs/>
      <w:color w:val="1B2A4A"/>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2026-02-28T09:35:40.714Z</dcterms:created>
  <dcterms:modified xsi:type="dcterms:W3CDTF">2026-02-28T09:35:40.715Z</dcterms:modified>
</cp:coreProperties>
</file>

<file path=docProps/custom.xml><?xml version="1.0" encoding="utf-8"?>
<Properties xmlns="http://schemas.openxmlformats.org/officeDocument/2006/custom-properties" xmlns:vt="http://schemas.openxmlformats.org/officeDocument/2006/docPropsVTypes"/>
</file>