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9C703C" w14:textId="4A8122B1" w:rsidR="31B321CE" w:rsidRDefault="31B321CE" w:rsidP="60218F71">
      <w:pPr>
        <w:widowControl w:val="0"/>
        <w:pBdr>
          <w:top w:val="nil"/>
          <w:left w:val="nil"/>
          <w:bottom w:val="nil"/>
          <w:right w:val="nil"/>
          <w:between w:val="nil"/>
        </w:pBdr>
        <w:spacing w:line="273" w:lineRule="auto"/>
        <w:ind w:left="452" w:right="313"/>
        <w:jc w:val="center"/>
        <w:rPr>
          <w:rFonts w:ascii="Rubik" w:eastAsia="Rubik" w:hAnsi="Rubik" w:cs="Rubik"/>
          <w:b/>
          <w:bCs/>
          <w:sz w:val="40"/>
          <w:szCs w:val="40"/>
        </w:rPr>
      </w:pPr>
      <w:r>
        <w:rPr>
          <w:noProof/>
        </w:rPr>
        <w:drawing>
          <wp:inline distT="0" distB="0" distL="0" distR="0" wp14:anchorId="20825380" wp14:editId="1F2484B6">
            <wp:extent cx="1581150" cy="608135"/>
            <wp:effectExtent l="0" t="0" r="0" b="1905"/>
            <wp:docPr id="207729755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1581150" cy="608135"/>
                    </a:xfrm>
                    <a:prstGeom prst="rect">
                      <a:avLst/>
                    </a:prstGeom>
                    <a:ln/>
                  </pic:spPr>
                </pic:pic>
              </a:graphicData>
            </a:graphic>
          </wp:inline>
        </w:drawing>
      </w:r>
    </w:p>
    <w:p w14:paraId="17CF524F" w14:textId="47F5589E" w:rsidR="0079352E" w:rsidRDefault="60218F71" w:rsidP="60218F71">
      <w:pPr>
        <w:widowControl w:val="0"/>
        <w:pBdr>
          <w:top w:val="nil"/>
          <w:left w:val="nil"/>
          <w:bottom w:val="nil"/>
          <w:right w:val="nil"/>
          <w:between w:val="nil"/>
        </w:pBdr>
        <w:spacing w:line="273" w:lineRule="auto"/>
        <w:ind w:left="452" w:right="313"/>
        <w:jc w:val="center"/>
        <w:rPr>
          <w:rFonts w:ascii="Rubik" w:eastAsia="Rubik" w:hAnsi="Rubik" w:cs="Rubik"/>
          <w:b/>
          <w:bCs/>
          <w:sz w:val="40"/>
          <w:szCs w:val="40"/>
        </w:rPr>
      </w:pPr>
      <w:r w:rsidRPr="60218F71">
        <w:rPr>
          <w:rFonts w:ascii="Rubik" w:eastAsia="Rubik" w:hAnsi="Rubik" w:cs="Rubik"/>
          <w:b/>
          <w:bCs/>
          <w:sz w:val="40"/>
          <w:szCs w:val="40"/>
        </w:rPr>
        <w:t xml:space="preserve">TOUCHSTONE HEALTH SERVICES </w:t>
      </w:r>
    </w:p>
    <w:p w14:paraId="54811044" w14:textId="23D1F00F" w:rsidR="0079352E" w:rsidRDefault="60218F71" w:rsidP="60218F71">
      <w:pPr>
        <w:widowControl w:val="0"/>
        <w:pBdr>
          <w:top w:val="nil"/>
          <w:left w:val="nil"/>
          <w:bottom w:val="nil"/>
          <w:right w:val="nil"/>
          <w:between w:val="nil"/>
        </w:pBdr>
        <w:spacing w:line="273" w:lineRule="auto"/>
        <w:ind w:left="452" w:right="313"/>
        <w:jc w:val="center"/>
      </w:pPr>
      <w:r w:rsidRPr="60218F71">
        <w:rPr>
          <w:rFonts w:ascii="Rubik" w:eastAsia="Rubik" w:hAnsi="Rubik" w:cs="Rubik"/>
          <w:sz w:val="40"/>
          <w:szCs w:val="40"/>
        </w:rPr>
        <w:t>PROFESSIONAL DEVELOPMENT TRAININGS</w:t>
      </w:r>
    </w:p>
    <w:p w14:paraId="7E73CDD5" w14:textId="14C147C7" w:rsidR="0079352E" w:rsidRDefault="0079352E" w:rsidP="60218F71">
      <w:pPr>
        <w:widowControl w:val="0"/>
        <w:pBdr>
          <w:top w:val="nil"/>
          <w:left w:val="nil"/>
          <w:bottom w:val="nil"/>
          <w:right w:val="nil"/>
          <w:between w:val="nil"/>
        </w:pBdr>
        <w:spacing w:line="273" w:lineRule="auto"/>
        <w:ind w:left="6" w:right="313"/>
        <w:rPr>
          <w:rFonts w:ascii="Rubik" w:eastAsia="Rubik" w:hAnsi="Rubik" w:cs="Rubik"/>
          <w:b/>
          <w:bCs/>
          <w:sz w:val="21"/>
          <w:szCs w:val="21"/>
        </w:rPr>
      </w:pPr>
    </w:p>
    <w:p w14:paraId="00000002" w14:textId="353D08C7" w:rsidR="0079352E" w:rsidRDefault="60218F71" w:rsidP="60218F71">
      <w:pPr>
        <w:widowControl w:val="0"/>
        <w:pBdr>
          <w:top w:val="nil"/>
          <w:left w:val="nil"/>
          <w:bottom w:val="nil"/>
          <w:right w:val="nil"/>
          <w:between w:val="nil"/>
        </w:pBdr>
        <w:spacing w:line="273" w:lineRule="auto"/>
        <w:ind w:left="6" w:right="313"/>
        <w:rPr>
          <w:rFonts w:ascii="Rubik" w:eastAsia="Rubik" w:hAnsi="Rubik" w:cs="Rubik"/>
          <w:b/>
          <w:bCs/>
          <w:sz w:val="21"/>
          <w:szCs w:val="21"/>
        </w:rPr>
      </w:pPr>
      <w:r w:rsidRPr="60218F71">
        <w:rPr>
          <w:rFonts w:ascii="Rubik" w:eastAsia="Rubik" w:hAnsi="Rubik" w:cs="Rubik"/>
          <w:b/>
          <w:bCs/>
          <w:sz w:val="21"/>
          <w:szCs w:val="21"/>
        </w:rPr>
        <w:t xml:space="preserve">Anxiety in Youth </w:t>
      </w:r>
    </w:p>
    <w:p w14:paraId="00000003" w14:textId="77777777" w:rsidR="0079352E" w:rsidRDefault="60218F71" w:rsidP="60218F71">
      <w:pPr>
        <w:widowControl w:val="0"/>
        <w:pBdr>
          <w:top w:val="nil"/>
          <w:left w:val="nil"/>
          <w:bottom w:val="nil"/>
          <w:right w:val="nil"/>
          <w:between w:val="nil"/>
        </w:pBdr>
        <w:spacing w:before="13" w:line="245" w:lineRule="auto"/>
        <w:ind w:left="6" w:right="1"/>
        <w:jc w:val="both"/>
        <w:rPr>
          <w:rFonts w:ascii="Rubik" w:eastAsia="Rubik" w:hAnsi="Rubik" w:cs="Rubik"/>
          <w:color w:val="000000"/>
          <w:sz w:val="21"/>
          <w:szCs w:val="21"/>
        </w:rPr>
      </w:pPr>
      <w:r w:rsidRPr="60218F71">
        <w:rPr>
          <w:rFonts w:ascii="Rubik" w:eastAsia="Rubik" w:hAnsi="Rubik" w:cs="Rubik"/>
          <w:color w:val="000000"/>
          <w:sz w:val="21"/>
          <w:szCs w:val="21"/>
        </w:rPr>
        <w:t xml:space="preserve">This </w:t>
      </w:r>
      <w:proofErr w:type="gramStart"/>
      <w:r w:rsidRPr="60218F71">
        <w:rPr>
          <w:rFonts w:ascii="Rubik" w:eastAsia="Rubik" w:hAnsi="Rubik" w:cs="Rubik"/>
          <w:color w:val="000000"/>
          <w:sz w:val="21"/>
          <w:szCs w:val="21"/>
        </w:rPr>
        <w:t>one hour</w:t>
      </w:r>
      <w:proofErr w:type="gramEnd"/>
      <w:r w:rsidRPr="60218F71">
        <w:rPr>
          <w:rFonts w:ascii="Rubik" w:eastAsia="Rubik" w:hAnsi="Rubik" w:cs="Rubik"/>
          <w:color w:val="000000"/>
          <w:sz w:val="21"/>
          <w:szCs w:val="21"/>
        </w:rPr>
        <w:t xml:space="preserve"> training on anxiety covers a variety of symptoms, behaviors, and thought patterns such as cognitive distortions that may affect youth experiencing an anxiety disorder. The training then discusses common anxiety-related concerns that affect youth in school and social settings. Participants will then discuss and learn about strategies to implement in the classroom to help students who experience anxiety, and additional strategies youth can use to help manage symptoms of anxiety. </w:t>
      </w:r>
    </w:p>
    <w:p w14:paraId="00000004" w14:textId="77777777" w:rsidR="0079352E" w:rsidRDefault="006F143B">
      <w:pPr>
        <w:widowControl w:val="0"/>
        <w:pBdr>
          <w:top w:val="nil"/>
          <w:left w:val="nil"/>
          <w:bottom w:val="nil"/>
          <w:right w:val="nil"/>
          <w:between w:val="nil"/>
        </w:pBdr>
        <w:spacing w:before="278" w:line="240" w:lineRule="auto"/>
        <w:ind w:left="13"/>
        <w:rPr>
          <w:rFonts w:ascii="Rubik" w:eastAsia="Rubik" w:hAnsi="Rubik" w:cs="Rubik"/>
          <w:b/>
          <w:bCs/>
          <w:color w:val="000000"/>
          <w:sz w:val="21"/>
          <w:szCs w:val="21"/>
        </w:rPr>
      </w:pPr>
      <w:r>
        <w:rPr>
          <w:rFonts w:ascii="Rubik" w:eastAsia="Rubik" w:hAnsi="Rubik" w:cs="Rubik"/>
          <w:b/>
          <w:bCs/>
          <w:color w:val="000000"/>
          <w:sz w:val="21"/>
          <w:szCs w:val="21"/>
        </w:rPr>
        <w:t xml:space="preserve">Mental Wellness and Self-Care for Teachers </w:t>
      </w:r>
    </w:p>
    <w:p w14:paraId="00000005" w14:textId="77777777" w:rsidR="0079352E" w:rsidRDefault="60218F71" w:rsidP="60218F71">
      <w:pPr>
        <w:widowControl w:val="0"/>
        <w:pBdr>
          <w:top w:val="nil"/>
          <w:left w:val="nil"/>
          <w:bottom w:val="nil"/>
          <w:right w:val="nil"/>
          <w:between w:val="nil"/>
        </w:pBdr>
        <w:spacing w:before="13" w:line="245" w:lineRule="auto"/>
        <w:ind w:left="9"/>
        <w:jc w:val="both"/>
        <w:rPr>
          <w:rFonts w:ascii="Rubik" w:eastAsia="Rubik" w:hAnsi="Rubik" w:cs="Rubik"/>
          <w:color w:val="000000"/>
          <w:sz w:val="21"/>
          <w:szCs w:val="21"/>
        </w:rPr>
      </w:pPr>
      <w:r w:rsidRPr="60218F71">
        <w:rPr>
          <w:rFonts w:ascii="Rubik" w:eastAsia="Rubik" w:hAnsi="Rubik" w:cs="Rubik"/>
          <w:color w:val="000000"/>
          <w:sz w:val="21"/>
          <w:szCs w:val="21"/>
        </w:rPr>
        <w:t xml:space="preserve">This </w:t>
      </w:r>
      <w:proofErr w:type="gramStart"/>
      <w:r w:rsidRPr="60218F71">
        <w:rPr>
          <w:rFonts w:ascii="Rubik" w:eastAsia="Rubik" w:hAnsi="Rubik" w:cs="Rubik"/>
          <w:color w:val="000000"/>
          <w:sz w:val="21"/>
          <w:szCs w:val="21"/>
        </w:rPr>
        <w:t>one hour</w:t>
      </w:r>
      <w:proofErr w:type="gramEnd"/>
      <w:r w:rsidRPr="60218F71">
        <w:rPr>
          <w:rFonts w:ascii="Rubik" w:eastAsia="Rubik" w:hAnsi="Rubik" w:cs="Rubik"/>
          <w:color w:val="000000"/>
          <w:sz w:val="21"/>
          <w:szCs w:val="21"/>
        </w:rPr>
        <w:t xml:space="preserve"> training on teacher mental health and wellness begins with a review of warning signs of anxiety, chronic stress, burnout, and a look into common challenges to mental wellness of teachers. The training then discusses practices to address or prevent mental wellness concerns, self-care and mindfulness strategies, benefits of each, and tips to incorporate self-care and mindfulness into daily life and in the school setting. </w:t>
      </w:r>
    </w:p>
    <w:p w14:paraId="2DC4FC51" w14:textId="1964C9D9" w:rsidR="60218F71" w:rsidRDefault="60218F71" w:rsidP="60218F71">
      <w:pPr>
        <w:widowControl w:val="0"/>
        <w:pBdr>
          <w:top w:val="nil"/>
          <w:left w:val="nil"/>
          <w:bottom w:val="nil"/>
          <w:right w:val="nil"/>
          <w:between w:val="nil"/>
        </w:pBdr>
        <w:spacing w:before="13" w:line="245" w:lineRule="auto"/>
        <w:ind w:left="4"/>
        <w:rPr>
          <w:rFonts w:ascii="Rubik" w:eastAsia="Rubik" w:hAnsi="Rubik" w:cs="Rubik"/>
          <w:color w:val="000000" w:themeColor="text1"/>
          <w:sz w:val="21"/>
          <w:szCs w:val="21"/>
        </w:rPr>
      </w:pPr>
    </w:p>
    <w:p w14:paraId="14A5CF9D" w14:textId="10A69F11" w:rsidR="39E2D604" w:rsidRDefault="39E2D604" w:rsidP="60218F71">
      <w:pPr>
        <w:widowControl w:val="0"/>
        <w:pBdr>
          <w:top w:val="nil"/>
          <w:left w:val="nil"/>
          <w:bottom w:val="nil"/>
          <w:right w:val="nil"/>
          <w:between w:val="nil"/>
        </w:pBdr>
        <w:spacing w:before="13" w:line="245" w:lineRule="auto"/>
        <w:ind w:left="4"/>
        <w:rPr>
          <w:rFonts w:ascii="Rubik" w:eastAsia="Rubik" w:hAnsi="Rubik" w:cs="Rubik"/>
          <w:b/>
          <w:bCs/>
          <w:color w:val="000000" w:themeColor="text1"/>
          <w:sz w:val="21"/>
          <w:szCs w:val="21"/>
        </w:rPr>
      </w:pPr>
      <w:r w:rsidRPr="60218F71">
        <w:rPr>
          <w:rFonts w:ascii="Rubik" w:eastAsia="Rubik" w:hAnsi="Rubik" w:cs="Rubik"/>
          <w:b/>
          <w:bCs/>
          <w:color w:val="000000" w:themeColor="text1"/>
          <w:sz w:val="21"/>
          <w:szCs w:val="21"/>
        </w:rPr>
        <w:t>Social Media, AI</w:t>
      </w:r>
      <w:r w:rsidR="188F3FCA" w:rsidRPr="60218F71">
        <w:rPr>
          <w:rFonts w:ascii="Rubik" w:eastAsia="Rubik" w:hAnsi="Rubik" w:cs="Rubik"/>
          <w:b/>
          <w:bCs/>
          <w:color w:val="000000" w:themeColor="text1"/>
          <w:sz w:val="21"/>
          <w:szCs w:val="21"/>
        </w:rPr>
        <w:t>, and Youth Mental Health</w:t>
      </w:r>
    </w:p>
    <w:p w14:paraId="495852E2" w14:textId="34B35EF0" w:rsidR="0CC897F1" w:rsidRDefault="0CC897F1" w:rsidP="60218F71">
      <w:pPr>
        <w:widowControl w:val="0"/>
        <w:pBdr>
          <w:top w:val="nil"/>
          <w:left w:val="nil"/>
          <w:bottom w:val="nil"/>
          <w:right w:val="nil"/>
          <w:between w:val="nil"/>
        </w:pBdr>
        <w:spacing w:before="13" w:line="245" w:lineRule="auto"/>
        <w:ind w:left="4"/>
      </w:pPr>
      <w:r w:rsidRPr="60218F71">
        <w:rPr>
          <w:rFonts w:ascii="Rubik" w:eastAsia="Rubik" w:hAnsi="Rubik" w:cs="Rubik"/>
          <w:color w:val="000000" w:themeColor="text1"/>
          <w:sz w:val="21"/>
          <w:szCs w:val="21"/>
        </w:rPr>
        <w:t>Youth interact with social media and artificial intelligence more than ever, even when they are not intentionally using AI tools. This training explores how AI-powered feeds, recommendations, targeted content, and generative tools may affect brain development, self-image, attention, emotional well-being, and online behavior. Participants will learn strategies to build rapport with youth, strengthen digital and AI literacy, recognize warning signs, and promote healthier technology habits across school and home settings.</w:t>
      </w:r>
    </w:p>
    <w:p w14:paraId="00000008" w14:textId="77777777" w:rsidR="0079352E" w:rsidRDefault="006F143B">
      <w:pPr>
        <w:widowControl w:val="0"/>
        <w:pBdr>
          <w:top w:val="nil"/>
          <w:left w:val="nil"/>
          <w:bottom w:val="nil"/>
          <w:right w:val="nil"/>
          <w:between w:val="nil"/>
        </w:pBdr>
        <w:spacing w:before="278" w:line="240" w:lineRule="auto"/>
        <w:ind w:left="4"/>
        <w:rPr>
          <w:rFonts w:ascii="Rubik" w:eastAsia="Rubik" w:hAnsi="Rubik" w:cs="Rubik"/>
          <w:b/>
          <w:bCs/>
          <w:color w:val="000000"/>
          <w:sz w:val="21"/>
          <w:szCs w:val="21"/>
        </w:rPr>
      </w:pPr>
      <w:r>
        <w:rPr>
          <w:rFonts w:ascii="Rubik" w:eastAsia="Rubik" w:hAnsi="Rubik" w:cs="Rubik"/>
          <w:b/>
          <w:bCs/>
          <w:color w:val="000000"/>
          <w:sz w:val="21"/>
          <w:szCs w:val="21"/>
        </w:rPr>
        <w:t xml:space="preserve">Supporting Students with Neurodiversity </w:t>
      </w:r>
    </w:p>
    <w:p w14:paraId="00000009" w14:textId="77777777" w:rsidR="0079352E" w:rsidRDefault="60218F71" w:rsidP="60218F71">
      <w:pPr>
        <w:widowControl w:val="0"/>
        <w:pBdr>
          <w:top w:val="nil"/>
          <w:left w:val="nil"/>
          <w:bottom w:val="nil"/>
          <w:right w:val="nil"/>
          <w:between w:val="nil"/>
        </w:pBdr>
        <w:spacing w:before="13" w:line="245" w:lineRule="auto"/>
        <w:ind w:left="6"/>
        <w:jc w:val="both"/>
        <w:rPr>
          <w:rFonts w:ascii="Rubik" w:eastAsia="Rubik" w:hAnsi="Rubik" w:cs="Rubik"/>
          <w:color w:val="000000"/>
          <w:sz w:val="21"/>
          <w:szCs w:val="21"/>
        </w:rPr>
      </w:pPr>
      <w:r w:rsidRPr="60218F71">
        <w:rPr>
          <w:rFonts w:ascii="Rubik" w:eastAsia="Rubik" w:hAnsi="Rubik" w:cs="Rubik"/>
          <w:color w:val="000000"/>
          <w:sz w:val="21"/>
          <w:szCs w:val="21"/>
        </w:rPr>
        <w:t xml:space="preserve">Supporting Students with Neurodiversity explores various aspects of ASD, ADHD, and related </w:t>
      </w:r>
      <w:proofErr w:type="spellStart"/>
      <w:r w:rsidRPr="60218F71">
        <w:rPr>
          <w:rFonts w:ascii="Rubik" w:eastAsia="Rubik" w:hAnsi="Rubik" w:cs="Rubik"/>
          <w:color w:val="000000"/>
          <w:sz w:val="21"/>
          <w:szCs w:val="21"/>
        </w:rPr>
        <w:t>neurodiversities</w:t>
      </w:r>
      <w:proofErr w:type="spellEnd"/>
      <w:r w:rsidRPr="60218F71">
        <w:rPr>
          <w:rFonts w:ascii="Rubik" w:eastAsia="Rubik" w:hAnsi="Rubik" w:cs="Rubik"/>
          <w:color w:val="000000"/>
          <w:sz w:val="21"/>
          <w:szCs w:val="21"/>
        </w:rPr>
        <w:t xml:space="preserve">. Participants will improve their understanding of neurodiversity conditions and symptom presentation, explore gender bias and implications regarding how neurodiverse behaviors present, and learn how neurodiversity impacts executive functioning and emotional regulation. Participants will then review ways to support and encourage neurodiverse students with their executive functioning tasks and improve their emotional regulation abilities while in their classroom. </w:t>
      </w:r>
    </w:p>
    <w:p w14:paraId="0000000A" w14:textId="77777777" w:rsidR="0079352E" w:rsidRDefault="006F143B">
      <w:pPr>
        <w:widowControl w:val="0"/>
        <w:pBdr>
          <w:top w:val="nil"/>
          <w:left w:val="nil"/>
          <w:bottom w:val="nil"/>
          <w:right w:val="nil"/>
          <w:between w:val="nil"/>
        </w:pBdr>
        <w:spacing w:before="278" w:line="240" w:lineRule="auto"/>
        <w:ind w:left="2"/>
        <w:rPr>
          <w:rFonts w:ascii="Rubik" w:eastAsia="Rubik" w:hAnsi="Rubik" w:cs="Rubik"/>
          <w:b/>
          <w:bCs/>
          <w:color w:val="000000"/>
          <w:sz w:val="21"/>
          <w:szCs w:val="21"/>
        </w:rPr>
      </w:pPr>
      <w:r>
        <w:rPr>
          <w:rFonts w:ascii="Rubik" w:eastAsia="Rubik" w:hAnsi="Rubik" w:cs="Rubik"/>
          <w:b/>
          <w:bCs/>
          <w:color w:val="000000"/>
          <w:sz w:val="21"/>
          <w:szCs w:val="21"/>
        </w:rPr>
        <w:t xml:space="preserve">Trauma-Informed Approaches in the Classroom </w:t>
      </w:r>
    </w:p>
    <w:p w14:paraId="0000000B" w14:textId="77777777" w:rsidR="0079352E" w:rsidRDefault="60218F71" w:rsidP="60218F71">
      <w:pPr>
        <w:widowControl w:val="0"/>
        <w:pBdr>
          <w:top w:val="nil"/>
          <w:left w:val="nil"/>
          <w:bottom w:val="nil"/>
          <w:right w:val="nil"/>
          <w:between w:val="nil"/>
        </w:pBdr>
        <w:spacing w:before="13" w:line="245" w:lineRule="auto"/>
        <w:ind w:left="2" w:right="2"/>
        <w:rPr>
          <w:rFonts w:ascii="Rubik" w:eastAsia="Rubik" w:hAnsi="Rubik" w:cs="Rubik"/>
          <w:color w:val="000000"/>
          <w:sz w:val="21"/>
          <w:szCs w:val="21"/>
        </w:rPr>
      </w:pPr>
      <w:r w:rsidRPr="60218F71">
        <w:rPr>
          <w:rFonts w:ascii="Rubik" w:eastAsia="Rubik" w:hAnsi="Rubik" w:cs="Rubik"/>
          <w:color w:val="000000"/>
          <w:sz w:val="21"/>
          <w:szCs w:val="21"/>
        </w:rPr>
        <w:t xml:space="preserve">This hour-long training aims to increase awareness of trauma and its impact on the brain, discusses ideas to transform the classroom to a trauma-informed environment, and looks to identify specific ways to implement resiliency strategies in the classroom. The training dives into such topics as recognizing signs of trauma, re traumatization avoidance, and de-escalation strategies. </w:t>
      </w:r>
    </w:p>
    <w:p w14:paraId="0000000C" w14:textId="77777777" w:rsidR="0079352E" w:rsidRDefault="006F143B">
      <w:pPr>
        <w:widowControl w:val="0"/>
        <w:pBdr>
          <w:top w:val="nil"/>
          <w:left w:val="nil"/>
          <w:bottom w:val="nil"/>
          <w:right w:val="nil"/>
          <w:between w:val="nil"/>
        </w:pBdr>
        <w:spacing w:before="278" w:line="240" w:lineRule="auto"/>
        <w:ind w:left="11"/>
        <w:rPr>
          <w:rFonts w:ascii="Rubik" w:eastAsia="Rubik" w:hAnsi="Rubik" w:cs="Rubik"/>
          <w:b/>
          <w:bCs/>
          <w:color w:val="000000"/>
          <w:sz w:val="21"/>
          <w:szCs w:val="21"/>
        </w:rPr>
      </w:pPr>
      <w:r>
        <w:rPr>
          <w:rFonts w:ascii="Rubik" w:eastAsia="Rubik" w:hAnsi="Rubik" w:cs="Rubik"/>
          <w:b/>
          <w:bCs/>
          <w:color w:val="000000"/>
          <w:sz w:val="21"/>
          <w:szCs w:val="21"/>
        </w:rPr>
        <w:t xml:space="preserve">Understanding Youth Mental Health </w:t>
      </w:r>
    </w:p>
    <w:p w14:paraId="0000000D" w14:textId="77777777" w:rsidR="0079352E" w:rsidRDefault="006F143B">
      <w:pPr>
        <w:widowControl w:val="0"/>
        <w:pBdr>
          <w:top w:val="nil"/>
          <w:left w:val="nil"/>
          <w:bottom w:val="nil"/>
          <w:right w:val="nil"/>
          <w:between w:val="nil"/>
        </w:pBdr>
        <w:spacing w:before="13" w:line="245" w:lineRule="auto"/>
        <w:ind w:left="7" w:hanging="3"/>
        <w:jc w:val="both"/>
        <w:rPr>
          <w:rFonts w:ascii="Rubik" w:eastAsia="Rubik" w:hAnsi="Rubik" w:cs="Rubik"/>
          <w:color w:val="000000"/>
          <w:sz w:val="21"/>
          <w:szCs w:val="21"/>
        </w:rPr>
      </w:pPr>
      <w:r>
        <w:rPr>
          <w:rFonts w:ascii="Rubik" w:eastAsia="Rubik" w:hAnsi="Rubik" w:cs="Rubik"/>
          <w:color w:val="000000"/>
          <w:sz w:val="21"/>
          <w:szCs w:val="21"/>
        </w:rPr>
        <w:t xml:space="preserve">This training helps adults understand what behavioral health is, prevalence rates, and general signs and symptoms of common mental health disorders, particularly in youth. It discusses stigma reduction within the schools, community, and individual families as well as risks and protective factors. </w:t>
      </w:r>
    </w:p>
    <w:p w14:paraId="0000000F" w14:textId="616C0E20" w:rsidR="0079352E" w:rsidRDefault="60218F71" w:rsidP="60218F71">
      <w:pPr>
        <w:widowControl w:val="0"/>
        <w:pBdr>
          <w:top w:val="nil"/>
          <w:left w:val="nil"/>
          <w:bottom w:val="nil"/>
          <w:right w:val="nil"/>
          <w:between w:val="nil"/>
        </w:pBdr>
        <w:spacing w:before="278" w:line="245" w:lineRule="auto"/>
        <w:ind w:left="1164" w:right="1161"/>
        <w:jc w:val="center"/>
        <w:rPr>
          <w:rFonts w:ascii="Rubik" w:eastAsia="Rubik" w:hAnsi="Rubik" w:cs="Rubik"/>
          <w:b/>
          <w:bCs/>
          <w:color w:val="000000"/>
          <w:sz w:val="21"/>
          <w:szCs w:val="21"/>
        </w:rPr>
      </w:pPr>
      <w:r w:rsidRPr="60218F71">
        <w:rPr>
          <w:rFonts w:ascii="Rubik" w:eastAsia="Rubik" w:hAnsi="Rubik" w:cs="Rubik"/>
          <w:b/>
          <w:bCs/>
          <w:color w:val="000000"/>
          <w:sz w:val="21"/>
          <w:szCs w:val="21"/>
        </w:rPr>
        <w:t xml:space="preserve">For more information and to schedule a </w:t>
      </w:r>
      <w:r w:rsidRPr="60218F71">
        <w:rPr>
          <w:rFonts w:ascii="Rubik" w:eastAsia="Rubik" w:hAnsi="Rubik" w:cs="Rubik"/>
          <w:b/>
          <w:bCs/>
          <w:color w:val="000000" w:themeColor="text1"/>
          <w:sz w:val="21"/>
          <w:szCs w:val="21"/>
        </w:rPr>
        <w:t xml:space="preserve">training, please reach out to our Communications team at communications@touchstonebh.org. </w:t>
      </w:r>
    </w:p>
    <w:sectPr w:rsidR="0079352E" w:rsidSect="006F143B">
      <w:pgSz w:w="12240" w:h="15840"/>
      <w:pgMar w:top="720" w:right="1080" w:bottom="1440" w:left="1080"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E33EA370-350E-4832-9895-5A284D131740}"/>
  </w:font>
  <w:font w:name="Rubik">
    <w:charset w:val="00"/>
    <w:family w:val="auto"/>
    <w:pitch w:val="default"/>
    <w:embedRegular r:id="rId2" w:fontKey="{4256E806-A1CC-461E-84F2-6AA03C0CBA48}"/>
    <w:embedBold r:id="rId3" w:fontKey="{0202F81E-33B4-4E42-9537-D768365F2CEE}"/>
  </w:font>
  <w:font w:name="Calibri">
    <w:panose1 w:val="020F0502020204030204"/>
    <w:charset w:val="00"/>
    <w:family w:val="swiss"/>
    <w:pitch w:val="variable"/>
    <w:sig w:usb0="E4002EFF" w:usb1="C200247B" w:usb2="00000009" w:usb3="00000000" w:csb0="000001FF" w:csb1="00000000"/>
    <w:embedRegular r:id="rId4" w:fontKey="{E8CD5C60-9BCD-42E6-BB14-E730661E9CDA}"/>
  </w:font>
  <w:font w:name="Cambria">
    <w:panose1 w:val="02040503050406030204"/>
    <w:charset w:val="00"/>
    <w:family w:val="roman"/>
    <w:pitch w:val="variable"/>
    <w:sig w:usb0="E00006FF" w:usb1="420024FF" w:usb2="02000000" w:usb3="00000000" w:csb0="0000019F" w:csb1="00000000"/>
    <w:embedRegular r:id="rId5" w:fontKey="{EF51E7D3-EBFF-41FD-BCE3-9A742A5659D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52E"/>
    <w:rsid w:val="00014F36"/>
    <w:rsid w:val="006F143B"/>
    <w:rsid w:val="0079352E"/>
    <w:rsid w:val="08239D97"/>
    <w:rsid w:val="0CC897F1"/>
    <w:rsid w:val="188F3FCA"/>
    <w:rsid w:val="24B9F1DA"/>
    <w:rsid w:val="26E1FCDC"/>
    <w:rsid w:val="292103DB"/>
    <w:rsid w:val="31B321CE"/>
    <w:rsid w:val="3684BC49"/>
    <w:rsid w:val="39E2D604"/>
    <w:rsid w:val="3AADCBDD"/>
    <w:rsid w:val="54B8FFA4"/>
    <w:rsid w:val="60218F71"/>
    <w:rsid w:val="6B324E04"/>
    <w:rsid w:val="6C7A5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68B7F"/>
  <w15:docId w15:val="{43D45316-2D0C-4DA3-8C31-EA6C2A802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431</Words>
  <Characters>2709</Characters>
  <Application>Microsoft Office Word</Application>
  <DocSecurity>0</DocSecurity>
  <Lines>42</Lines>
  <Paragraphs>17</Paragraphs>
  <ScaleCrop>false</ScaleCrop>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Webber</dc:creator>
  <cp:lastModifiedBy>Kyle Webber</cp:lastModifiedBy>
  <cp:revision>2</cp:revision>
  <dcterms:created xsi:type="dcterms:W3CDTF">2026-07-16T23:03:00Z</dcterms:created>
  <dcterms:modified xsi:type="dcterms:W3CDTF">2026-07-16T23:03:00Z</dcterms:modified>
</cp:coreProperties>
</file>