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7F2476" w14:textId="4AE767EF" w:rsidR="00F74712" w:rsidRPr="001943B2" w:rsidRDefault="001F5217" w:rsidP="001943B2">
      <w:pPr>
        <w:rPr>
          <w:rFonts w:ascii="Times New Roman" w:hAnsi="Times New Roman" w:cs="Times New Roman"/>
        </w:rPr>
      </w:pPr>
      <w:r>
        <w:rPr>
          <w:noProof/>
        </w:rPr>
        <mc:AlternateContent>
          <mc:Choice Requires="wpg">
            <w:drawing>
              <wp:anchor distT="0" distB="0" distL="114300" distR="114300" simplePos="0" relativeHeight="251667456" behindDoc="0" locked="0" layoutInCell="1" allowOverlap="1" wp14:anchorId="42CC8E0E" wp14:editId="27C2BE91">
                <wp:simplePos x="0" y="0"/>
                <wp:positionH relativeFrom="column">
                  <wp:posOffset>-925852</wp:posOffset>
                </wp:positionH>
                <wp:positionV relativeFrom="paragraph">
                  <wp:posOffset>-1238885</wp:posOffset>
                </wp:positionV>
                <wp:extent cx="8483629" cy="11151989"/>
                <wp:effectExtent l="12700" t="0" r="12700" b="11430"/>
                <wp:wrapNone/>
                <wp:docPr id="1521003895" name="Group 23"/>
                <wp:cNvGraphicFramePr/>
                <a:graphic xmlns:a="http://schemas.openxmlformats.org/drawingml/2006/main">
                  <a:graphicData uri="http://schemas.microsoft.com/office/word/2010/wordprocessingGroup">
                    <wpg:wgp>
                      <wpg:cNvGrpSpPr/>
                      <wpg:grpSpPr>
                        <a:xfrm>
                          <a:off x="0" y="0"/>
                          <a:ext cx="8483629" cy="11151989"/>
                          <a:chOff x="-213503" y="-268986"/>
                          <a:chExt cx="8484792" cy="10953814"/>
                        </a:xfrm>
                      </wpg:grpSpPr>
                      <wps:wsp>
                        <wps:cNvPr id="1402973178" name="Triangle 16"/>
                        <wps:cNvSpPr/>
                        <wps:spPr>
                          <a:xfrm>
                            <a:off x="2642755" y="6120246"/>
                            <a:ext cx="4998615" cy="4564582"/>
                          </a:xfrm>
                          <a:prstGeom prst="triangle">
                            <a:avLst>
                              <a:gd name="adj" fmla="val 50334"/>
                            </a:avLst>
                          </a:prstGeom>
                          <a:gradFill>
                            <a:gsLst>
                              <a:gs pos="6000">
                                <a:schemeClr val="bg1">
                                  <a:lumMod val="85000"/>
                                  <a:alpha val="11000"/>
                                </a:schemeClr>
                              </a:gs>
                              <a:gs pos="100000">
                                <a:schemeClr val="bg1">
                                  <a:lumMod val="95000"/>
                                  <a:alpha val="29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72515651" name="Rectangle 15"/>
                        <wps:cNvSpPr/>
                        <wps:spPr>
                          <a:xfrm>
                            <a:off x="-213474" y="-268986"/>
                            <a:ext cx="8484763" cy="10881970"/>
                          </a:xfrm>
                          <a:prstGeom prst="rect">
                            <a:avLst/>
                          </a:prstGeom>
                          <a:gradFill>
                            <a:gsLst>
                              <a:gs pos="0">
                                <a:schemeClr val="tx1">
                                  <a:alpha val="22000"/>
                                </a:schemeClr>
                              </a:gs>
                              <a:gs pos="100000">
                                <a:schemeClr val="tx1">
                                  <a:alpha val="64000"/>
                                </a:schemeClr>
                              </a:gs>
                            </a:gsLst>
                          </a:gradFill>
                          <a:ln>
                            <a:solidFill>
                              <a:schemeClr val="bg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47121778" name="Straight Connector 17"/>
                        <wps:cNvCnPr/>
                        <wps:spPr>
                          <a:xfrm flipH="1">
                            <a:off x="2246746" y="12700"/>
                            <a:ext cx="5523089" cy="10665332"/>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433690939" name="Straight Connector 18"/>
                        <wps:cNvCnPr/>
                        <wps:spPr>
                          <a:xfrm>
                            <a:off x="5104246" y="5135419"/>
                            <a:ext cx="2665669" cy="4934965"/>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1491343105" name="Triangle 16"/>
                        <wps:cNvSpPr/>
                        <wps:spPr>
                          <a:xfrm>
                            <a:off x="3497119" y="7491846"/>
                            <a:ext cx="3360593" cy="3121143"/>
                          </a:xfrm>
                          <a:prstGeom prst="triangle">
                            <a:avLst/>
                          </a:prstGeom>
                          <a:gradFill>
                            <a:gsLst>
                              <a:gs pos="6000">
                                <a:schemeClr val="bg1">
                                  <a:lumMod val="85000"/>
                                  <a:alpha val="11000"/>
                                </a:schemeClr>
                              </a:gs>
                              <a:gs pos="100000">
                                <a:schemeClr val="bg1">
                                  <a:lumMod val="95000"/>
                                  <a:alpha val="54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41679544" name="Triangle 16"/>
                        <wps:cNvSpPr/>
                        <wps:spPr>
                          <a:xfrm flipV="1">
                            <a:off x="1273464" y="10391"/>
                            <a:ext cx="5957918" cy="5875809"/>
                          </a:xfrm>
                          <a:prstGeom prst="triangle">
                            <a:avLst>
                              <a:gd name="adj" fmla="val 50334"/>
                            </a:avLst>
                          </a:prstGeom>
                          <a:gradFill>
                            <a:gsLst>
                              <a:gs pos="6000">
                                <a:schemeClr val="bg1">
                                  <a:lumMod val="85000"/>
                                  <a:alpha val="11000"/>
                                </a:schemeClr>
                              </a:gs>
                              <a:gs pos="100000">
                                <a:schemeClr val="bg1">
                                  <a:lumMod val="95000"/>
                                  <a:alpha val="29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28685113" name="Straight Connector 19"/>
                        <wps:cNvCnPr/>
                        <wps:spPr>
                          <a:xfrm flipH="1" flipV="1">
                            <a:off x="615369" y="12698"/>
                            <a:ext cx="3620995" cy="6779909"/>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265009982" name="Triangle 16"/>
                        <wps:cNvSpPr/>
                        <wps:spPr>
                          <a:xfrm flipV="1">
                            <a:off x="2086264" y="0"/>
                            <a:ext cx="4297657" cy="4174251"/>
                          </a:xfrm>
                          <a:prstGeom prst="triangle">
                            <a:avLst/>
                          </a:prstGeom>
                          <a:gradFill>
                            <a:gsLst>
                              <a:gs pos="6000">
                                <a:schemeClr val="bg1">
                                  <a:lumMod val="95000"/>
                                  <a:alpha val="18000"/>
                                </a:schemeClr>
                              </a:gs>
                              <a:gs pos="100000">
                                <a:schemeClr val="bg1">
                                  <a:alpha val="42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71816057" name="Triangle 16"/>
                        <wps:cNvSpPr/>
                        <wps:spPr>
                          <a:xfrm rot="5400000" flipV="1">
                            <a:off x="4447143" y="4537366"/>
                            <a:ext cx="5406279" cy="1239289"/>
                          </a:xfrm>
                          <a:prstGeom prst="triangle">
                            <a:avLst/>
                          </a:prstGeom>
                          <a:gradFill>
                            <a:gsLst>
                              <a:gs pos="6000">
                                <a:schemeClr val="bg1">
                                  <a:lumMod val="95000"/>
                                  <a:alpha val="18000"/>
                                </a:schemeClr>
                              </a:gs>
                              <a:gs pos="100000">
                                <a:schemeClr val="bg1">
                                  <a:alpha val="42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89811183" name="Straight Connector 20"/>
                        <wps:cNvCnPr/>
                        <wps:spPr>
                          <a:xfrm flipH="1">
                            <a:off x="-213503" y="7859678"/>
                            <a:ext cx="3903431" cy="471"/>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CF74B07" id="Group 23" o:spid="_x0000_s1026" style="position:absolute;margin-left:-72.9pt;margin-top:-97.55pt;width:668pt;height:878.1pt;z-index:251667456;mso-width-relative:margin;mso-height-relative:margin" coordorigin="-2135,-2689" coordsize="84847,10953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">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Triangle 16" o:spid="_x0000_s1027" type="#_x0000_t5" style="position:absolute;left:26427;top:61202;width:49986;height:4564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" adj="10872" fillcolor="#d8d8d8 [2732]" stroked="f" strokeweight="1pt">
                  <v:fill opacity="19005f" color2="#f2f2f2 [3052]" o:opacity2="7208f" rotate="t" colors="0 #d9d9d9;3932f #d9d9d9" focus="100%" type="gradient">
                    <o:fill v:ext="view" type="gradientUnscaled"/>
                  </v:fill>
                </v:shape>
                <v:rect id="Rectangle 15" o:spid="_x0000_s1028" style="position:absolute;left:-2134;top:-2689;width:84846;height:10881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" fillcolor="black [3213]" strokecolor="white [3212]" strokeweight="1pt">
                  <v:fill opacity="14417f" color2="black [3213]" o:opacity2="41943f" rotate="t" focus="100%" type="gradient">
                    <o:fill v:ext="view" type="gradientUnscaled"/>
                  </v:fill>
                </v:rect>
                <v:line id="Straight Connector 17" o:spid="_x0000_s1029" style="position:absolute;flip:x;visibility:visible;mso-wrap-style:square" from="22467,127" to="77698,10678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" strokecolor="white [3212]" strokeweight="1.5pt">
                  <v:stroke joinstyle="miter"/>
                </v:line>
                <v:line id="Straight Connector 18" o:spid="_x0000_s1030" style="position:absolute;visibility:visible;mso-wrap-style:square" from="51042,51354" to="77699,10070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" strokecolor="white [3212]" strokeweight="1.5pt">
                  <v:stroke joinstyle="miter"/>
                </v:line>
                <v:shape id="Triangle 16" o:spid="_x0000_s1031" type="#_x0000_t5" style="position:absolute;left:34971;top:74918;width:33606;height:3121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" fillcolor="#d8d8d8 [2732]" stroked="f" strokeweight="1pt">
                  <v:fill opacity="35389f" color2="#f2f2f2 [3052]" o:opacity2="7208f" rotate="t" colors="0 #d9d9d9;3932f #d9d9d9" focus="100%" type="gradient">
                    <o:fill v:ext="view" type="gradientUnscaled"/>
                  </v:fill>
                </v:shape>
                <v:shape id="Triangle 16" o:spid="_x0000_s1032" type="#_x0000_t5" style="position:absolute;left:12734;top:103;width:59579;height:58759;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" adj="10872" fillcolor="#d8d8d8 [2732]" stroked="f" strokeweight="1pt">
                  <v:fill opacity="19005f" color2="#f2f2f2 [3052]" o:opacity2="7208f" rotate="t" colors="0 #d9d9d9;3932f #d9d9d9" focus="100%" type="gradient">
                    <o:fill v:ext="view" type="gradientUnscaled"/>
                  </v:fill>
                </v:shape>
                <v:line id="Straight Connector 19" o:spid="_x0000_s1033" style="position:absolute;flip:x y;visibility:visible;mso-wrap-style:square" from="6153,126" to="42363,6792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" strokecolor="white [3212]" strokeweight="1.5pt">
                  <v:stroke joinstyle="miter"/>
                </v:line>
                <v:shape id="Triangle 16" o:spid="_x0000_s1034" type="#_x0000_t5" style="position:absolute;left:20862;width:42977;height:41742;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" fillcolor="#f2f2f2 [3052]" stroked="f" strokeweight="1pt">
                  <v:fill opacity="27525f" color2="white [3212]" o:opacity2="11796f" rotate="t" colors="0 #f2f2f2;3932f #f2f2f2" focus="100%" type="gradient">
                    <o:fill v:ext="view" type="gradientUnscaled"/>
                  </v:fill>
                </v:shape>
                <v:shape id="Triangle 16" o:spid="_x0000_s1035" type="#_x0000_t5" style="position:absolute;left:44471;top:45373;width:54063;height:12393;rotation:-90;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" fillcolor="#f2f2f2 [3052]" stroked="f" strokeweight="1pt">
                  <v:fill opacity="27525f" color2="white [3212]" o:opacity2="11796f" rotate="t" colors="0 #f2f2f2;3932f #f2f2f2" focus="100%" type="gradient">
                    <o:fill v:ext="view" type="gradientUnscaled"/>
                  </v:fill>
                </v:shape>
                <v:line id="Straight Connector 20" o:spid="_x0000_s1036" style="position:absolute;flip:x;visibility:visible;mso-wrap-style:square" from="-2135,78596" to="36899,78601"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" strokecolor="white [3212]" strokeweight="1.5pt">
                  <v:stroke joinstyle="miter"/>
                </v:line>
              </v:group>
            </w:pict>
          </mc:Fallback>
        </mc:AlternateContent>
      </w:r>
      <w:r w:rsidRPr="001F5217">
        <w:rPr>
          <w:rFonts w:ascii="Times New Roman" w:hAnsi="Times New Roman" w:cs="Times New Roman"/>
          <w:noProof/>
        </w:rPr>
        <w:drawing>
          <wp:anchor distT="0" distB="0" distL="114300" distR="114300" simplePos="0" relativeHeight="251665408" behindDoc="1" locked="0" layoutInCell="1" allowOverlap="1" wp14:anchorId="5BA708A1" wp14:editId="31F086E7">
            <wp:simplePos x="0" y="0"/>
            <wp:positionH relativeFrom="column">
              <wp:posOffset>-924910</wp:posOffset>
            </wp:positionH>
            <wp:positionV relativeFrom="paragraph">
              <wp:posOffset>-924910</wp:posOffset>
            </wp:positionV>
            <wp:extent cx="7567448" cy="10863604"/>
            <wp:effectExtent l="0" t="0" r="1905" b="0"/>
            <wp:wrapNone/>
            <wp:docPr id="20068608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6860877" name=""/>
                    <pic:cNvPicPr/>
                  </pic:nvPicPr>
                  <pic:blipFill rotWithShape="1">
                    <a:blip r:embed="rId7">
                      <a:extLst>
                        <a:ext uri="{28A0092B-C50C-407E-A947-70E740481C1C}">
                          <a14:useLocalDpi xmlns:a14="http://schemas.microsoft.com/office/drawing/2010/main" val="0"/>
                        </a:ext>
                      </a:extLst>
                    </a:blip>
                    <a:srcRect l="-1" r="-53" b="4244"/>
                    <a:stretch>
                      <a:fillRect/>
                    </a:stretch>
                  </pic:blipFill>
                  <pic:spPr bwMode="auto">
                    <a:xfrm>
                      <a:off x="0" y="0"/>
                      <a:ext cx="7591738" cy="108984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C033CD3" w14:textId="3BEE1F0D" w:rsidR="001F5217" w:rsidRPr="0041414C" w:rsidRDefault="00127080" w:rsidP="001F5217">
      <w:r>
        <w:rPr>
          <w:noProof/>
        </w:rPr>
        <mc:AlternateContent>
          <mc:Choice Requires="wps">
            <w:drawing>
              <wp:anchor distT="0" distB="0" distL="114300" distR="114300" simplePos="0" relativeHeight="251668480" behindDoc="0" locked="0" layoutInCell="1" allowOverlap="1" wp14:anchorId="2F6031F3" wp14:editId="30A534CE">
                <wp:simplePos x="0" y="0"/>
                <wp:positionH relativeFrom="column">
                  <wp:posOffset>-777240</wp:posOffset>
                </wp:positionH>
                <wp:positionV relativeFrom="paragraph">
                  <wp:posOffset>4963645</wp:posOffset>
                </wp:positionV>
                <wp:extent cx="3688715" cy="1859915"/>
                <wp:effectExtent l="0" t="0" r="0" b="0"/>
                <wp:wrapNone/>
                <wp:docPr id="1263893123" name="Text Box 27"/>
                <wp:cNvGraphicFramePr/>
                <a:graphic xmlns:a="http://schemas.openxmlformats.org/drawingml/2006/main">
                  <a:graphicData uri="http://schemas.microsoft.com/office/word/2010/wordprocessingShape">
                    <wps:wsp>
                      <wps:cNvSpPr txBox="1"/>
                      <wps:spPr>
                        <a:xfrm>
                          <a:off x="0" y="0"/>
                          <a:ext cx="3688715" cy="1859915"/>
                        </a:xfrm>
                        <a:prstGeom prst="rect">
                          <a:avLst/>
                        </a:prstGeom>
                        <a:noFill/>
                        <a:ln w="6350">
                          <a:noFill/>
                        </a:ln>
                      </wps:spPr>
                      <wps:txbx>
                        <w:txbxContent>
                          <w:p w14:paraId="676B4519" w14:textId="41884343" w:rsidR="001943B2" w:rsidRPr="001F5217" w:rsidRDefault="001943B2" w:rsidP="00127080">
                            <w:pPr>
                              <w:pStyle w:val="Title"/>
                              <w:spacing w:line="360" w:lineRule="auto"/>
                              <w:rPr>
                                <w:rFonts w:ascii="Times New Roman" w:hAnsi="Times New Roman" w:cs="Times New Roman"/>
                                <w:color w:val="FFFFFF" w:themeColor="background1"/>
                              </w:rPr>
                            </w:pPr>
                            <w:r w:rsidRPr="001F5217">
                              <w:rPr>
                                <w:rFonts w:ascii="Times New Roman" w:hAnsi="Times New Roman" w:cs="Times New Roman"/>
                                <w:color w:val="FFFFFF" w:themeColor="background1"/>
                              </w:rPr>
                              <w:t>Strangers to the Soil?</w:t>
                            </w:r>
                          </w:p>
                          <w:p w14:paraId="7335B4C3" w14:textId="607A9906" w:rsidR="001943B2" w:rsidRPr="001943B2" w:rsidRDefault="001943B2" w:rsidP="001943B2">
                            <w:pPr>
                              <w:rPr>
                                <w:rFonts w:ascii="Times New Roman" w:hAnsi="Times New Roman" w:cs="Times New Roman"/>
                                <w:color w:val="FFFFFF" w:themeColor="background1"/>
                                <w:sz w:val="36"/>
                                <w:szCs w:val="36"/>
                              </w:rPr>
                            </w:pPr>
                            <w:r w:rsidRPr="001943B2">
                              <w:rPr>
                                <w:rFonts w:ascii="Times New Roman" w:hAnsi="Times New Roman" w:cs="Times New Roman"/>
                                <w:color w:val="FFFFFF" w:themeColor="background1"/>
                                <w:sz w:val="36"/>
                                <w:szCs w:val="36"/>
                              </w:rPr>
                              <w:t xml:space="preserve">Reimagining Constitutional Community and Indigenous Belonging in </w:t>
                            </w:r>
                            <w:r w:rsidRPr="001943B2">
                              <w:rPr>
                                <w:rFonts w:ascii="Times New Roman" w:hAnsi="Times New Roman" w:cs="Times New Roman"/>
                                <w:i/>
                                <w:iCs/>
                                <w:color w:val="FFFFFF" w:themeColor="background1"/>
                                <w:sz w:val="36"/>
                                <w:szCs w:val="36"/>
                              </w:rPr>
                              <w:t>Love v Commonwealth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F6031F3" id="_x0000_t202" coordsize="21600,21600" o:spt="202" path="m,l,21600r21600,l21600,xe">
                <v:stroke joinstyle="miter"/>
                <v:path gradientshapeok="t" o:connecttype="rect"/>
              </v:shapetype>
              <v:shape id="Text Box 27" o:spid="_x0000_s1026" type="#_x0000_t202" style="position:absolute;margin-left:-61.2pt;margin-top:390.85pt;width:290.45pt;height:146.4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" filled="f" stroked="f" strokeweight=".5pt">
                <v:textbox>
                  <w:txbxContent>
                    <w:p w14:paraId="676B4519" w14:textId="41884343" w:rsidR="001943B2" w:rsidRPr="001F5217" w:rsidRDefault="001943B2" w:rsidP="00127080">
                      <w:pPr>
                        <w:pStyle w:val="Title"/>
                        <w:spacing w:line="360" w:lineRule="auto"/>
                        <w:rPr>
                          <w:rFonts w:ascii="Times New Roman" w:hAnsi="Times New Roman" w:cs="Times New Roman"/>
                          <w:color w:val="FFFFFF" w:themeColor="background1"/>
                        </w:rPr>
                      </w:pPr>
                      <w:r w:rsidRPr="001F5217">
                        <w:rPr>
                          <w:rFonts w:ascii="Times New Roman" w:hAnsi="Times New Roman" w:cs="Times New Roman"/>
                          <w:color w:val="FFFFFF" w:themeColor="background1"/>
                        </w:rPr>
                        <w:t>Strangers to the Soil?</w:t>
                      </w:r>
                    </w:p>
                    <w:p w14:paraId="7335B4C3" w14:textId="607A9906" w:rsidR="001943B2" w:rsidRPr="001943B2" w:rsidRDefault="001943B2" w:rsidP="001943B2">
                      <w:pPr>
                        <w:rPr>
                          <w:rFonts w:ascii="Times New Roman" w:hAnsi="Times New Roman" w:cs="Times New Roman"/>
                          <w:color w:val="FFFFFF" w:themeColor="background1"/>
                          <w:sz w:val="36"/>
                          <w:szCs w:val="36"/>
                        </w:rPr>
                      </w:pPr>
                      <w:r w:rsidRPr="001943B2">
                        <w:rPr>
                          <w:rFonts w:ascii="Times New Roman" w:hAnsi="Times New Roman" w:cs="Times New Roman"/>
                          <w:color w:val="FFFFFF" w:themeColor="background1"/>
                          <w:sz w:val="36"/>
                          <w:szCs w:val="36"/>
                        </w:rPr>
                        <w:t xml:space="preserve">Reimagining Constitutional Community and Indigenous Belonging in </w:t>
                      </w:r>
                      <w:r w:rsidRPr="001943B2">
                        <w:rPr>
                          <w:rFonts w:ascii="Times New Roman" w:hAnsi="Times New Roman" w:cs="Times New Roman"/>
                          <w:i/>
                          <w:iCs/>
                          <w:color w:val="FFFFFF" w:themeColor="background1"/>
                          <w:sz w:val="36"/>
                          <w:szCs w:val="36"/>
                        </w:rPr>
                        <w:t>Love v Commonwealth</w:t>
                      </w:r>
                    </w:p>
                  </w:txbxContent>
                </v:textbox>
              </v:shape>
            </w:pict>
          </mc:Fallback>
        </mc:AlternateContent>
      </w:r>
      <w:r w:rsidR="001F5217">
        <w:rPr>
          <w:noProof/>
        </w:rPr>
        <mc:AlternateContent>
          <mc:Choice Requires="wps">
            <w:drawing>
              <wp:anchor distT="0" distB="0" distL="114300" distR="114300" simplePos="0" relativeHeight="251669504" behindDoc="0" locked="0" layoutInCell="1" allowOverlap="1" wp14:anchorId="6AAAE5C5" wp14:editId="61EEDFBB">
                <wp:simplePos x="0" y="0"/>
                <wp:positionH relativeFrom="column">
                  <wp:posOffset>-777240</wp:posOffset>
                </wp:positionH>
                <wp:positionV relativeFrom="paragraph">
                  <wp:posOffset>6850183</wp:posOffset>
                </wp:positionV>
                <wp:extent cx="2433955" cy="759460"/>
                <wp:effectExtent l="0" t="0" r="0" b="0"/>
                <wp:wrapNone/>
                <wp:docPr id="1296982619" name="Text Box 21"/>
                <wp:cNvGraphicFramePr/>
                <a:graphic xmlns:a="http://schemas.openxmlformats.org/drawingml/2006/main">
                  <a:graphicData uri="http://schemas.microsoft.com/office/word/2010/wordprocessingShape">
                    <wps:wsp>
                      <wps:cNvSpPr txBox="1"/>
                      <wps:spPr>
                        <a:xfrm>
                          <a:off x="0" y="0"/>
                          <a:ext cx="2433955" cy="759460"/>
                        </a:xfrm>
                        <a:prstGeom prst="rect">
                          <a:avLst/>
                        </a:prstGeom>
                        <a:noFill/>
                        <a:ln w="6350">
                          <a:noFill/>
                        </a:ln>
                      </wps:spPr>
                      <wps:txbx>
                        <w:txbxContent>
                          <w:p w14:paraId="329FF157" w14:textId="58E49A48" w:rsidR="001943B2" w:rsidRPr="001F5217" w:rsidRDefault="001943B2" w:rsidP="001943B2">
                            <w:pPr>
                              <w:rPr>
                                <w:rFonts w:ascii="Times New Roman" w:hAnsi="Times New Roman" w:cs="Times New Roman"/>
                                <w:color w:val="FFFFFF" w:themeColor="background1"/>
                                <w:sz w:val="28"/>
                                <w:szCs w:val="28"/>
                              </w:rPr>
                            </w:pPr>
                            <w:r w:rsidRPr="001F5217">
                              <w:rPr>
                                <w:rFonts w:ascii="Times New Roman" w:hAnsi="Times New Roman" w:cs="Times New Roman"/>
                                <w:color w:val="FFFFFF" w:themeColor="background1"/>
                                <w:sz w:val="36"/>
                                <w:szCs w:val="36"/>
                              </w:rPr>
                              <w:t>By Tara Bush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AAAE5C5" id="Text Box 21" o:spid="_x0000_s1027" type="#_x0000_t202" style="position:absolute;margin-left:-61.2pt;margin-top:539.4pt;width:191.65pt;height:59.8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" filled="f" stroked="f" strokeweight=".5pt">
                <v:textbox>
                  <w:txbxContent>
                    <w:p w14:paraId="329FF157" w14:textId="58E49A48" w:rsidR="001943B2" w:rsidRPr="001F5217" w:rsidRDefault="001943B2" w:rsidP="001943B2">
                      <w:pPr>
                        <w:rPr>
                          <w:rFonts w:ascii="Times New Roman" w:hAnsi="Times New Roman" w:cs="Times New Roman"/>
                          <w:color w:val="FFFFFF" w:themeColor="background1"/>
                          <w:sz w:val="28"/>
                          <w:szCs w:val="28"/>
                        </w:rPr>
                      </w:pPr>
                      <w:r w:rsidRPr="001F5217">
                        <w:rPr>
                          <w:rFonts w:ascii="Times New Roman" w:hAnsi="Times New Roman" w:cs="Times New Roman"/>
                          <w:color w:val="FFFFFF" w:themeColor="background1"/>
                          <w:sz w:val="36"/>
                          <w:szCs w:val="36"/>
                        </w:rPr>
                        <w:t>By Tara Bush</w:t>
                      </w:r>
                    </w:p>
                  </w:txbxContent>
                </v:textbox>
              </v:shape>
            </w:pict>
          </mc:Fallback>
        </mc:AlternateContent>
      </w:r>
      <w:r w:rsidR="001943B2">
        <w:rPr>
          <w:rFonts w:ascii="Times New Roman" w:hAnsi="Times New Roman" w:cs="Times New Roman"/>
        </w:rPr>
        <w:br w:type="page"/>
      </w:r>
    </w:p>
    <w:p w14:paraId="56DDA8B2" w14:textId="4A228174" w:rsidR="00095443" w:rsidRPr="001943B2" w:rsidRDefault="00095443" w:rsidP="001943B2">
      <w:pPr>
        <w:spacing w:line="360" w:lineRule="auto"/>
        <w:rPr>
          <w:rFonts w:ascii="Times New Roman" w:hAnsi="Times New Roman" w:cs="Times New Roman"/>
        </w:rPr>
      </w:pPr>
      <w:r w:rsidRPr="001943B2">
        <w:rPr>
          <w:rFonts w:ascii="Times New Roman" w:hAnsi="Times New Roman" w:cs="Times New Roman"/>
        </w:rPr>
        <w:lastRenderedPageBreak/>
        <w:t xml:space="preserve">In the High Court decision of </w:t>
      </w:r>
      <w:r w:rsidRPr="001943B2">
        <w:rPr>
          <w:rFonts w:ascii="Times New Roman" w:hAnsi="Times New Roman" w:cs="Times New Roman"/>
          <w:i/>
          <w:iCs/>
        </w:rPr>
        <w:t>Love v Commonwealth</w:t>
      </w:r>
      <w:r w:rsidR="00E55D8D" w:rsidRPr="001943B2">
        <w:rPr>
          <w:rFonts w:ascii="Times New Roman" w:hAnsi="Times New Roman" w:cs="Times New Roman"/>
          <w:i/>
          <w:iCs/>
        </w:rPr>
        <w:t xml:space="preserve"> </w:t>
      </w:r>
      <w:r w:rsidR="008C3545" w:rsidRPr="001943B2">
        <w:rPr>
          <w:rFonts w:ascii="Times New Roman" w:hAnsi="Times New Roman" w:cs="Times New Roman"/>
        </w:rPr>
        <w:t>the predominant</w:t>
      </w:r>
      <w:r w:rsidRPr="001943B2">
        <w:rPr>
          <w:rFonts w:ascii="Times New Roman" w:hAnsi="Times New Roman" w:cs="Times New Roman"/>
        </w:rPr>
        <w:t xml:space="preserve"> question in issue was whether the plaintiff</w:t>
      </w:r>
      <w:r w:rsidR="00CF00FE" w:rsidRPr="001943B2">
        <w:rPr>
          <w:rFonts w:ascii="Times New Roman" w:hAnsi="Times New Roman" w:cs="Times New Roman"/>
        </w:rPr>
        <w:t>s were ‘</w:t>
      </w:r>
      <w:r w:rsidRPr="001943B2">
        <w:rPr>
          <w:rFonts w:ascii="Times New Roman" w:hAnsi="Times New Roman" w:cs="Times New Roman"/>
        </w:rPr>
        <w:t>alien</w:t>
      </w:r>
      <w:r w:rsidR="00CF00FE" w:rsidRPr="001943B2">
        <w:rPr>
          <w:rFonts w:ascii="Times New Roman" w:hAnsi="Times New Roman" w:cs="Times New Roman"/>
        </w:rPr>
        <w:t>s</w:t>
      </w:r>
      <w:r w:rsidRPr="001943B2">
        <w:rPr>
          <w:rFonts w:ascii="Times New Roman" w:hAnsi="Times New Roman" w:cs="Times New Roman"/>
        </w:rPr>
        <w:t xml:space="preserve">’ within s 51(xix) of the </w:t>
      </w:r>
      <w:r w:rsidRPr="001943B2">
        <w:rPr>
          <w:rFonts w:ascii="Times New Roman" w:hAnsi="Times New Roman" w:cs="Times New Roman"/>
          <w:i/>
          <w:iCs/>
        </w:rPr>
        <w:t>Australian Constitution</w:t>
      </w:r>
      <w:r w:rsidRPr="001943B2">
        <w:rPr>
          <w:rFonts w:ascii="Times New Roman" w:hAnsi="Times New Roman" w:cs="Times New Roman"/>
        </w:rPr>
        <w:t>.</w:t>
      </w:r>
      <w:r w:rsidRPr="001943B2">
        <w:rPr>
          <w:rStyle w:val="FootnoteReference"/>
          <w:rFonts w:ascii="Times New Roman" w:hAnsi="Times New Roman" w:cs="Times New Roman"/>
        </w:rPr>
        <w:footnoteReference w:id="1"/>
      </w:r>
      <w:r w:rsidRPr="001943B2">
        <w:rPr>
          <w:rFonts w:ascii="Times New Roman" w:hAnsi="Times New Roman" w:cs="Times New Roman"/>
        </w:rPr>
        <w:t xml:space="preserve"> Both plaintiffs were males born overseas, one in Papua New Guinea and the other in New Zealand, who held long term residence visas in Australia.</w:t>
      </w:r>
      <w:r w:rsidRPr="001943B2">
        <w:rPr>
          <w:rStyle w:val="FootnoteReference"/>
          <w:rFonts w:ascii="Times New Roman" w:hAnsi="Times New Roman" w:cs="Times New Roman"/>
        </w:rPr>
        <w:footnoteReference w:id="2"/>
      </w:r>
      <w:r w:rsidRPr="001943B2">
        <w:rPr>
          <w:rFonts w:ascii="Times New Roman" w:hAnsi="Times New Roman" w:cs="Times New Roman"/>
        </w:rPr>
        <w:t xml:space="preserve"> Love and Thoms both had a parent with Indigenous heritage and never applied for citizenship under the </w:t>
      </w:r>
      <w:r w:rsidRPr="001943B2">
        <w:rPr>
          <w:rFonts w:ascii="Times New Roman" w:hAnsi="Times New Roman" w:cs="Times New Roman"/>
          <w:i/>
          <w:iCs/>
        </w:rPr>
        <w:t>Australian Citizenship Act 2007</w:t>
      </w:r>
      <w:r w:rsidRPr="001943B2">
        <w:rPr>
          <w:rFonts w:ascii="Times New Roman" w:hAnsi="Times New Roman" w:cs="Times New Roman"/>
        </w:rPr>
        <w:t xml:space="preserve"> (</w:t>
      </w:r>
      <w:proofErr w:type="spellStart"/>
      <w:r w:rsidRPr="001943B2">
        <w:rPr>
          <w:rFonts w:ascii="Times New Roman" w:hAnsi="Times New Roman" w:cs="Times New Roman"/>
        </w:rPr>
        <w:t>Cth</w:t>
      </w:r>
      <w:proofErr w:type="spellEnd"/>
      <w:r w:rsidRPr="001943B2">
        <w:rPr>
          <w:rFonts w:ascii="Times New Roman" w:hAnsi="Times New Roman" w:cs="Times New Roman"/>
        </w:rPr>
        <w:t>), even though they had the right to do so.</w:t>
      </w:r>
      <w:r w:rsidRPr="001943B2">
        <w:rPr>
          <w:rStyle w:val="FootnoteReference"/>
          <w:rFonts w:ascii="Times New Roman" w:hAnsi="Times New Roman" w:cs="Times New Roman"/>
        </w:rPr>
        <w:footnoteReference w:id="3"/>
      </w:r>
      <w:r w:rsidRPr="001943B2">
        <w:rPr>
          <w:rFonts w:ascii="Times New Roman" w:hAnsi="Times New Roman" w:cs="Times New Roman"/>
        </w:rPr>
        <w:t xml:space="preserve"> Additionally, both men had been convicted of a sentence of imprisonment of 12 months or more, triggering a mandatory cancellation of their visas</w:t>
      </w:r>
      <w:r w:rsidR="00CF00FE" w:rsidRPr="001943B2">
        <w:rPr>
          <w:rFonts w:ascii="Times New Roman" w:hAnsi="Times New Roman" w:cs="Times New Roman"/>
        </w:rPr>
        <w:t>. T</w:t>
      </w:r>
      <w:r w:rsidRPr="001943B2">
        <w:rPr>
          <w:rFonts w:ascii="Times New Roman" w:hAnsi="Times New Roman" w:cs="Times New Roman"/>
        </w:rPr>
        <w:t>he Minister for Home Affairs</w:t>
      </w:r>
      <w:r w:rsidR="00CF00FE" w:rsidRPr="001943B2">
        <w:rPr>
          <w:rFonts w:ascii="Times New Roman" w:hAnsi="Times New Roman" w:cs="Times New Roman"/>
        </w:rPr>
        <w:t xml:space="preserve"> did</w:t>
      </w:r>
      <w:r w:rsidRPr="001943B2">
        <w:rPr>
          <w:rFonts w:ascii="Times New Roman" w:hAnsi="Times New Roman" w:cs="Times New Roman"/>
        </w:rPr>
        <w:t xml:space="preserve"> not </w:t>
      </w:r>
      <w:r w:rsidR="00CF00FE" w:rsidRPr="001943B2">
        <w:rPr>
          <w:rFonts w:ascii="Times New Roman" w:hAnsi="Times New Roman" w:cs="Times New Roman"/>
        </w:rPr>
        <w:t>exercise</w:t>
      </w:r>
      <w:r w:rsidRPr="001943B2">
        <w:rPr>
          <w:rFonts w:ascii="Times New Roman" w:hAnsi="Times New Roman" w:cs="Times New Roman"/>
        </w:rPr>
        <w:t xml:space="preserve"> their discretion to revoke the deportation order.</w:t>
      </w:r>
      <w:r w:rsidRPr="001943B2">
        <w:rPr>
          <w:rStyle w:val="FootnoteReference"/>
          <w:rFonts w:ascii="Times New Roman" w:hAnsi="Times New Roman" w:cs="Times New Roman"/>
        </w:rPr>
        <w:footnoteReference w:id="4"/>
      </w:r>
      <w:r w:rsidRPr="001943B2">
        <w:rPr>
          <w:rFonts w:ascii="Times New Roman" w:hAnsi="Times New Roman" w:cs="Times New Roman"/>
        </w:rPr>
        <w:t xml:space="preserve"> </w:t>
      </w:r>
      <w:r w:rsidR="00666514" w:rsidRPr="001943B2">
        <w:rPr>
          <w:rFonts w:ascii="Times New Roman" w:hAnsi="Times New Roman" w:cs="Times New Roman"/>
        </w:rPr>
        <w:t>Love identified as a member of the Kamilaroi group and Thoms identified as a descendant of the Gunggari People.</w:t>
      </w:r>
      <w:r w:rsidR="00666514" w:rsidRPr="001943B2">
        <w:rPr>
          <w:rStyle w:val="FootnoteReference"/>
          <w:rFonts w:ascii="Times New Roman" w:hAnsi="Times New Roman" w:cs="Times New Roman"/>
        </w:rPr>
        <w:footnoteReference w:id="5"/>
      </w:r>
      <w:r w:rsidR="00666514" w:rsidRPr="001943B2">
        <w:rPr>
          <w:rFonts w:ascii="Times New Roman" w:hAnsi="Times New Roman" w:cs="Times New Roman"/>
        </w:rPr>
        <w:t xml:space="preserve"> </w:t>
      </w:r>
      <w:r w:rsidRPr="001943B2">
        <w:rPr>
          <w:rFonts w:ascii="Times New Roman" w:hAnsi="Times New Roman" w:cs="Times New Roman"/>
        </w:rPr>
        <w:t xml:space="preserve">Four of the justices developed new legal jurisprudence as they forged a path for systemic coherence wherein the </w:t>
      </w:r>
      <w:r w:rsidRPr="001943B2">
        <w:rPr>
          <w:rFonts w:ascii="Times New Roman" w:hAnsi="Times New Roman" w:cs="Times New Roman"/>
          <w:i/>
          <w:iCs/>
        </w:rPr>
        <w:t>Constitution</w:t>
      </w:r>
      <w:r w:rsidRPr="001943B2">
        <w:rPr>
          <w:rFonts w:ascii="Times New Roman" w:hAnsi="Times New Roman" w:cs="Times New Roman"/>
        </w:rPr>
        <w:t xml:space="preserve"> cannot recognise Aboriginal societies as having </w:t>
      </w:r>
      <w:r w:rsidR="00CF00FE" w:rsidRPr="001943B2">
        <w:rPr>
          <w:rFonts w:ascii="Times New Roman" w:hAnsi="Times New Roman" w:cs="Times New Roman"/>
        </w:rPr>
        <w:t>a</w:t>
      </w:r>
      <w:r w:rsidRPr="001943B2">
        <w:rPr>
          <w:rFonts w:ascii="Times New Roman" w:hAnsi="Times New Roman" w:cs="Times New Roman"/>
        </w:rPr>
        <w:t xml:space="preserve"> connection to Australia independent of, and predating the </w:t>
      </w:r>
      <w:r w:rsidRPr="001943B2">
        <w:rPr>
          <w:rFonts w:ascii="Times New Roman" w:hAnsi="Times New Roman" w:cs="Times New Roman"/>
          <w:i/>
          <w:iCs/>
        </w:rPr>
        <w:t>Constitution</w:t>
      </w:r>
      <w:r w:rsidRPr="001943B2">
        <w:rPr>
          <w:rFonts w:ascii="Times New Roman" w:hAnsi="Times New Roman" w:cs="Times New Roman"/>
        </w:rPr>
        <w:t xml:space="preserve"> and Federation, as well as allowing Indigenous Peoples to be ‘foreigners’.</w:t>
      </w:r>
    </w:p>
    <w:p w14:paraId="1EE519B6" w14:textId="60B1DBB7" w:rsidR="00F74712" w:rsidRPr="001943B2" w:rsidRDefault="00F74712" w:rsidP="001943B2">
      <w:pPr>
        <w:pStyle w:val="Heading1"/>
        <w:spacing w:line="360" w:lineRule="auto"/>
        <w:rPr>
          <w:rFonts w:ascii="Times New Roman" w:hAnsi="Times New Roman" w:cs="Times New Roman"/>
        </w:rPr>
      </w:pPr>
      <w:r w:rsidRPr="001943B2">
        <w:rPr>
          <w:rFonts w:ascii="Times New Roman" w:hAnsi="Times New Roman" w:cs="Times New Roman"/>
        </w:rPr>
        <w:t>Constitutional Interpretation</w:t>
      </w:r>
    </w:p>
    <w:p w14:paraId="6576DFD3" w14:textId="5D747284" w:rsidR="00745679" w:rsidRPr="001943B2" w:rsidRDefault="00745679" w:rsidP="001943B2">
      <w:pPr>
        <w:spacing w:line="360" w:lineRule="auto"/>
        <w:rPr>
          <w:rFonts w:ascii="Times New Roman" w:hAnsi="Times New Roman" w:cs="Times New Roman"/>
        </w:rPr>
      </w:pPr>
      <w:r w:rsidRPr="001943B2">
        <w:rPr>
          <w:rFonts w:ascii="Times New Roman" w:hAnsi="Times New Roman" w:cs="Times New Roman"/>
        </w:rPr>
        <w:t>The</w:t>
      </w:r>
      <w:r w:rsidR="000545AF" w:rsidRPr="001943B2">
        <w:rPr>
          <w:rFonts w:ascii="Times New Roman" w:hAnsi="Times New Roman" w:cs="Times New Roman"/>
        </w:rPr>
        <w:t xml:space="preserve"> minority’s view </w:t>
      </w:r>
      <w:r w:rsidRPr="001943B2">
        <w:rPr>
          <w:rFonts w:ascii="Times New Roman" w:hAnsi="Times New Roman" w:cs="Times New Roman"/>
        </w:rPr>
        <w:t xml:space="preserve">was </w:t>
      </w:r>
      <w:r w:rsidR="000545AF" w:rsidRPr="001943B2">
        <w:rPr>
          <w:rFonts w:ascii="Times New Roman" w:hAnsi="Times New Roman" w:cs="Times New Roman"/>
        </w:rPr>
        <w:t xml:space="preserve">that ‘alien’ </w:t>
      </w:r>
      <w:r w:rsidRPr="001943B2">
        <w:rPr>
          <w:rFonts w:ascii="Times New Roman" w:hAnsi="Times New Roman" w:cs="Times New Roman"/>
        </w:rPr>
        <w:t>equates</w:t>
      </w:r>
      <w:r w:rsidR="000545AF" w:rsidRPr="001943B2">
        <w:rPr>
          <w:rFonts w:ascii="Times New Roman" w:hAnsi="Times New Roman" w:cs="Times New Roman"/>
        </w:rPr>
        <w:t xml:space="preserve"> to ‘non-citizen’ in the ordinary sense of the word.</w:t>
      </w:r>
      <w:r w:rsidR="000545AF" w:rsidRPr="001943B2">
        <w:rPr>
          <w:rStyle w:val="FootnoteReference"/>
          <w:rFonts w:ascii="Times New Roman" w:hAnsi="Times New Roman" w:cs="Times New Roman"/>
        </w:rPr>
        <w:footnoteReference w:id="6"/>
      </w:r>
      <w:r w:rsidR="000545AF" w:rsidRPr="001943B2">
        <w:rPr>
          <w:rFonts w:ascii="Times New Roman" w:hAnsi="Times New Roman" w:cs="Times New Roman"/>
        </w:rPr>
        <w:t xml:space="preserve"> </w:t>
      </w:r>
      <w:r w:rsidRPr="001943B2">
        <w:rPr>
          <w:rFonts w:ascii="Times New Roman" w:hAnsi="Times New Roman" w:cs="Times New Roman"/>
        </w:rPr>
        <w:t>The</w:t>
      </w:r>
      <w:r w:rsidR="005C0B43" w:rsidRPr="001943B2">
        <w:rPr>
          <w:rFonts w:ascii="Times New Roman" w:hAnsi="Times New Roman" w:cs="Times New Roman"/>
        </w:rPr>
        <w:t xml:space="preserve"> justices</w:t>
      </w:r>
      <w:r w:rsidR="000545AF" w:rsidRPr="001943B2">
        <w:rPr>
          <w:rFonts w:ascii="Times New Roman" w:hAnsi="Times New Roman" w:cs="Times New Roman"/>
        </w:rPr>
        <w:t xml:space="preserve"> found that Parliament should be responsible for deciding who is an ‘alien</w:t>
      </w:r>
      <w:r w:rsidRPr="001943B2">
        <w:rPr>
          <w:rFonts w:ascii="Times New Roman" w:hAnsi="Times New Roman" w:cs="Times New Roman"/>
        </w:rPr>
        <w:t>.</w:t>
      </w:r>
      <w:r w:rsidR="000545AF" w:rsidRPr="001943B2">
        <w:rPr>
          <w:rFonts w:ascii="Times New Roman" w:hAnsi="Times New Roman" w:cs="Times New Roman"/>
        </w:rPr>
        <w:t>’</w:t>
      </w:r>
      <w:r w:rsidRPr="001943B2">
        <w:rPr>
          <w:rFonts w:ascii="Times New Roman" w:hAnsi="Times New Roman" w:cs="Times New Roman"/>
        </w:rPr>
        <w:t xml:space="preserve"> Their Honours asserted that the</w:t>
      </w:r>
      <w:r w:rsidR="0053488E" w:rsidRPr="001943B2">
        <w:rPr>
          <w:rFonts w:ascii="Times New Roman" w:hAnsi="Times New Roman" w:cs="Times New Roman"/>
        </w:rPr>
        <w:t xml:space="preserve"> </w:t>
      </w:r>
      <w:r w:rsidR="0053488E" w:rsidRPr="001943B2">
        <w:rPr>
          <w:rFonts w:ascii="Times New Roman" w:hAnsi="Times New Roman" w:cs="Times New Roman"/>
          <w:i/>
          <w:iCs/>
        </w:rPr>
        <w:t>Constitution</w:t>
      </w:r>
      <w:r w:rsidR="0053488E" w:rsidRPr="001943B2">
        <w:rPr>
          <w:rFonts w:ascii="Times New Roman" w:hAnsi="Times New Roman" w:cs="Times New Roman"/>
        </w:rPr>
        <w:t xml:space="preserve"> was intended to be enduring</w:t>
      </w:r>
      <w:r w:rsidRPr="001943B2">
        <w:rPr>
          <w:rFonts w:ascii="Times New Roman" w:hAnsi="Times New Roman" w:cs="Times New Roman"/>
        </w:rPr>
        <w:t xml:space="preserve"> and</w:t>
      </w:r>
      <w:r w:rsidR="00DE3F25" w:rsidRPr="001943B2">
        <w:rPr>
          <w:rFonts w:ascii="Times New Roman" w:hAnsi="Times New Roman" w:cs="Times New Roman"/>
        </w:rPr>
        <w:t xml:space="preserve"> that</w:t>
      </w:r>
      <w:r w:rsidRPr="001943B2">
        <w:rPr>
          <w:rFonts w:ascii="Times New Roman" w:hAnsi="Times New Roman" w:cs="Times New Roman"/>
        </w:rPr>
        <w:t xml:space="preserve"> </w:t>
      </w:r>
      <w:r w:rsidR="00DE3F25" w:rsidRPr="001943B2">
        <w:rPr>
          <w:rFonts w:ascii="Times New Roman" w:hAnsi="Times New Roman" w:cs="Times New Roman"/>
        </w:rPr>
        <w:t xml:space="preserve">the correct approach to interpreting the </w:t>
      </w:r>
      <w:r w:rsidR="0053488E" w:rsidRPr="001943B2">
        <w:rPr>
          <w:rFonts w:ascii="Times New Roman" w:hAnsi="Times New Roman" w:cs="Times New Roman"/>
        </w:rPr>
        <w:t xml:space="preserve">instrument was </w:t>
      </w:r>
      <w:r w:rsidR="00DE3F25" w:rsidRPr="001943B2">
        <w:rPr>
          <w:rFonts w:ascii="Times New Roman" w:hAnsi="Times New Roman" w:cs="Times New Roman"/>
        </w:rPr>
        <w:t xml:space="preserve">to be </w:t>
      </w:r>
      <w:r w:rsidR="0053488E" w:rsidRPr="001943B2">
        <w:rPr>
          <w:rFonts w:ascii="Times New Roman" w:hAnsi="Times New Roman" w:cs="Times New Roman"/>
        </w:rPr>
        <w:t>‘bound by [its] text and structure.’</w:t>
      </w:r>
      <w:r w:rsidR="0053488E" w:rsidRPr="001943B2">
        <w:rPr>
          <w:rStyle w:val="FootnoteReference"/>
          <w:rFonts w:ascii="Times New Roman" w:hAnsi="Times New Roman" w:cs="Times New Roman"/>
        </w:rPr>
        <w:footnoteReference w:id="7"/>
      </w:r>
      <w:r w:rsidR="0053488E" w:rsidRPr="001943B2">
        <w:rPr>
          <w:rFonts w:ascii="Times New Roman" w:hAnsi="Times New Roman" w:cs="Times New Roman"/>
        </w:rPr>
        <w:t xml:space="preserve"> </w:t>
      </w:r>
      <w:r w:rsidRPr="001943B2">
        <w:rPr>
          <w:rFonts w:ascii="Times New Roman" w:hAnsi="Times New Roman" w:cs="Times New Roman"/>
        </w:rPr>
        <w:t xml:space="preserve">Essentially, it is a formal, textualist approach, giving legislative authority priority over implied constitutional protections. Preference was given to the form, phrasing and composition of the </w:t>
      </w:r>
      <w:r w:rsidRPr="001943B2">
        <w:rPr>
          <w:rFonts w:ascii="Times New Roman" w:hAnsi="Times New Roman" w:cs="Times New Roman"/>
          <w:i/>
          <w:iCs/>
        </w:rPr>
        <w:t>Constitution</w:t>
      </w:r>
      <w:r w:rsidR="00DE3F25" w:rsidRPr="001943B2">
        <w:rPr>
          <w:rFonts w:ascii="Times New Roman" w:hAnsi="Times New Roman" w:cs="Times New Roman"/>
          <w:i/>
          <w:iCs/>
        </w:rPr>
        <w:t>,</w:t>
      </w:r>
      <w:r w:rsidRPr="001943B2">
        <w:rPr>
          <w:rFonts w:ascii="Times New Roman" w:hAnsi="Times New Roman" w:cs="Times New Roman"/>
        </w:rPr>
        <w:t xml:space="preserve"> signalling tension and divergent </w:t>
      </w:r>
      <w:r w:rsidR="00DE3F25" w:rsidRPr="001943B2">
        <w:rPr>
          <w:rFonts w:ascii="Times New Roman" w:hAnsi="Times New Roman" w:cs="Times New Roman"/>
        </w:rPr>
        <w:t>views among the judges as</w:t>
      </w:r>
      <w:r w:rsidRPr="001943B2">
        <w:rPr>
          <w:rFonts w:ascii="Times New Roman" w:hAnsi="Times New Roman" w:cs="Times New Roman"/>
        </w:rPr>
        <w:t xml:space="preserve"> to constitutional and statutory interpretation</w:t>
      </w:r>
    </w:p>
    <w:p w14:paraId="2FE2ABCD" w14:textId="3F04D48C" w:rsidR="000545AF" w:rsidRPr="001943B2" w:rsidRDefault="00745679" w:rsidP="001943B2">
      <w:pPr>
        <w:spacing w:line="360" w:lineRule="auto"/>
        <w:rPr>
          <w:rFonts w:ascii="Times New Roman" w:hAnsi="Times New Roman" w:cs="Times New Roman"/>
        </w:rPr>
      </w:pPr>
      <w:r w:rsidRPr="001943B2">
        <w:rPr>
          <w:rFonts w:ascii="Times New Roman" w:hAnsi="Times New Roman" w:cs="Times New Roman"/>
        </w:rPr>
        <w:lastRenderedPageBreak/>
        <w:t>Originalism involves discerning the ‘common, ordinary understanding of words at the time of a document’s adoption.’</w:t>
      </w:r>
      <w:r w:rsidRPr="001943B2">
        <w:rPr>
          <w:rStyle w:val="FootnoteReference"/>
          <w:rFonts w:ascii="Times New Roman" w:hAnsi="Times New Roman" w:cs="Times New Roman"/>
        </w:rPr>
        <w:footnoteReference w:id="8"/>
      </w:r>
      <w:r w:rsidRPr="001943B2">
        <w:rPr>
          <w:rFonts w:ascii="Times New Roman" w:hAnsi="Times New Roman" w:cs="Times New Roman"/>
        </w:rPr>
        <w:t xml:space="preserve"> Justice Gordon engaged in an evolutionary originalist interpretation of s 51(xix), while Edelman J’s moderate originalist interpretation also lead to the same finding that the term ‘aliens’ was unclear and equivocal at Federation.</w:t>
      </w:r>
      <w:r w:rsidRPr="001943B2">
        <w:rPr>
          <w:rStyle w:val="FootnoteReference"/>
          <w:rFonts w:ascii="Times New Roman" w:hAnsi="Times New Roman" w:cs="Times New Roman"/>
        </w:rPr>
        <w:footnoteReference w:id="9"/>
      </w:r>
      <w:r w:rsidRPr="001943B2">
        <w:rPr>
          <w:rFonts w:ascii="Times New Roman" w:hAnsi="Times New Roman" w:cs="Times New Roman"/>
        </w:rPr>
        <w:t xml:space="preserve"> The ‘essential meaning’ of ‘alien’ according to Edelman J was someone who does not belong in Australia.</w:t>
      </w:r>
      <w:r w:rsidRPr="001943B2">
        <w:rPr>
          <w:rStyle w:val="FootnoteReference"/>
          <w:rFonts w:ascii="Times New Roman" w:hAnsi="Times New Roman" w:cs="Times New Roman"/>
        </w:rPr>
        <w:footnoteReference w:id="10"/>
      </w:r>
      <w:r w:rsidRPr="001943B2">
        <w:rPr>
          <w:rFonts w:ascii="Times New Roman" w:hAnsi="Times New Roman" w:cs="Times New Roman"/>
        </w:rPr>
        <w:t xml:space="preserve"> The majority created a new category of persons that are </w:t>
      </w:r>
      <w:r w:rsidR="005C0B43" w:rsidRPr="001943B2">
        <w:rPr>
          <w:rFonts w:ascii="Times New Roman" w:hAnsi="Times New Roman" w:cs="Times New Roman"/>
        </w:rPr>
        <w:t>‘</w:t>
      </w:r>
      <w:r w:rsidRPr="001943B2">
        <w:rPr>
          <w:rFonts w:ascii="Times New Roman" w:hAnsi="Times New Roman" w:cs="Times New Roman"/>
        </w:rPr>
        <w:t>non-citizen</w:t>
      </w:r>
      <w:r w:rsidR="00C407DD" w:rsidRPr="001943B2">
        <w:rPr>
          <w:rFonts w:ascii="Times New Roman" w:hAnsi="Times New Roman" w:cs="Times New Roman"/>
        </w:rPr>
        <w:t>, non-alien</w:t>
      </w:r>
      <w:r w:rsidRPr="001943B2">
        <w:rPr>
          <w:rFonts w:ascii="Times New Roman" w:hAnsi="Times New Roman" w:cs="Times New Roman"/>
        </w:rPr>
        <w:t>.</w:t>
      </w:r>
      <w:r w:rsidR="005C0B43" w:rsidRPr="001943B2">
        <w:rPr>
          <w:rFonts w:ascii="Times New Roman" w:hAnsi="Times New Roman" w:cs="Times New Roman"/>
        </w:rPr>
        <w:t>’</w:t>
      </w:r>
      <w:r w:rsidRPr="001943B2">
        <w:rPr>
          <w:rStyle w:val="FootnoteReference"/>
          <w:rFonts w:ascii="Times New Roman" w:hAnsi="Times New Roman" w:cs="Times New Roman"/>
        </w:rPr>
        <w:footnoteReference w:id="11"/>
      </w:r>
      <w:r w:rsidRPr="001943B2">
        <w:rPr>
          <w:rFonts w:ascii="Times New Roman" w:hAnsi="Times New Roman" w:cs="Times New Roman"/>
        </w:rPr>
        <w:t xml:space="preserve"> Additionally, they held that adaptations can be made to accommodate Indigenous Peoples</w:t>
      </w:r>
      <w:r w:rsidR="00C407DD" w:rsidRPr="001943B2">
        <w:rPr>
          <w:rFonts w:ascii="Times New Roman" w:hAnsi="Times New Roman" w:cs="Times New Roman"/>
        </w:rPr>
        <w:t xml:space="preserve"> as there should be a ‘two-way connection’ that understands the reciprocal obligation of Aboriginals to land</w:t>
      </w:r>
      <w:r w:rsidR="005C0B43" w:rsidRPr="001943B2">
        <w:rPr>
          <w:rFonts w:ascii="Times New Roman" w:hAnsi="Times New Roman" w:cs="Times New Roman"/>
        </w:rPr>
        <w:t>,</w:t>
      </w:r>
      <w:r w:rsidR="00C407DD" w:rsidRPr="001943B2">
        <w:rPr>
          <w:rFonts w:ascii="Times New Roman" w:hAnsi="Times New Roman" w:cs="Times New Roman"/>
        </w:rPr>
        <w:t xml:space="preserve"> thus shaping identity, rather than the proprietary common law view that emphasises control and exclusion</w:t>
      </w:r>
      <w:r w:rsidRPr="001943B2">
        <w:rPr>
          <w:rFonts w:ascii="Times New Roman" w:hAnsi="Times New Roman" w:cs="Times New Roman"/>
        </w:rPr>
        <w:t>.</w:t>
      </w:r>
      <w:r w:rsidRPr="001943B2">
        <w:rPr>
          <w:rStyle w:val="FootnoteReference"/>
          <w:rFonts w:ascii="Times New Roman" w:hAnsi="Times New Roman" w:cs="Times New Roman"/>
        </w:rPr>
        <w:footnoteReference w:id="12"/>
      </w:r>
      <w:r w:rsidRPr="001943B2">
        <w:rPr>
          <w:rFonts w:ascii="Times New Roman" w:hAnsi="Times New Roman" w:cs="Times New Roman"/>
        </w:rPr>
        <w:t xml:space="preserve"> </w:t>
      </w:r>
      <w:r w:rsidR="00666514" w:rsidRPr="001943B2">
        <w:rPr>
          <w:rFonts w:ascii="Times New Roman" w:hAnsi="Times New Roman" w:cs="Times New Roman"/>
        </w:rPr>
        <w:t>The majority’s interpretation forged a new precedent that puts a significant constitutional limit on Parliament’s power. The decision embeds Indigenous recognition in constitutional interpretation.</w:t>
      </w:r>
    </w:p>
    <w:p w14:paraId="5B8D727D" w14:textId="375AC37F" w:rsidR="001409A5" w:rsidRPr="001943B2" w:rsidRDefault="00832A41" w:rsidP="001943B2">
      <w:pPr>
        <w:spacing w:line="360" w:lineRule="auto"/>
        <w:rPr>
          <w:rFonts w:ascii="Times New Roman" w:hAnsi="Times New Roman" w:cs="Times New Roman"/>
        </w:rPr>
      </w:pPr>
      <w:r w:rsidRPr="001943B2">
        <w:rPr>
          <w:rFonts w:ascii="Times New Roman" w:hAnsi="Times New Roman" w:cs="Times New Roman"/>
        </w:rPr>
        <w:t xml:space="preserve">Acknowledgment of systematic, historical, and institutionalised racism has become more </w:t>
      </w:r>
      <w:r w:rsidR="00DE3F25" w:rsidRPr="001943B2">
        <w:rPr>
          <w:rFonts w:ascii="Times New Roman" w:hAnsi="Times New Roman" w:cs="Times New Roman"/>
        </w:rPr>
        <w:t>integrated</w:t>
      </w:r>
      <w:r w:rsidRPr="001943B2">
        <w:rPr>
          <w:rFonts w:ascii="Times New Roman" w:hAnsi="Times New Roman" w:cs="Times New Roman"/>
        </w:rPr>
        <w:t xml:space="preserve"> in</w:t>
      </w:r>
      <w:r w:rsidR="00DE3F25" w:rsidRPr="001943B2">
        <w:rPr>
          <w:rFonts w:ascii="Times New Roman" w:hAnsi="Times New Roman" w:cs="Times New Roman"/>
        </w:rPr>
        <w:t>to</w:t>
      </w:r>
      <w:r w:rsidRPr="001943B2">
        <w:rPr>
          <w:rFonts w:ascii="Times New Roman" w:hAnsi="Times New Roman" w:cs="Times New Roman"/>
        </w:rPr>
        <w:t xml:space="preserve"> the public consciousness</w:t>
      </w:r>
      <w:r w:rsidR="00D5075C" w:rsidRPr="001943B2">
        <w:rPr>
          <w:rFonts w:ascii="Times New Roman" w:hAnsi="Times New Roman" w:cs="Times New Roman"/>
        </w:rPr>
        <w:t xml:space="preserve">. </w:t>
      </w:r>
      <w:r w:rsidRPr="001943B2">
        <w:rPr>
          <w:rFonts w:ascii="Times New Roman" w:hAnsi="Times New Roman" w:cs="Times New Roman"/>
        </w:rPr>
        <w:t>As such, the ‘living tree’ doctrine of constitutional interpretation</w:t>
      </w:r>
      <w:r w:rsidR="00D5075C" w:rsidRPr="001943B2">
        <w:rPr>
          <w:rFonts w:ascii="Times New Roman" w:hAnsi="Times New Roman" w:cs="Times New Roman"/>
        </w:rPr>
        <w:t xml:space="preserve"> has progressed to take into account societal values.</w:t>
      </w:r>
      <w:r w:rsidR="00D5075C" w:rsidRPr="001943B2">
        <w:rPr>
          <w:rStyle w:val="FootnoteReference"/>
          <w:rFonts w:ascii="Times New Roman" w:hAnsi="Times New Roman" w:cs="Times New Roman"/>
        </w:rPr>
        <w:footnoteReference w:id="13"/>
      </w:r>
      <w:r w:rsidR="00D5075C" w:rsidRPr="001943B2">
        <w:rPr>
          <w:rFonts w:ascii="Times New Roman" w:hAnsi="Times New Roman" w:cs="Times New Roman"/>
        </w:rPr>
        <w:t xml:space="preserve"> It is a ‘liberal interpretation…within certain fixed limits’.</w:t>
      </w:r>
      <w:r w:rsidR="00D5075C" w:rsidRPr="001943B2">
        <w:rPr>
          <w:rStyle w:val="FootnoteReference"/>
          <w:rFonts w:ascii="Times New Roman" w:hAnsi="Times New Roman" w:cs="Times New Roman"/>
        </w:rPr>
        <w:footnoteReference w:id="14"/>
      </w:r>
      <w:r w:rsidR="00D5075C" w:rsidRPr="001943B2">
        <w:rPr>
          <w:rFonts w:ascii="Times New Roman" w:hAnsi="Times New Roman" w:cs="Times New Roman"/>
        </w:rPr>
        <w:t xml:space="preserve"> Justice Nettle arguabl</w:t>
      </w:r>
      <w:r w:rsidR="00985F83" w:rsidRPr="001943B2">
        <w:rPr>
          <w:rFonts w:ascii="Times New Roman" w:hAnsi="Times New Roman" w:cs="Times New Roman"/>
        </w:rPr>
        <w:t>y</w:t>
      </w:r>
      <w:r w:rsidR="00D5075C" w:rsidRPr="001943B2">
        <w:rPr>
          <w:rFonts w:ascii="Times New Roman" w:hAnsi="Times New Roman" w:cs="Times New Roman"/>
        </w:rPr>
        <w:t xml:space="preserve"> adopted the living tree interpretation as His Honour found that permitting Aboriginal Australians to become ‘aliens’ would be antithetical to the law’s recognition of their customs, rights, and interests.</w:t>
      </w:r>
      <w:r w:rsidR="00D5075C" w:rsidRPr="001943B2">
        <w:rPr>
          <w:rStyle w:val="FootnoteReference"/>
          <w:rFonts w:ascii="Times New Roman" w:hAnsi="Times New Roman" w:cs="Times New Roman"/>
        </w:rPr>
        <w:footnoteReference w:id="15"/>
      </w:r>
      <w:r w:rsidR="00D5075C" w:rsidRPr="001943B2">
        <w:rPr>
          <w:rFonts w:ascii="Times New Roman" w:hAnsi="Times New Roman" w:cs="Times New Roman"/>
        </w:rPr>
        <w:t xml:space="preserve"> </w:t>
      </w:r>
      <w:r w:rsidR="00985F83" w:rsidRPr="001943B2">
        <w:rPr>
          <w:rFonts w:ascii="Times New Roman" w:hAnsi="Times New Roman" w:cs="Times New Roman"/>
        </w:rPr>
        <w:t>His Honour held</w:t>
      </w:r>
      <w:r w:rsidR="009520BC" w:rsidRPr="001943B2">
        <w:rPr>
          <w:rFonts w:ascii="Times New Roman" w:hAnsi="Times New Roman" w:cs="Times New Roman"/>
        </w:rPr>
        <w:t xml:space="preserve"> that the connection to country enjoyed by Indigenous Peoples ‘is a connection which means that even if an Aboriginal Australian…is born overseas without obtaining Australian citizenship, they are not susceptible to legislation made pursuant to the aliens power or detention and deportation under such legislation.’</w:t>
      </w:r>
      <w:r w:rsidR="00983468" w:rsidRPr="001943B2">
        <w:rPr>
          <w:rStyle w:val="FootnoteReference"/>
          <w:rFonts w:ascii="Times New Roman" w:hAnsi="Times New Roman" w:cs="Times New Roman"/>
        </w:rPr>
        <w:footnoteReference w:id="16"/>
      </w:r>
      <w:r w:rsidR="009520BC" w:rsidRPr="001943B2">
        <w:rPr>
          <w:rFonts w:ascii="Times New Roman" w:hAnsi="Times New Roman" w:cs="Times New Roman"/>
        </w:rPr>
        <w:t xml:space="preserve"> </w:t>
      </w:r>
      <w:r w:rsidR="00DE3F25" w:rsidRPr="001943B2">
        <w:rPr>
          <w:rFonts w:ascii="Times New Roman" w:hAnsi="Times New Roman" w:cs="Times New Roman"/>
        </w:rPr>
        <w:t>Justice Nettle’s</w:t>
      </w:r>
      <w:r w:rsidR="009520BC" w:rsidRPr="001943B2">
        <w:rPr>
          <w:rFonts w:ascii="Times New Roman" w:hAnsi="Times New Roman" w:cs="Times New Roman"/>
        </w:rPr>
        <w:t xml:space="preserve"> formulation clearly evinces a perspective that </w:t>
      </w:r>
      <w:r w:rsidR="005E44E8" w:rsidRPr="001943B2">
        <w:rPr>
          <w:rFonts w:ascii="Times New Roman" w:hAnsi="Times New Roman" w:cs="Times New Roman"/>
        </w:rPr>
        <w:t>considers</w:t>
      </w:r>
      <w:r w:rsidR="009520BC" w:rsidRPr="001943B2">
        <w:rPr>
          <w:rFonts w:ascii="Times New Roman" w:hAnsi="Times New Roman" w:cs="Times New Roman"/>
        </w:rPr>
        <w:t xml:space="preserve"> historical and societal context.</w:t>
      </w:r>
      <w:r w:rsidR="00666514" w:rsidRPr="001943B2">
        <w:rPr>
          <w:rFonts w:ascii="Times New Roman" w:hAnsi="Times New Roman" w:cs="Times New Roman"/>
        </w:rPr>
        <w:t xml:space="preserve"> </w:t>
      </w:r>
      <w:r w:rsidR="00DE3F25" w:rsidRPr="001943B2">
        <w:rPr>
          <w:rFonts w:ascii="Times New Roman" w:hAnsi="Times New Roman" w:cs="Times New Roman"/>
        </w:rPr>
        <w:t>Th</w:t>
      </w:r>
      <w:r w:rsidR="00666514" w:rsidRPr="001943B2">
        <w:rPr>
          <w:rFonts w:ascii="Times New Roman" w:hAnsi="Times New Roman" w:cs="Times New Roman"/>
        </w:rPr>
        <w:t xml:space="preserve">e living tree </w:t>
      </w:r>
      <w:r w:rsidR="00666514" w:rsidRPr="001943B2">
        <w:rPr>
          <w:rFonts w:ascii="Times New Roman" w:hAnsi="Times New Roman" w:cs="Times New Roman"/>
        </w:rPr>
        <w:lastRenderedPageBreak/>
        <w:t>doctrine challenged parliamentary supremacy in defining aliens and allowed for the Court to constitutionalise Indigenous belonging.</w:t>
      </w:r>
    </w:p>
    <w:p w14:paraId="5456FD50" w14:textId="19E9393A" w:rsidR="00F61A6A" w:rsidRPr="001943B2" w:rsidRDefault="00985F83" w:rsidP="001943B2">
      <w:pPr>
        <w:spacing w:line="360" w:lineRule="auto"/>
        <w:rPr>
          <w:rFonts w:ascii="Times New Roman" w:hAnsi="Times New Roman" w:cs="Times New Roman"/>
        </w:rPr>
      </w:pPr>
      <w:r w:rsidRPr="001943B2">
        <w:rPr>
          <w:rFonts w:ascii="Times New Roman" w:hAnsi="Times New Roman" w:cs="Times New Roman"/>
        </w:rPr>
        <w:t xml:space="preserve">Justice Gordon utilised the tripartite test in </w:t>
      </w:r>
      <w:r w:rsidRPr="001943B2">
        <w:rPr>
          <w:rFonts w:ascii="Times New Roman" w:hAnsi="Times New Roman" w:cs="Times New Roman"/>
          <w:i/>
          <w:iCs/>
        </w:rPr>
        <w:t>Mabo (No 2),</w:t>
      </w:r>
      <w:r w:rsidRPr="001943B2">
        <w:rPr>
          <w:rFonts w:ascii="Times New Roman" w:hAnsi="Times New Roman" w:cs="Times New Roman"/>
        </w:rPr>
        <w:t xml:space="preserve"> to find that Indigenous descendants are native and autochthonous, and that this is accepted within their communities.</w:t>
      </w:r>
      <w:r w:rsidRPr="001943B2">
        <w:rPr>
          <w:rStyle w:val="FootnoteReference"/>
          <w:rFonts w:ascii="Times New Roman" w:hAnsi="Times New Roman" w:cs="Times New Roman"/>
        </w:rPr>
        <w:footnoteReference w:id="17"/>
      </w:r>
      <w:r w:rsidRPr="001943B2">
        <w:rPr>
          <w:rFonts w:ascii="Times New Roman" w:hAnsi="Times New Roman" w:cs="Times New Roman"/>
        </w:rPr>
        <w:t xml:space="preserve"> </w:t>
      </w:r>
      <w:r w:rsidR="005C0B43" w:rsidRPr="001943B2">
        <w:rPr>
          <w:rFonts w:ascii="Times New Roman" w:hAnsi="Times New Roman" w:cs="Times New Roman"/>
        </w:rPr>
        <w:t>However, t</w:t>
      </w:r>
      <w:r w:rsidRPr="001943B2">
        <w:rPr>
          <w:rFonts w:ascii="Times New Roman" w:hAnsi="Times New Roman" w:cs="Times New Roman"/>
        </w:rPr>
        <w:t>his interpretation has attracted rhetoric that aims at illegitimising and discrediting Aboriginality, as it undermines the identification of ethnic groups that have had significant ties to the land culturally</w:t>
      </w:r>
      <w:r w:rsidR="00DE3F25" w:rsidRPr="001943B2">
        <w:rPr>
          <w:rFonts w:ascii="Times New Roman" w:hAnsi="Times New Roman" w:cs="Times New Roman"/>
        </w:rPr>
        <w:t>,</w:t>
      </w:r>
      <w:r w:rsidRPr="001943B2">
        <w:rPr>
          <w:rFonts w:ascii="Times New Roman" w:hAnsi="Times New Roman" w:cs="Times New Roman"/>
        </w:rPr>
        <w:t xml:space="preserve"> and existed </w:t>
      </w:r>
      <w:r w:rsidR="005C0B43" w:rsidRPr="001943B2">
        <w:rPr>
          <w:rFonts w:ascii="Times New Roman" w:hAnsi="Times New Roman" w:cs="Times New Roman"/>
        </w:rPr>
        <w:t>in the</w:t>
      </w:r>
      <w:r w:rsidRPr="001943B2">
        <w:rPr>
          <w:rFonts w:ascii="Times New Roman" w:hAnsi="Times New Roman" w:cs="Times New Roman"/>
        </w:rPr>
        <w:t xml:space="preserve"> </w:t>
      </w:r>
      <w:r w:rsidR="005C0B43" w:rsidRPr="001943B2">
        <w:rPr>
          <w:rFonts w:ascii="Times New Roman" w:hAnsi="Times New Roman" w:cs="Times New Roman"/>
        </w:rPr>
        <w:t>country</w:t>
      </w:r>
      <w:r w:rsidRPr="001943B2">
        <w:rPr>
          <w:rFonts w:ascii="Times New Roman" w:hAnsi="Times New Roman" w:cs="Times New Roman"/>
        </w:rPr>
        <w:t xml:space="preserve"> long before the </w:t>
      </w:r>
      <w:r w:rsidRPr="001943B2">
        <w:rPr>
          <w:rFonts w:ascii="Times New Roman" w:hAnsi="Times New Roman" w:cs="Times New Roman"/>
          <w:i/>
          <w:iCs/>
        </w:rPr>
        <w:t>Constitution</w:t>
      </w:r>
      <w:r w:rsidRPr="001943B2">
        <w:rPr>
          <w:rFonts w:ascii="Times New Roman" w:hAnsi="Times New Roman" w:cs="Times New Roman"/>
        </w:rPr>
        <w:t xml:space="preserve"> was introduced. For example, Sky News host Andrew Bolt stated that Australians were ‘calling themselves’</w:t>
      </w:r>
      <w:r w:rsidR="00DB7B7D" w:rsidRPr="001943B2">
        <w:rPr>
          <w:rStyle w:val="FootnoteReference"/>
          <w:rFonts w:ascii="Times New Roman" w:hAnsi="Times New Roman" w:cs="Times New Roman"/>
        </w:rPr>
        <w:footnoteReference w:id="18"/>
      </w:r>
      <w:r w:rsidRPr="001943B2">
        <w:rPr>
          <w:rFonts w:ascii="Times New Roman" w:hAnsi="Times New Roman" w:cs="Times New Roman"/>
        </w:rPr>
        <w:t xml:space="preserve"> Aboriginal and scholars referred to Indigenous identification as ‘subjective’.</w:t>
      </w:r>
      <w:r w:rsidRPr="001943B2">
        <w:rPr>
          <w:rStyle w:val="FootnoteReference"/>
          <w:rFonts w:ascii="Times New Roman" w:hAnsi="Times New Roman" w:cs="Times New Roman"/>
        </w:rPr>
        <w:footnoteReference w:id="19"/>
      </w:r>
      <w:r w:rsidRPr="001943B2">
        <w:rPr>
          <w:rFonts w:ascii="Times New Roman" w:hAnsi="Times New Roman" w:cs="Times New Roman"/>
        </w:rPr>
        <w:t xml:space="preserve"> It is a form of confirmation bias that </w:t>
      </w:r>
      <w:r w:rsidR="00CF00FE" w:rsidRPr="001943B2">
        <w:rPr>
          <w:rFonts w:ascii="Times New Roman" w:hAnsi="Times New Roman" w:cs="Times New Roman"/>
        </w:rPr>
        <w:t>essentially</w:t>
      </w:r>
      <w:r w:rsidRPr="001943B2">
        <w:rPr>
          <w:rFonts w:ascii="Times New Roman" w:hAnsi="Times New Roman" w:cs="Times New Roman"/>
        </w:rPr>
        <w:t xml:space="preserve"> distrusts Indigenous voices. It also directly correlates with the criticism that the </w:t>
      </w:r>
      <w:r w:rsidR="00983468" w:rsidRPr="001943B2">
        <w:rPr>
          <w:rFonts w:ascii="Times New Roman" w:hAnsi="Times New Roman" w:cs="Times New Roman"/>
          <w:i/>
          <w:iCs/>
        </w:rPr>
        <w:t>Love</w:t>
      </w:r>
      <w:r w:rsidR="00983468" w:rsidRPr="001943B2">
        <w:rPr>
          <w:rFonts w:ascii="Times New Roman" w:hAnsi="Times New Roman" w:cs="Times New Roman"/>
        </w:rPr>
        <w:t xml:space="preserve"> </w:t>
      </w:r>
      <w:r w:rsidRPr="001943B2">
        <w:rPr>
          <w:rFonts w:ascii="Times New Roman" w:hAnsi="Times New Roman" w:cs="Times New Roman"/>
        </w:rPr>
        <w:t>decision will lead to Indigenous Elders protecting criminals by claiming Aboriginality.</w:t>
      </w:r>
      <w:r w:rsidR="00744F31" w:rsidRPr="001943B2">
        <w:rPr>
          <w:rStyle w:val="FootnoteReference"/>
          <w:rFonts w:ascii="Times New Roman" w:hAnsi="Times New Roman" w:cs="Times New Roman"/>
        </w:rPr>
        <w:footnoteReference w:id="20"/>
      </w:r>
    </w:p>
    <w:p w14:paraId="6E9659AF" w14:textId="4883751B" w:rsidR="008C3545" w:rsidRPr="001943B2" w:rsidRDefault="002345E2" w:rsidP="001943B2">
      <w:pPr>
        <w:spacing w:line="360" w:lineRule="auto"/>
        <w:rPr>
          <w:rFonts w:ascii="Times New Roman" w:hAnsi="Times New Roman" w:cs="Times New Roman"/>
        </w:rPr>
      </w:pPr>
      <w:r w:rsidRPr="001943B2">
        <w:rPr>
          <w:rFonts w:ascii="Times New Roman" w:hAnsi="Times New Roman" w:cs="Times New Roman"/>
        </w:rPr>
        <w:t xml:space="preserve">On the other hand, Kiefel CJ turned to the decisions of </w:t>
      </w:r>
      <w:r w:rsidRPr="001943B2">
        <w:rPr>
          <w:rFonts w:ascii="Times New Roman" w:hAnsi="Times New Roman" w:cs="Times New Roman"/>
          <w:i/>
          <w:iCs/>
        </w:rPr>
        <w:t>Singh</w:t>
      </w:r>
      <w:r w:rsidRPr="001943B2">
        <w:rPr>
          <w:rFonts w:ascii="Times New Roman" w:hAnsi="Times New Roman" w:cs="Times New Roman"/>
        </w:rPr>
        <w:t xml:space="preserve"> and </w:t>
      </w:r>
      <w:r w:rsidR="00C80139" w:rsidRPr="001943B2">
        <w:rPr>
          <w:rFonts w:ascii="Times New Roman" w:hAnsi="Times New Roman" w:cs="Times New Roman"/>
          <w:i/>
          <w:iCs/>
        </w:rPr>
        <w:t>Nolan</w:t>
      </w:r>
      <w:r w:rsidR="00C80139" w:rsidRPr="001943B2">
        <w:rPr>
          <w:rFonts w:ascii="Times New Roman" w:hAnsi="Times New Roman" w:cs="Times New Roman"/>
        </w:rPr>
        <w:t xml:space="preserve"> to determine that longstanding affiliation with the community and country is not sufficient to bring about naturalisation of a person or change the status of their alienage.</w:t>
      </w:r>
      <w:r w:rsidR="00C80139" w:rsidRPr="001943B2">
        <w:rPr>
          <w:rStyle w:val="FootnoteReference"/>
          <w:rFonts w:ascii="Times New Roman" w:hAnsi="Times New Roman" w:cs="Times New Roman"/>
        </w:rPr>
        <w:footnoteReference w:id="21"/>
      </w:r>
      <w:r w:rsidR="00C80139" w:rsidRPr="001943B2">
        <w:rPr>
          <w:rFonts w:ascii="Times New Roman" w:hAnsi="Times New Roman" w:cs="Times New Roman"/>
        </w:rPr>
        <w:t xml:space="preserve"> Her Honour went on to establish that native title is protected at common law, however, Indigenous law is not a part of Australian domestic law and its traditions and customs </w:t>
      </w:r>
      <w:r w:rsidR="009005D5" w:rsidRPr="001943B2">
        <w:rPr>
          <w:rFonts w:ascii="Times New Roman" w:hAnsi="Times New Roman" w:cs="Times New Roman"/>
        </w:rPr>
        <w:t>do not have legal force and therefore cannot determine a person’s legal status.</w:t>
      </w:r>
      <w:r w:rsidR="009005D5" w:rsidRPr="001943B2">
        <w:rPr>
          <w:rStyle w:val="FootnoteReference"/>
          <w:rFonts w:ascii="Times New Roman" w:hAnsi="Times New Roman" w:cs="Times New Roman"/>
        </w:rPr>
        <w:footnoteReference w:id="22"/>
      </w:r>
      <w:r w:rsidR="009005D5" w:rsidRPr="001943B2">
        <w:rPr>
          <w:rFonts w:ascii="Times New Roman" w:hAnsi="Times New Roman" w:cs="Times New Roman"/>
        </w:rPr>
        <w:t xml:space="preserve"> Justice </w:t>
      </w:r>
      <w:proofErr w:type="spellStart"/>
      <w:r w:rsidR="009005D5" w:rsidRPr="001943B2">
        <w:rPr>
          <w:rFonts w:ascii="Times New Roman" w:hAnsi="Times New Roman" w:cs="Times New Roman"/>
        </w:rPr>
        <w:t>Gageler</w:t>
      </w:r>
      <w:proofErr w:type="spellEnd"/>
      <w:r w:rsidR="009005D5" w:rsidRPr="001943B2">
        <w:rPr>
          <w:rFonts w:ascii="Times New Roman" w:hAnsi="Times New Roman" w:cs="Times New Roman"/>
        </w:rPr>
        <w:t xml:space="preserve"> arrived at the same conclusion that the alien criteria does not apply to the plaintiffs, however, His Honour explained that the ‘slippery slope’ argument was </w:t>
      </w:r>
      <w:r w:rsidR="008C3545" w:rsidRPr="001943B2">
        <w:rPr>
          <w:rFonts w:ascii="Times New Roman" w:hAnsi="Times New Roman" w:cs="Times New Roman"/>
        </w:rPr>
        <w:t xml:space="preserve">a </w:t>
      </w:r>
      <w:r w:rsidR="009005D5" w:rsidRPr="001943B2">
        <w:rPr>
          <w:rFonts w:ascii="Times New Roman" w:hAnsi="Times New Roman" w:cs="Times New Roman"/>
        </w:rPr>
        <w:t>misunderstanding</w:t>
      </w:r>
      <w:r w:rsidR="00983468" w:rsidRPr="001943B2">
        <w:rPr>
          <w:rFonts w:ascii="Times New Roman" w:hAnsi="Times New Roman" w:cs="Times New Roman"/>
        </w:rPr>
        <w:t xml:space="preserve"> of</w:t>
      </w:r>
      <w:r w:rsidR="009005D5" w:rsidRPr="001943B2">
        <w:rPr>
          <w:rFonts w:ascii="Times New Roman" w:hAnsi="Times New Roman" w:cs="Times New Roman"/>
        </w:rPr>
        <w:t xml:space="preserve"> the aliens power which could lead to incongruity and unpredictability in the application of the law.</w:t>
      </w:r>
      <w:r w:rsidR="009005D5" w:rsidRPr="001943B2">
        <w:rPr>
          <w:rStyle w:val="FootnoteReference"/>
          <w:rFonts w:ascii="Times New Roman" w:hAnsi="Times New Roman" w:cs="Times New Roman"/>
        </w:rPr>
        <w:footnoteReference w:id="23"/>
      </w:r>
      <w:r w:rsidR="006E5940" w:rsidRPr="001943B2">
        <w:rPr>
          <w:rFonts w:ascii="Times New Roman" w:hAnsi="Times New Roman" w:cs="Times New Roman"/>
        </w:rPr>
        <w:t xml:space="preserve"> This is notable as the argument contends that if the judiciary narrows the aliens power to a large</w:t>
      </w:r>
      <w:r w:rsidR="004B185B" w:rsidRPr="001943B2">
        <w:rPr>
          <w:rFonts w:ascii="Times New Roman" w:hAnsi="Times New Roman" w:cs="Times New Roman"/>
        </w:rPr>
        <w:t>r</w:t>
      </w:r>
      <w:r w:rsidR="006E5940" w:rsidRPr="001943B2">
        <w:rPr>
          <w:rFonts w:ascii="Times New Roman" w:hAnsi="Times New Roman" w:cs="Times New Roman"/>
        </w:rPr>
        <w:t xml:space="preserve"> extent, it has the possibility of </w:t>
      </w:r>
      <w:r w:rsidR="004B185B" w:rsidRPr="001943B2">
        <w:rPr>
          <w:rFonts w:ascii="Times New Roman" w:hAnsi="Times New Roman" w:cs="Times New Roman"/>
        </w:rPr>
        <w:t>disturbing settled</w:t>
      </w:r>
      <w:r w:rsidR="006E5940" w:rsidRPr="001943B2">
        <w:rPr>
          <w:rFonts w:ascii="Times New Roman" w:hAnsi="Times New Roman" w:cs="Times New Roman"/>
        </w:rPr>
        <w:t xml:space="preserve"> immigration law and pushing Parliament into problematic constitutional territory</w:t>
      </w:r>
      <w:r w:rsidR="004B185B" w:rsidRPr="001943B2">
        <w:rPr>
          <w:rFonts w:ascii="Times New Roman" w:hAnsi="Times New Roman" w:cs="Times New Roman"/>
        </w:rPr>
        <w:t>. This has the</w:t>
      </w:r>
      <w:r w:rsidR="006E5940" w:rsidRPr="001943B2">
        <w:rPr>
          <w:rFonts w:ascii="Times New Roman" w:hAnsi="Times New Roman" w:cs="Times New Roman"/>
        </w:rPr>
        <w:t xml:space="preserve"> potential</w:t>
      </w:r>
      <w:r w:rsidR="004B185B" w:rsidRPr="001943B2">
        <w:rPr>
          <w:rFonts w:ascii="Times New Roman" w:hAnsi="Times New Roman" w:cs="Times New Roman"/>
        </w:rPr>
        <w:t xml:space="preserve"> to</w:t>
      </w:r>
      <w:r w:rsidR="006E5940" w:rsidRPr="001943B2">
        <w:rPr>
          <w:rFonts w:ascii="Times New Roman" w:hAnsi="Times New Roman" w:cs="Times New Roman"/>
        </w:rPr>
        <w:t xml:space="preserve"> </w:t>
      </w:r>
      <w:r w:rsidR="004B185B" w:rsidRPr="001943B2">
        <w:rPr>
          <w:rFonts w:ascii="Times New Roman" w:hAnsi="Times New Roman" w:cs="Times New Roman"/>
        </w:rPr>
        <w:t>interfere</w:t>
      </w:r>
      <w:r w:rsidR="006E5940" w:rsidRPr="001943B2">
        <w:rPr>
          <w:rFonts w:ascii="Times New Roman" w:hAnsi="Times New Roman" w:cs="Times New Roman"/>
        </w:rPr>
        <w:t xml:space="preserve"> with</w:t>
      </w:r>
      <w:r w:rsidR="004B185B" w:rsidRPr="001943B2">
        <w:rPr>
          <w:rFonts w:ascii="Times New Roman" w:hAnsi="Times New Roman" w:cs="Times New Roman"/>
        </w:rPr>
        <w:t xml:space="preserve"> the</w:t>
      </w:r>
      <w:r w:rsidR="006E5940" w:rsidRPr="001943B2">
        <w:rPr>
          <w:rFonts w:ascii="Times New Roman" w:hAnsi="Times New Roman" w:cs="Times New Roman"/>
        </w:rPr>
        <w:t xml:space="preserve"> </w:t>
      </w:r>
      <w:r w:rsidR="004B185B" w:rsidRPr="001943B2">
        <w:rPr>
          <w:rFonts w:ascii="Times New Roman" w:hAnsi="Times New Roman" w:cs="Times New Roman"/>
        </w:rPr>
        <w:t>integral, normative principle of the separation of powers.</w:t>
      </w:r>
    </w:p>
    <w:p w14:paraId="0661D174" w14:textId="6297CBC3" w:rsidR="008C3545" w:rsidRPr="001943B2" w:rsidRDefault="00AF51A6" w:rsidP="001943B2">
      <w:pPr>
        <w:spacing w:line="360" w:lineRule="auto"/>
        <w:rPr>
          <w:rFonts w:ascii="Times New Roman" w:hAnsi="Times New Roman" w:cs="Times New Roman"/>
        </w:rPr>
      </w:pPr>
      <w:r w:rsidRPr="001943B2">
        <w:rPr>
          <w:rFonts w:ascii="Times New Roman" w:hAnsi="Times New Roman" w:cs="Times New Roman"/>
        </w:rPr>
        <w:lastRenderedPageBreak/>
        <w:t>Justice Keane stood firmly on the notion that the law creates citizenship, rather than any history, culture, or identity.</w:t>
      </w:r>
      <w:r w:rsidRPr="001943B2">
        <w:rPr>
          <w:rStyle w:val="FootnoteReference"/>
          <w:rFonts w:ascii="Times New Roman" w:hAnsi="Times New Roman" w:cs="Times New Roman"/>
        </w:rPr>
        <w:footnoteReference w:id="24"/>
      </w:r>
      <w:r w:rsidRPr="001943B2">
        <w:rPr>
          <w:rFonts w:ascii="Times New Roman" w:hAnsi="Times New Roman" w:cs="Times New Roman"/>
        </w:rPr>
        <w:t xml:space="preserve"> Furthermore, His Honour held that ‘[t]here is no support in the text or structure of the Constitution for the contention that there is a special class within the people of the Commonwealth who, by virtue of their biological descent…enjoy a constitutionally privileged political relationship with the Australian body politic</w:t>
      </w:r>
      <w:r w:rsidR="005C0B43" w:rsidRPr="001943B2">
        <w:rPr>
          <w:rFonts w:ascii="Times New Roman" w:hAnsi="Times New Roman" w:cs="Times New Roman"/>
        </w:rPr>
        <w:t>.</w:t>
      </w:r>
      <w:r w:rsidRPr="001943B2">
        <w:rPr>
          <w:rFonts w:ascii="Times New Roman" w:hAnsi="Times New Roman" w:cs="Times New Roman"/>
        </w:rPr>
        <w:t>’</w:t>
      </w:r>
      <w:r w:rsidR="0021091A" w:rsidRPr="001943B2">
        <w:rPr>
          <w:rStyle w:val="FootnoteReference"/>
          <w:rFonts w:ascii="Times New Roman" w:hAnsi="Times New Roman" w:cs="Times New Roman"/>
        </w:rPr>
        <w:footnoteReference w:id="25"/>
      </w:r>
      <w:r w:rsidRPr="001943B2">
        <w:rPr>
          <w:rFonts w:ascii="Times New Roman" w:hAnsi="Times New Roman" w:cs="Times New Roman"/>
        </w:rPr>
        <w:t xml:space="preserve"> </w:t>
      </w:r>
      <w:r w:rsidR="005C0B43" w:rsidRPr="001943B2">
        <w:rPr>
          <w:rFonts w:ascii="Times New Roman" w:hAnsi="Times New Roman" w:cs="Times New Roman"/>
        </w:rPr>
        <w:t>This interpretation accentuates</w:t>
      </w:r>
      <w:r w:rsidRPr="001943B2">
        <w:rPr>
          <w:rFonts w:ascii="Times New Roman" w:hAnsi="Times New Roman" w:cs="Times New Roman"/>
        </w:rPr>
        <w:t xml:space="preserve"> a formalist approach that upholds the primacy of text in favour of a ‘semantic fixation.’</w:t>
      </w:r>
      <w:r w:rsidRPr="001943B2">
        <w:rPr>
          <w:rStyle w:val="FootnoteReference"/>
          <w:rFonts w:ascii="Times New Roman" w:hAnsi="Times New Roman" w:cs="Times New Roman"/>
        </w:rPr>
        <w:footnoteReference w:id="26"/>
      </w:r>
      <w:r w:rsidRPr="001943B2">
        <w:rPr>
          <w:rFonts w:ascii="Times New Roman" w:hAnsi="Times New Roman" w:cs="Times New Roman"/>
        </w:rPr>
        <w:t xml:space="preserve">  Justice Keane rejected that there be any argument relying on</w:t>
      </w:r>
      <w:r w:rsidRPr="001943B2">
        <w:rPr>
          <w:rFonts w:ascii="Times New Roman" w:hAnsi="Times New Roman" w:cs="Times New Roman"/>
          <w:i/>
          <w:iCs/>
        </w:rPr>
        <w:t xml:space="preserve"> Mabo (No 2),</w:t>
      </w:r>
      <w:r w:rsidRPr="001943B2">
        <w:rPr>
          <w:rFonts w:ascii="Times New Roman" w:hAnsi="Times New Roman" w:cs="Times New Roman"/>
        </w:rPr>
        <w:t xml:space="preserve"> </w:t>
      </w:r>
      <w:r w:rsidR="0021091A" w:rsidRPr="001943B2">
        <w:rPr>
          <w:rFonts w:ascii="Times New Roman" w:hAnsi="Times New Roman" w:cs="Times New Roman"/>
        </w:rPr>
        <w:t>distinguishing the cases on their facts and asserting that Indigenous law does not override Australian law, modify constitutional concepts</w:t>
      </w:r>
      <w:r w:rsidR="004B185B" w:rsidRPr="001943B2">
        <w:rPr>
          <w:rFonts w:ascii="Times New Roman" w:hAnsi="Times New Roman" w:cs="Times New Roman"/>
        </w:rPr>
        <w:t>,</w:t>
      </w:r>
      <w:r w:rsidR="0021091A" w:rsidRPr="001943B2">
        <w:rPr>
          <w:rFonts w:ascii="Times New Roman" w:hAnsi="Times New Roman" w:cs="Times New Roman"/>
        </w:rPr>
        <w:t xml:space="preserve"> or reshape the reach of sovereign power.</w:t>
      </w:r>
      <w:r w:rsidR="0021091A" w:rsidRPr="001943B2">
        <w:rPr>
          <w:rStyle w:val="FootnoteReference"/>
          <w:rFonts w:ascii="Times New Roman" w:hAnsi="Times New Roman" w:cs="Times New Roman"/>
        </w:rPr>
        <w:footnoteReference w:id="27"/>
      </w:r>
    </w:p>
    <w:p w14:paraId="7E60A940" w14:textId="18FB93CD" w:rsidR="00A33FA0" w:rsidRPr="001943B2" w:rsidRDefault="0021091A" w:rsidP="001943B2">
      <w:pPr>
        <w:spacing w:line="360" w:lineRule="auto"/>
        <w:rPr>
          <w:rFonts w:ascii="Times New Roman" w:hAnsi="Times New Roman" w:cs="Times New Roman"/>
        </w:rPr>
      </w:pPr>
      <w:r w:rsidRPr="001943B2">
        <w:rPr>
          <w:rFonts w:ascii="Times New Roman" w:hAnsi="Times New Roman" w:cs="Times New Roman"/>
        </w:rPr>
        <w:t xml:space="preserve">Ultimately, the Court </w:t>
      </w:r>
      <w:r w:rsidR="00583925" w:rsidRPr="001943B2">
        <w:rPr>
          <w:rFonts w:ascii="Times New Roman" w:hAnsi="Times New Roman" w:cs="Times New Roman"/>
        </w:rPr>
        <w:t xml:space="preserve">found that Aboriginal Australians had enforceable constitutional rights, representing judicial acknowledgment of Indigenous identity, belonging, and self-determination. It rejected a purely textual liberalism approach and recognised that the </w:t>
      </w:r>
      <w:r w:rsidR="00583925" w:rsidRPr="001943B2">
        <w:rPr>
          <w:rFonts w:ascii="Times New Roman" w:hAnsi="Times New Roman" w:cs="Times New Roman"/>
          <w:i/>
          <w:iCs/>
        </w:rPr>
        <w:t>Constitution</w:t>
      </w:r>
      <w:r w:rsidR="00583925" w:rsidRPr="001943B2">
        <w:rPr>
          <w:rFonts w:ascii="Times New Roman" w:hAnsi="Times New Roman" w:cs="Times New Roman"/>
        </w:rPr>
        <w:t xml:space="preserve"> may be interpreted within its broader historical and legal context.</w:t>
      </w:r>
    </w:p>
    <w:p w14:paraId="0F640D3D" w14:textId="4B391430" w:rsidR="00F74712" w:rsidRPr="001943B2" w:rsidRDefault="00F74712" w:rsidP="003F0708">
      <w:pPr>
        <w:pStyle w:val="Heading1"/>
        <w:spacing w:line="276" w:lineRule="auto"/>
        <w:rPr>
          <w:rFonts w:ascii="Times New Roman" w:hAnsi="Times New Roman" w:cs="Times New Roman"/>
        </w:rPr>
      </w:pPr>
      <w:r w:rsidRPr="001943B2">
        <w:rPr>
          <w:rFonts w:ascii="Times New Roman" w:hAnsi="Times New Roman" w:cs="Times New Roman"/>
        </w:rPr>
        <w:t>Rejecting assimilationist assumptions or corrupting equality before the law?</w:t>
      </w:r>
    </w:p>
    <w:p w14:paraId="4E62A053" w14:textId="5FCF0346" w:rsidR="00665BFD" w:rsidRPr="001943B2" w:rsidRDefault="001409A5" w:rsidP="003F0708">
      <w:pPr>
        <w:spacing w:before="240" w:line="360" w:lineRule="auto"/>
        <w:rPr>
          <w:rFonts w:ascii="Times New Roman" w:hAnsi="Times New Roman" w:cs="Times New Roman"/>
          <w:color w:val="000000"/>
        </w:rPr>
      </w:pPr>
      <w:r w:rsidRPr="001943B2">
        <w:rPr>
          <w:rFonts w:ascii="Times New Roman" w:hAnsi="Times New Roman" w:cs="Times New Roman"/>
          <w:color w:val="000000"/>
        </w:rPr>
        <w:t>Assimilationist assumptions posit that all Australians should have identical legal status</w:t>
      </w:r>
      <w:r w:rsidR="00477446" w:rsidRPr="001943B2">
        <w:rPr>
          <w:rFonts w:ascii="Times New Roman" w:hAnsi="Times New Roman" w:cs="Times New Roman"/>
          <w:color w:val="000000"/>
        </w:rPr>
        <w:t xml:space="preserve">. </w:t>
      </w:r>
      <w:r w:rsidRPr="001943B2">
        <w:rPr>
          <w:rFonts w:ascii="Times New Roman" w:hAnsi="Times New Roman" w:cs="Times New Roman"/>
          <w:color w:val="000000"/>
        </w:rPr>
        <w:t>Assimilationist ideology advocates for ethnic minorities to adopt and conform to the ‘superior’ culture.</w:t>
      </w:r>
      <w:r w:rsidRPr="001943B2">
        <w:rPr>
          <w:rStyle w:val="FootnoteReference"/>
          <w:rFonts w:ascii="Times New Roman" w:hAnsi="Times New Roman" w:cs="Times New Roman"/>
          <w:color w:val="000000"/>
        </w:rPr>
        <w:footnoteReference w:id="28"/>
      </w:r>
      <w:r w:rsidRPr="001943B2">
        <w:rPr>
          <w:rFonts w:ascii="Times New Roman" w:hAnsi="Times New Roman" w:cs="Times New Roman"/>
          <w:color w:val="000000"/>
        </w:rPr>
        <w:t xml:space="preserve"> Treating Indigenous Peoples as equal under the law is a false equivalence that ignores their connection to land and seas, and their existence pre-Federation. As Edelman J posits, it would be ‘bizarre’ to consider Aboriginals as aliens due to their distinctive temporal and spiritual relationship with country</w:t>
      </w:r>
      <w:r w:rsidR="00477446" w:rsidRPr="001943B2">
        <w:rPr>
          <w:rFonts w:ascii="Times New Roman" w:hAnsi="Times New Roman" w:cs="Times New Roman"/>
          <w:color w:val="000000"/>
        </w:rPr>
        <w:t>.</w:t>
      </w:r>
      <w:r w:rsidR="00477446" w:rsidRPr="001943B2">
        <w:rPr>
          <w:rStyle w:val="FootnoteReference"/>
          <w:rFonts w:ascii="Times New Roman" w:hAnsi="Times New Roman" w:cs="Times New Roman"/>
          <w:color w:val="000000"/>
        </w:rPr>
        <w:footnoteReference w:id="29"/>
      </w:r>
      <w:r w:rsidR="00477446" w:rsidRPr="001943B2">
        <w:rPr>
          <w:rFonts w:ascii="Times New Roman" w:hAnsi="Times New Roman" w:cs="Times New Roman"/>
          <w:color w:val="000000"/>
        </w:rPr>
        <w:t xml:space="preserve"> </w:t>
      </w:r>
      <w:r w:rsidRPr="001943B2">
        <w:rPr>
          <w:rFonts w:ascii="Times New Roman" w:hAnsi="Times New Roman" w:cs="Times New Roman"/>
          <w:color w:val="000000"/>
        </w:rPr>
        <w:t xml:space="preserve"> </w:t>
      </w:r>
      <w:r w:rsidR="00E26B75" w:rsidRPr="001943B2">
        <w:rPr>
          <w:rFonts w:ascii="Times New Roman" w:hAnsi="Times New Roman" w:cs="Times New Roman"/>
          <w:color w:val="000000"/>
        </w:rPr>
        <w:t xml:space="preserve">If Australia </w:t>
      </w:r>
      <w:r w:rsidR="00CF00FE" w:rsidRPr="001943B2">
        <w:rPr>
          <w:rFonts w:ascii="Times New Roman" w:hAnsi="Times New Roman" w:cs="Times New Roman"/>
          <w:color w:val="000000"/>
        </w:rPr>
        <w:t>were</w:t>
      </w:r>
      <w:r w:rsidR="00E26B75" w:rsidRPr="001943B2">
        <w:rPr>
          <w:rFonts w:ascii="Times New Roman" w:hAnsi="Times New Roman" w:cs="Times New Roman"/>
          <w:color w:val="000000"/>
        </w:rPr>
        <w:t xml:space="preserve"> to recognise native title </w:t>
      </w:r>
      <w:r w:rsidR="00CF00FE" w:rsidRPr="001943B2">
        <w:rPr>
          <w:rFonts w:ascii="Times New Roman" w:hAnsi="Times New Roman" w:cs="Times New Roman"/>
          <w:color w:val="000000"/>
        </w:rPr>
        <w:t xml:space="preserve">then </w:t>
      </w:r>
      <w:r w:rsidR="00E26B75" w:rsidRPr="001943B2">
        <w:rPr>
          <w:rFonts w:ascii="Times New Roman" w:hAnsi="Times New Roman" w:cs="Times New Roman"/>
          <w:color w:val="000000"/>
        </w:rPr>
        <w:t xml:space="preserve">it would be inconsistent </w:t>
      </w:r>
      <w:r w:rsidR="00CF00FE" w:rsidRPr="001943B2">
        <w:rPr>
          <w:rFonts w:ascii="Times New Roman" w:hAnsi="Times New Roman" w:cs="Times New Roman"/>
          <w:color w:val="000000"/>
        </w:rPr>
        <w:t>to</w:t>
      </w:r>
      <w:r w:rsidR="00E26B75" w:rsidRPr="001943B2">
        <w:rPr>
          <w:rFonts w:ascii="Times New Roman" w:hAnsi="Times New Roman" w:cs="Times New Roman"/>
          <w:color w:val="000000"/>
        </w:rPr>
        <w:t xml:space="preserve"> categori</w:t>
      </w:r>
      <w:r w:rsidR="00CF00FE" w:rsidRPr="001943B2">
        <w:rPr>
          <w:rFonts w:ascii="Times New Roman" w:hAnsi="Times New Roman" w:cs="Times New Roman"/>
          <w:color w:val="000000"/>
        </w:rPr>
        <w:t>se</w:t>
      </w:r>
      <w:r w:rsidR="00E26B75" w:rsidRPr="001943B2">
        <w:rPr>
          <w:rFonts w:ascii="Times New Roman" w:hAnsi="Times New Roman" w:cs="Times New Roman"/>
          <w:color w:val="000000"/>
        </w:rPr>
        <w:t xml:space="preserve"> Indigenous Peoples as ‘aliens’.</w:t>
      </w:r>
      <w:r w:rsidR="00E26B75" w:rsidRPr="001943B2">
        <w:rPr>
          <w:rStyle w:val="FootnoteReference"/>
          <w:rFonts w:ascii="Times New Roman" w:hAnsi="Times New Roman" w:cs="Times New Roman"/>
          <w:color w:val="000000"/>
        </w:rPr>
        <w:footnoteReference w:id="30"/>
      </w:r>
      <w:r w:rsidR="00E26B75" w:rsidRPr="001943B2">
        <w:rPr>
          <w:rFonts w:ascii="Times New Roman" w:hAnsi="Times New Roman" w:cs="Times New Roman"/>
          <w:color w:val="000000"/>
        </w:rPr>
        <w:t xml:space="preserve"> </w:t>
      </w:r>
      <w:r w:rsidRPr="001943B2">
        <w:rPr>
          <w:rFonts w:ascii="Times New Roman" w:hAnsi="Times New Roman" w:cs="Times New Roman"/>
          <w:color w:val="000000"/>
        </w:rPr>
        <w:t xml:space="preserve">The majority </w:t>
      </w:r>
      <w:r w:rsidRPr="001943B2">
        <w:rPr>
          <w:rFonts w:ascii="Times New Roman" w:hAnsi="Times New Roman" w:cs="Times New Roman"/>
          <w:color w:val="000000"/>
        </w:rPr>
        <w:lastRenderedPageBreak/>
        <w:t>rejected these assumptions by emphasising the ‘unique obligation of protection’ that Aboriginal people are owed</w:t>
      </w:r>
      <w:r w:rsidRPr="001943B2">
        <w:rPr>
          <w:rStyle w:val="FootnoteReference"/>
          <w:rFonts w:ascii="Times New Roman" w:hAnsi="Times New Roman" w:cs="Times New Roman"/>
          <w:color w:val="000000"/>
        </w:rPr>
        <w:footnoteReference w:id="31"/>
      </w:r>
      <w:r w:rsidRPr="001943B2">
        <w:rPr>
          <w:rFonts w:ascii="Times New Roman" w:hAnsi="Times New Roman" w:cs="Times New Roman"/>
          <w:color w:val="000000"/>
        </w:rPr>
        <w:t xml:space="preserve"> and the territorial link to the Australian polity.</w:t>
      </w:r>
      <w:r w:rsidRPr="001943B2">
        <w:rPr>
          <w:rStyle w:val="FootnoteReference"/>
          <w:rFonts w:ascii="Times New Roman" w:hAnsi="Times New Roman" w:cs="Times New Roman"/>
          <w:color w:val="000000"/>
        </w:rPr>
        <w:footnoteReference w:id="32"/>
      </w:r>
    </w:p>
    <w:p w14:paraId="50CF2788" w14:textId="7470E1DC" w:rsidR="00B2665C" w:rsidRPr="001943B2" w:rsidRDefault="00665BFD" w:rsidP="001943B2">
      <w:pPr>
        <w:spacing w:line="360" w:lineRule="auto"/>
        <w:rPr>
          <w:rFonts w:ascii="Times New Roman" w:hAnsi="Times New Roman" w:cs="Times New Roman"/>
          <w:color w:val="000000"/>
        </w:rPr>
      </w:pPr>
      <w:r w:rsidRPr="001943B2">
        <w:rPr>
          <w:rFonts w:ascii="Times New Roman" w:hAnsi="Times New Roman" w:cs="Times New Roman"/>
          <w:color w:val="000000"/>
        </w:rPr>
        <w:t>In contrast, equality before the law is a fundamental element of the rule of law upon which public confidence in the judiciary rests</w:t>
      </w:r>
      <w:r w:rsidR="007A3CAE" w:rsidRPr="001943B2">
        <w:rPr>
          <w:rFonts w:ascii="Times New Roman" w:hAnsi="Times New Roman" w:cs="Times New Roman"/>
          <w:color w:val="000000"/>
        </w:rPr>
        <w:t>. This creates</w:t>
      </w:r>
      <w:r w:rsidRPr="001943B2">
        <w:rPr>
          <w:rFonts w:ascii="Times New Roman" w:hAnsi="Times New Roman" w:cs="Times New Roman"/>
          <w:color w:val="000000"/>
        </w:rPr>
        <w:t xml:space="preserve"> fairness and consistency, </w:t>
      </w:r>
      <w:r w:rsidR="007A3CAE" w:rsidRPr="001943B2">
        <w:rPr>
          <w:rFonts w:ascii="Times New Roman" w:hAnsi="Times New Roman" w:cs="Times New Roman"/>
          <w:color w:val="000000"/>
        </w:rPr>
        <w:t>protects</w:t>
      </w:r>
      <w:r w:rsidRPr="001943B2">
        <w:rPr>
          <w:rFonts w:ascii="Times New Roman" w:hAnsi="Times New Roman" w:cs="Times New Roman"/>
          <w:color w:val="000000"/>
        </w:rPr>
        <w:t xml:space="preserve"> rights and freedoms, and </w:t>
      </w:r>
      <w:r w:rsidR="007A3CAE" w:rsidRPr="001943B2">
        <w:rPr>
          <w:rFonts w:ascii="Times New Roman" w:hAnsi="Times New Roman" w:cs="Times New Roman"/>
          <w:color w:val="000000"/>
        </w:rPr>
        <w:t>enables</w:t>
      </w:r>
      <w:r w:rsidRPr="001943B2">
        <w:rPr>
          <w:rFonts w:ascii="Times New Roman" w:hAnsi="Times New Roman" w:cs="Times New Roman"/>
          <w:color w:val="000000"/>
        </w:rPr>
        <w:t xml:space="preserve"> accountaibility</w:t>
      </w:r>
      <w:r w:rsidR="00E177CA" w:rsidRPr="001943B2">
        <w:rPr>
          <w:rFonts w:ascii="Times New Roman" w:hAnsi="Times New Roman" w:cs="Times New Roman"/>
          <w:color w:val="000000"/>
        </w:rPr>
        <w:t xml:space="preserve">. </w:t>
      </w:r>
      <w:r w:rsidR="005764E7" w:rsidRPr="001943B2">
        <w:rPr>
          <w:rFonts w:ascii="Times New Roman" w:hAnsi="Times New Roman" w:cs="Times New Roman"/>
          <w:color w:val="000000"/>
        </w:rPr>
        <w:t>Formal equality focuses on uniform rules applied identically to all</w:t>
      </w:r>
      <w:r w:rsidR="005C0B43" w:rsidRPr="001943B2">
        <w:rPr>
          <w:rFonts w:ascii="Times New Roman" w:hAnsi="Times New Roman" w:cs="Times New Roman"/>
          <w:color w:val="000000"/>
        </w:rPr>
        <w:t>,</w:t>
      </w:r>
      <w:r w:rsidR="005764E7" w:rsidRPr="001943B2">
        <w:rPr>
          <w:rFonts w:ascii="Times New Roman" w:hAnsi="Times New Roman" w:cs="Times New Roman"/>
          <w:color w:val="000000"/>
        </w:rPr>
        <w:t xml:space="preserve"> whereas substantive equality can be seen to be equity-focused, </w:t>
      </w:r>
      <w:r w:rsidR="007A3CAE" w:rsidRPr="001943B2">
        <w:rPr>
          <w:rFonts w:ascii="Times New Roman" w:hAnsi="Times New Roman" w:cs="Times New Roman"/>
          <w:color w:val="000000"/>
        </w:rPr>
        <w:t>acknowledging</w:t>
      </w:r>
      <w:r w:rsidR="005764E7" w:rsidRPr="001943B2">
        <w:rPr>
          <w:rFonts w:ascii="Times New Roman" w:hAnsi="Times New Roman" w:cs="Times New Roman"/>
          <w:color w:val="000000"/>
        </w:rPr>
        <w:t xml:space="preserve"> systemic barriers</w:t>
      </w:r>
      <w:r w:rsidR="007A3CAE" w:rsidRPr="001943B2">
        <w:rPr>
          <w:rFonts w:ascii="Times New Roman" w:hAnsi="Times New Roman" w:cs="Times New Roman"/>
          <w:color w:val="000000"/>
        </w:rPr>
        <w:t xml:space="preserve">, </w:t>
      </w:r>
      <w:r w:rsidR="005764E7" w:rsidRPr="001943B2">
        <w:rPr>
          <w:rFonts w:ascii="Times New Roman" w:hAnsi="Times New Roman" w:cs="Times New Roman"/>
          <w:color w:val="000000"/>
        </w:rPr>
        <w:t>power imbalances, historical injustice, and social context.</w:t>
      </w:r>
      <w:r w:rsidR="005764E7" w:rsidRPr="001943B2">
        <w:rPr>
          <w:rStyle w:val="FootnoteReference"/>
          <w:rFonts w:ascii="Times New Roman" w:hAnsi="Times New Roman" w:cs="Times New Roman"/>
          <w:color w:val="000000"/>
        </w:rPr>
        <w:footnoteReference w:id="33"/>
      </w:r>
      <w:r w:rsidR="00121686" w:rsidRPr="001943B2">
        <w:rPr>
          <w:rFonts w:ascii="Times New Roman" w:hAnsi="Times New Roman" w:cs="Times New Roman"/>
          <w:color w:val="000000"/>
        </w:rPr>
        <w:t xml:space="preserve"> Equality develops its meaning over time, however, the notion can only be addressed by drawing on our previous understanding of the concept.</w:t>
      </w:r>
      <w:r w:rsidR="00121686" w:rsidRPr="001943B2">
        <w:rPr>
          <w:rStyle w:val="FootnoteReference"/>
          <w:rFonts w:ascii="Times New Roman" w:hAnsi="Times New Roman" w:cs="Times New Roman"/>
          <w:color w:val="000000"/>
        </w:rPr>
        <w:footnoteReference w:id="34"/>
      </w:r>
      <w:r w:rsidR="005764E7" w:rsidRPr="001943B2">
        <w:rPr>
          <w:rFonts w:ascii="Times New Roman" w:hAnsi="Times New Roman" w:cs="Times New Roman"/>
          <w:color w:val="000000"/>
        </w:rPr>
        <w:t xml:space="preserve"> </w:t>
      </w:r>
      <w:r w:rsidR="00121686" w:rsidRPr="001943B2">
        <w:rPr>
          <w:rFonts w:ascii="Times New Roman" w:hAnsi="Times New Roman" w:cs="Times New Roman"/>
          <w:color w:val="000000"/>
        </w:rPr>
        <w:t>Formalist approaches of equality continue to be valued on a macro scale; a foundational pillar of societies that allows for no person to be above the law.</w:t>
      </w:r>
      <w:r w:rsidR="00121686" w:rsidRPr="001943B2">
        <w:rPr>
          <w:rStyle w:val="FootnoteReference"/>
          <w:rFonts w:ascii="Times New Roman" w:hAnsi="Times New Roman" w:cs="Times New Roman"/>
          <w:color w:val="000000"/>
        </w:rPr>
        <w:footnoteReference w:id="35"/>
      </w:r>
      <w:r w:rsidR="00121686" w:rsidRPr="001943B2">
        <w:rPr>
          <w:rFonts w:ascii="Times New Roman" w:hAnsi="Times New Roman" w:cs="Times New Roman"/>
          <w:color w:val="000000"/>
        </w:rPr>
        <w:t xml:space="preserve"> Common law</w:t>
      </w:r>
      <w:r w:rsidR="00E177CA" w:rsidRPr="001943B2">
        <w:rPr>
          <w:rFonts w:ascii="Times New Roman" w:hAnsi="Times New Roman" w:cs="Times New Roman"/>
          <w:color w:val="000000"/>
        </w:rPr>
        <w:t xml:space="preserve"> emphasises that Commonwealth laws apply to everyone without discrimination.</w:t>
      </w:r>
      <w:r w:rsidR="00E177CA" w:rsidRPr="001943B2">
        <w:rPr>
          <w:rStyle w:val="FootnoteReference"/>
          <w:rFonts w:ascii="Times New Roman" w:hAnsi="Times New Roman" w:cs="Times New Roman"/>
          <w:color w:val="000000"/>
        </w:rPr>
        <w:footnoteReference w:id="36"/>
      </w:r>
      <w:r w:rsidRPr="001943B2">
        <w:rPr>
          <w:rFonts w:ascii="Times New Roman" w:hAnsi="Times New Roman" w:cs="Times New Roman"/>
          <w:color w:val="000000"/>
        </w:rPr>
        <w:t xml:space="preserve"> </w:t>
      </w:r>
      <w:r w:rsidR="007A3CAE" w:rsidRPr="001943B2">
        <w:rPr>
          <w:rFonts w:ascii="Times New Roman" w:hAnsi="Times New Roman" w:cs="Times New Roman"/>
          <w:color w:val="000000"/>
        </w:rPr>
        <w:t>This</w:t>
      </w:r>
      <w:r w:rsidR="00E177CA" w:rsidRPr="001943B2">
        <w:rPr>
          <w:rFonts w:ascii="Times New Roman" w:hAnsi="Times New Roman" w:cs="Times New Roman"/>
          <w:color w:val="000000"/>
        </w:rPr>
        <w:t xml:space="preserve"> prevents arbitrar</w:t>
      </w:r>
      <w:r w:rsidR="00102B74" w:rsidRPr="001943B2">
        <w:rPr>
          <w:rFonts w:ascii="Times New Roman" w:hAnsi="Times New Roman" w:cs="Times New Roman"/>
          <w:color w:val="000000"/>
        </w:rPr>
        <w:t>y</w:t>
      </w:r>
      <w:r w:rsidR="00E177CA" w:rsidRPr="001943B2">
        <w:rPr>
          <w:rFonts w:ascii="Times New Roman" w:hAnsi="Times New Roman" w:cs="Times New Roman"/>
          <w:color w:val="000000"/>
        </w:rPr>
        <w:t xml:space="preserve"> treatment.</w:t>
      </w:r>
      <w:r w:rsidR="00E177CA" w:rsidRPr="001943B2">
        <w:rPr>
          <w:rStyle w:val="FootnoteReference"/>
          <w:rFonts w:ascii="Times New Roman" w:hAnsi="Times New Roman" w:cs="Times New Roman"/>
          <w:color w:val="000000"/>
        </w:rPr>
        <w:footnoteReference w:id="37"/>
      </w:r>
      <w:r w:rsidR="00E177CA" w:rsidRPr="001943B2">
        <w:rPr>
          <w:rFonts w:ascii="Times New Roman" w:hAnsi="Times New Roman" w:cs="Times New Roman"/>
          <w:color w:val="000000"/>
        </w:rPr>
        <w:t xml:space="preserve"> </w:t>
      </w:r>
      <w:r w:rsidR="008B01BE" w:rsidRPr="001943B2">
        <w:rPr>
          <w:rFonts w:ascii="Times New Roman" w:hAnsi="Times New Roman" w:cs="Times New Roman"/>
          <w:color w:val="000000"/>
        </w:rPr>
        <w:t xml:space="preserve">Creating a new category of persons, such as ‘non-citizen, non-alien’ effectively diminishes formal equality as it puts Indigenous Peoples beyond legal constraints, particularly that of the </w:t>
      </w:r>
      <w:r w:rsidR="008B01BE" w:rsidRPr="001943B2">
        <w:rPr>
          <w:rFonts w:ascii="Times New Roman" w:hAnsi="Times New Roman" w:cs="Times New Roman"/>
          <w:i/>
          <w:iCs/>
          <w:color w:val="000000"/>
        </w:rPr>
        <w:t>Migration Act 1958</w:t>
      </w:r>
      <w:r w:rsidR="008B01BE" w:rsidRPr="001943B2">
        <w:rPr>
          <w:rFonts w:ascii="Times New Roman" w:hAnsi="Times New Roman" w:cs="Times New Roman"/>
          <w:color w:val="000000"/>
        </w:rPr>
        <w:t xml:space="preserve"> (</w:t>
      </w:r>
      <w:proofErr w:type="spellStart"/>
      <w:r w:rsidR="008B01BE" w:rsidRPr="001943B2">
        <w:rPr>
          <w:rFonts w:ascii="Times New Roman" w:hAnsi="Times New Roman" w:cs="Times New Roman"/>
          <w:color w:val="000000"/>
        </w:rPr>
        <w:t>Cth</w:t>
      </w:r>
      <w:proofErr w:type="spellEnd"/>
      <w:r w:rsidR="008B01BE" w:rsidRPr="001943B2">
        <w:rPr>
          <w:rFonts w:ascii="Times New Roman" w:hAnsi="Times New Roman" w:cs="Times New Roman"/>
          <w:color w:val="000000"/>
        </w:rPr>
        <w:t>)</w:t>
      </w:r>
      <w:r w:rsidR="00420C7E" w:rsidRPr="001943B2">
        <w:rPr>
          <w:rFonts w:ascii="Times New Roman" w:hAnsi="Times New Roman" w:cs="Times New Roman"/>
          <w:color w:val="000000"/>
        </w:rPr>
        <w:t xml:space="preserve">. This categorisation </w:t>
      </w:r>
      <w:r w:rsidR="008B01BE" w:rsidRPr="001943B2">
        <w:rPr>
          <w:rFonts w:ascii="Times New Roman" w:hAnsi="Times New Roman" w:cs="Times New Roman"/>
          <w:color w:val="000000"/>
        </w:rPr>
        <w:t xml:space="preserve">allows for non-citizens who have committed a crime to remain in Australia despite their contraventions. They are not bound by the legal obligations and rules that all other non-citizens must abide by. As </w:t>
      </w:r>
      <w:proofErr w:type="spellStart"/>
      <w:r w:rsidR="008B01BE" w:rsidRPr="001943B2">
        <w:rPr>
          <w:rFonts w:ascii="Times New Roman" w:hAnsi="Times New Roman" w:cs="Times New Roman"/>
          <w:color w:val="000000"/>
        </w:rPr>
        <w:t>Jagot</w:t>
      </w:r>
      <w:proofErr w:type="spellEnd"/>
      <w:r w:rsidR="008B01BE" w:rsidRPr="001943B2">
        <w:rPr>
          <w:rFonts w:ascii="Times New Roman" w:hAnsi="Times New Roman" w:cs="Times New Roman"/>
          <w:color w:val="000000"/>
        </w:rPr>
        <w:t xml:space="preserve"> J stated in </w:t>
      </w:r>
      <w:r w:rsidR="008B01BE" w:rsidRPr="001943B2">
        <w:rPr>
          <w:rFonts w:ascii="Times New Roman" w:hAnsi="Times New Roman" w:cs="Times New Roman"/>
          <w:i/>
          <w:iCs/>
          <w:color w:val="000000"/>
        </w:rPr>
        <w:t>Farmer</w:t>
      </w:r>
      <w:r w:rsidR="008B01BE" w:rsidRPr="001943B2">
        <w:rPr>
          <w:rFonts w:ascii="Times New Roman" w:hAnsi="Times New Roman" w:cs="Times New Roman"/>
          <w:color w:val="000000"/>
        </w:rPr>
        <w:t>, ‘</w:t>
      </w:r>
      <w:r w:rsidR="007C358E" w:rsidRPr="001943B2">
        <w:rPr>
          <w:rFonts w:ascii="Times New Roman" w:hAnsi="Times New Roman" w:cs="Times New Roman"/>
          <w:color w:val="000000"/>
        </w:rPr>
        <w:t>a sovereign nation may exclude all aliens [and] can …permit entry by an alien into its sovereign territory subject ‘to what conditions it pleases.’’</w:t>
      </w:r>
      <w:r w:rsidR="007C358E" w:rsidRPr="001943B2">
        <w:rPr>
          <w:rStyle w:val="FootnoteReference"/>
          <w:rFonts w:ascii="Times New Roman" w:hAnsi="Times New Roman" w:cs="Times New Roman"/>
          <w:color w:val="000000"/>
        </w:rPr>
        <w:footnoteReference w:id="38"/>
      </w:r>
      <w:r w:rsidR="007C358E" w:rsidRPr="001943B2">
        <w:rPr>
          <w:rFonts w:ascii="Times New Roman" w:hAnsi="Times New Roman" w:cs="Times New Roman"/>
          <w:color w:val="000000"/>
        </w:rPr>
        <w:t xml:space="preserve"> These conditions are not intended to be horizontal, rather, they should apply without discrimination that asserts a particular racial group as above the law.</w:t>
      </w:r>
    </w:p>
    <w:p w14:paraId="3FD0A23C" w14:textId="686BB8E1" w:rsidR="009F5317" w:rsidRPr="001943B2" w:rsidRDefault="009F5317" w:rsidP="001943B2">
      <w:pPr>
        <w:spacing w:line="360" w:lineRule="auto"/>
        <w:rPr>
          <w:rFonts w:ascii="Times New Roman" w:hAnsi="Times New Roman" w:cs="Times New Roman"/>
          <w:color w:val="000000"/>
        </w:rPr>
      </w:pPr>
      <w:r w:rsidRPr="001943B2">
        <w:rPr>
          <w:rFonts w:ascii="Times New Roman" w:hAnsi="Times New Roman" w:cs="Times New Roman"/>
          <w:color w:val="000000"/>
        </w:rPr>
        <w:t xml:space="preserve">Scholar Shireen Morris has fought back against views that the </w:t>
      </w:r>
      <w:r w:rsidRPr="001943B2">
        <w:rPr>
          <w:rFonts w:ascii="Times New Roman" w:hAnsi="Times New Roman" w:cs="Times New Roman"/>
          <w:i/>
          <w:iCs/>
          <w:color w:val="000000"/>
        </w:rPr>
        <w:t>Love</w:t>
      </w:r>
      <w:r w:rsidRPr="001943B2">
        <w:rPr>
          <w:rFonts w:ascii="Times New Roman" w:hAnsi="Times New Roman" w:cs="Times New Roman"/>
          <w:color w:val="000000"/>
        </w:rPr>
        <w:t xml:space="preserve"> decision is a race-dividing interpretation of the </w:t>
      </w:r>
      <w:r w:rsidRPr="001943B2">
        <w:rPr>
          <w:rFonts w:ascii="Times New Roman" w:hAnsi="Times New Roman" w:cs="Times New Roman"/>
          <w:i/>
          <w:iCs/>
          <w:color w:val="000000"/>
        </w:rPr>
        <w:t>Constitution</w:t>
      </w:r>
      <w:r w:rsidRPr="001943B2">
        <w:rPr>
          <w:rFonts w:ascii="Times New Roman" w:hAnsi="Times New Roman" w:cs="Times New Roman"/>
          <w:color w:val="000000"/>
        </w:rPr>
        <w:t xml:space="preserve"> that subverts equality before the law as she posits that the instrument inherently divides its subjects by race.</w:t>
      </w:r>
      <w:r w:rsidR="00121686" w:rsidRPr="001943B2">
        <w:rPr>
          <w:rStyle w:val="FootnoteReference"/>
          <w:rFonts w:ascii="Times New Roman" w:hAnsi="Times New Roman" w:cs="Times New Roman"/>
          <w:color w:val="000000"/>
        </w:rPr>
        <w:footnoteReference w:id="39"/>
      </w:r>
      <w:r w:rsidRPr="001943B2">
        <w:rPr>
          <w:rFonts w:ascii="Times New Roman" w:hAnsi="Times New Roman" w:cs="Times New Roman"/>
          <w:color w:val="000000"/>
        </w:rPr>
        <w:t xml:space="preserve"> Drawing on Dawson J’s comments in </w:t>
      </w:r>
      <w:r w:rsidRPr="001943B2">
        <w:rPr>
          <w:rFonts w:ascii="Times New Roman" w:hAnsi="Times New Roman" w:cs="Times New Roman"/>
          <w:i/>
          <w:iCs/>
          <w:color w:val="000000"/>
        </w:rPr>
        <w:t>Kruger v Commonwealth</w:t>
      </w:r>
      <w:r w:rsidRPr="001943B2">
        <w:rPr>
          <w:rFonts w:ascii="Times New Roman" w:hAnsi="Times New Roman" w:cs="Times New Roman"/>
          <w:color w:val="000000"/>
        </w:rPr>
        <w:t xml:space="preserve"> that ‘[g]</w:t>
      </w:r>
      <w:proofErr w:type="spellStart"/>
      <w:r w:rsidRPr="001943B2">
        <w:rPr>
          <w:rFonts w:ascii="Times New Roman" w:hAnsi="Times New Roman" w:cs="Times New Roman"/>
          <w:color w:val="000000"/>
        </w:rPr>
        <w:t>uarantees</w:t>
      </w:r>
      <w:proofErr w:type="spellEnd"/>
      <w:r w:rsidRPr="001943B2">
        <w:rPr>
          <w:rFonts w:ascii="Times New Roman" w:hAnsi="Times New Roman" w:cs="Times New Roman"/>
          <w:color w:val="000000"/>
        </w:rPr>
        <w:t xml:space="preserve"> of equality before the law…were </w:t>
      </w:r>
      <w:r w:rsidRPr="001943B2">
        <w:rPr>
          <w:rFonts w:ascii="Times New Roman" w:hAnsi="Times New Roman" w:cs="Times New Roman"/>
          <w:color w:val="000000"/>
        </w:rPr>
        <w:lastRenderedPageBreak/>
        <w:t>specifically rejected’ in the drafting of the Constitution,</w:t>
      </w:r>
      <w:r w:rsidRPr="001943B2">
        <w:rPr>
          <w:rStyle w:val="FootnoteReference"/>
          <w:rFonts w:ascii="Times New Roman" w:hAnsi="Times New Roman" w:cs="Times New Roman"/>
          <w:color w:val="000000"/>
        </w:rPr>
        <w:footnoteReference w:id="40"/>
      </w:r>
      <w:r w:rsidRPr="001943B2">
        <w:rPr>
          <w:rFonts w:ascii="Times New Roman" w:hAnsi="Times New Roman" w:cs="Times New Roman"/>
          <w:color w:val="000000"/>
        </w:rPr>
        <w:t xml:space="preserve"> Morris has expressed that the failure to historically recognise Indigenous sovereignty has led to the exclusion of Indigenous Peoples as a constituent to Australia’s ‘political community.’</w:t>
      </w:r>
      <w:r w:rsidR="00121686" w:rsidRPr="001943B2">
        <w:rPr>
          <w:rStyle w:val="FootnoteReference"/>
          <w:rFonts w:ascii="Times New Roman" w:hAnsi="Times New Roman" w:cs="Times New Roman"/>
          <w:color w:val="000000"/>
        </w:rPr>
        <w:footnoteReference w:id="41"/>
      </w:r>
      <w:r w:rsidRPr="001943B2">
        <w:rPr>
          <w:rFonts w:ascii="Times New Roman" w:hAnsi="Times New Roman" w:cs="Times New Roman"/>
          <w:color w:val="000000"/>
        </w:rPr>
        <w:t xml:space="preserve"> Moreover, Detmold contends that</w:t>
      </w:r>
      <w:r w:rsidR="007C7D09" w:rsidRPr="001943B2">
        <w:rPr>
          <w:rFonts w:ascii="Times New Roman" w:hAnsi="Times New Roman" w:cs="Times New Roman"/>
          <w:color w:val="000000"/>
        </w:rPr>
        <w:t xml:space="preserve"> constitutional questions do not apply equally, rather they apply with equal respect and that discrimination between people on rational grounds ‘does not construct a separation of community between them.’</w:t>
      </w:r>
      <w:r w:rsidR="007A3CAE" w:rsidRPr="001943B2">
        <w:rPr>
          <w:rStyle w:val="FootnoteReference"/>
          <w:rFonts w:ascii="Times New Roman" w:hAnsi="Times New Roman" w:cs="Times New Roman"/>
          <w:color w:val="000000"/>
        </w:rPr>
        <w:footnoteReference w:id="42"/>
      </w:r>
      <w:r w:rsidR="007C7D09" w:rsidRPr="001943B2">
        <w:rPr>
          <w:rFonts w:ascii="Times New Roman" w:hAnsi="Times New Roman" w:cs="Times New Roman"/>
          <w:color w:val="000000"/>
        </w:rPr>
        <w:t xml:space="preserve"> </w:t>
      </w:r>
      <w:r w:rsidR="009520BC" w:rsidRPr="001943B2">
        <w:rPr>
          <w:rFonts w:ascii="Times New Roman" w:hAnsi="Times New Roman" w:cs="Times New Roman"/>
          <w:color w:val="000000"/>
        </w:rPr>
        <w:t xml:space="preserve">In the judgment, Gordon J held that the </w:t>
      </w:r>
      <w:r w:rsidR="009520BC" w:rsidRPr="001943B2">
        <w:rPr>
          <w:rFonts w:ascii="Times New Roman" w:hAnsi="Times New Roman" w:cs="Times New Roman"/>
          <w:i/>
          <w:iCs/>
          <w:color w:val="000000"/>
        </w:rPr>
        <w:t>Constitution</w:t>
      </w:r>
      <w:r w:rsidR="009520BC" w:rsidRPr="001943B2">
        <w:rPr>
          <w:rFonts w:ascii="Times New Roman" w:hAnsi="Times New Roman" w:cs="Times New Roman"/>
          <w:color w:val="000000"/>
        </w:rPr>
        <w:t xml:space="preserve"> ‘expressly contemplates special laws for particular races’.</w:t>
      </w:r>
      <w:r w:rsidR="009520BC" w:rsidRPr="001943B2">
        <w:rPr>
          <w:rStyle w:val="FootnoteReference"/>
          <w:rFonts w:ascii="Times New Roman" w:hAnsi="Times New Roman" w:cs="Times New Roman"/>
          <w:color w:val="000000"/>
        </w:rPr>
        <w:footnoteReference w:id="43"/>
      </w:r>
      <w:r w:rsidR="009520BC" w:rsidRPr="001943B2">
        <w:rPr>
          <w:rFonts w:ascii="Times New Roman" w:hAnsi="Times New Roman" w:cs="Times New Roman"/>
          <w:color w:val="000000"/>
        </w:rPr>
        <w:t xml:space="preserve"> </w:t>
      </w:r>
      <w:r w:rsidR="002345E2" w:rsidRPr="001943B2">
        <w:rPr>
          <w:rFonts w:ascii="Times New Roman" w:hAnsi="Times New Roman" w:cs="Times New Roman"/>
          <w:color w:val="000000"/>
        </w:rPr>
        <w:t>Fears of inclusion of Indigenous Australians into the political community causing race-based division were said to be ‘overstated’ according to Bell J.</w:t>
      </w:r>
      <w:r w:rsidR="002345E2" w:rsidRPr="001943B2">
        <w:rPr>
          <w:rStyle w:val="FootnoteReference"/>
          <w:rFonts w:ascii="Times New Roman" w:hAnsi="Times New Roman" w:cs="Times New Roman"/>
          <w:color w:val="000000"/>
        </w:rPr>
        <w:footnoteReference w:id="44"/>
      </w:r>
      <w:r w:rsidR="002345E2" w:rsidRPr="001943B2">
        <w:rPr>
          <w:rFonts w:ascii="Times New Roman" w:hAnsi="Times New Roman" w:cs="Times New Roman"/>
          <w:color w:val="000000"/>
        </w:rPr>
        <w:t xml:space="preserve"> </w:t>
      </w:r>
      <w:r w:rsidR="007C7D09" w:rsidRPr="001943B2">
        <w:rPr>
          <w:rFonts w:ascii="Times New Roman" w:hAnsi="Times New Roman" w:cs="Times New Roman"/>
          <w:color w:val="000000"/>
        </w:rPr>
        <w:t xml:space="preserve">The central claim is that inequality already exists in the </w:t>
      </w:r>
      <w:r w:rsidR="007C7D09" w:rsidRPr="001943B2">
        <w:rPr>
          <w:rFonts w:ascii="Times New Roman" w:hAnsi="Times New Roman" w:cs="Times New Roman"/>
          <w:i/>
          <w:iCs/>
          <w:color w:val="000000"/>
        </w:rPr>
        <w:t>Constitution</w:t>
      </w:r>
      <w:r w:rsidR="00B0272E" w:rsidRPr="001943B2">
        <w:rPr>
          <w:rFonts w:ascii="Times New Roman" w:hAnsi="Times New Roman" w:cs="Times New Roman"/>
          <w:color w:val="000000"/>
        </w:rPr>
        <w:t>.</w:t>
      </w:r>
    </w:p>
    <w:p w14:paraId="651EA460" w14:textId="07A07725" w:rsidR="00F74712" w:rsidRPr="001943B2" w:rsidRDefault="00F74712" w:rsidP="001943B2">
      <w:pPr>
        <w:pStyle w:val="Heading1"/>
        <w:spacing w:line="360" w:lineRule="auto"/>
        <w:rPr>
          <w:rFonts w:ascii="Times New Roman" w:hAnsi="Times New Roman" w:cs="Times New Roman"/>
        </w:rPr>
      </w:pPr>
      <w:r w:rsidRPr="001943B2">
        <w:rPr>
          <w:rFonts w:ascii="Times New Roman" w:hAnsi="Times New Roman" w:cs="Times New Roman"/>
        </w:rPr>
        <w:t>Challenging Westphalian views</w:t>
      </w:r>
    </w:p>
    <w:p w14:paraId="5BD38FAD" w14:textId="77DA0B37" w:rsidR="001409A5" w:rsidRPr="001943B2" w:rsidRDefault="001409A5" w:rsidP="001943B2">
      <w:pPr>
        <w:spacing w:line="360" w:lineRule="auto"/>
        <w:rPr>
          <w:rFonts w:ascii="Times New Roman" w:hAnsi="Times New Roman" w:cs="Times New Roman"/>
        </w:rPr>
      </w:pPr>
      <w:r w:rsidRPr="001943B2">
        <w:rPr>
          <w:rFonts w:ascii="Times New Roman" w:hAnsi="Times New Roman" w:cs="Times New Roman"/>
        </w:rPr>
        <w:t>Westphalian sovereignty is a ‘geopolitical’ structure binding sovereign agency to territorial statehood.</w:t>
      </w:r>
      <w:r w:rsidR="00121686" w:rsidRPr="001943B2">
        <w:rPr>
          <w:rStyle w:val="FootnoteReference"/>
          <w:rFonts w:ascii="Times New Roman" w:hAnsi="Times New Roman" w:cs="Times New Roman"/>
        </w:rPr>
        <w:footnoteReference w:id="45"/>
      </w:r>
      <w:r w:rsidRPr="001943B2">
        <w:rPr>
          <w:rFonts w:ascii="Times New Roman" w:hAnsi="Times New Roman" w:cs="Times New Roman"/>
        </w:rPr>
        <w:t xml:space="preserve"> </w:t>
      </w:r>
      <w:r w:rsidR="00121686" w:rsidRPr="001943B2">
        <w:rPr>
          <w:rFonts w:ascii="Times New Roman" w:hAnsi="Times New Roman" w:cs="Times New Roman"/>
        </w:rPr>
        <w:t>Westphalian views</w:t>
      </w:r>
      <w:r w:rsidRPr="001943B2">
        <w:rPr>
          <w:rFonts w:ascii="Times New Roman" w:hAnsi="Times New Roman" w:cs="Times New Roman"/>
        </w:rPr>
        <w:t xml:space="preserve"> uphold colonial values and create </w:t>
      </w:r>
      <w:r w:rsidR="008C3545" w:rsidRPr="001943B2">
        <w:rPr>
          <w:rFonts w:ascii="Times New Roman" w:hAnsi="Times New Roman" w:cs="Times New Roman"/>
        </w:rPr>
        <w:t>racialized</w:t>
      </w:r>
      <w:r w:rsidRPr="001943B2">
        <w:rPr>
          <w:rFonts w:ascii="Times New Roman" w:hAnsi="Times New Roman" w:cs="Times New Roman"/>
        </w:rPr>
        <w:t xml:space="preserve"> social hierarchies. </w:t>
      </w:r>
      <w:r w:rsidR="00F6644F" w:rsidRPr="001943B2">
        <w:rPr>
          <w:rFonts w:ascii="Times New Roman" w:hAnsi="Times New Roman" w:cs="Times New Roman"/>
        </w:rPr>
        <w:t>At its core, it</w:t>
      </w:r>
      <w:r w:rsidR="007A3CAE" w:rsidRPr="001943B2">
        <w:rPr>
          <w:rFonts w:ascii="Times New Roman" w:hAnsi="Times New Roman" w:cs="Times New Roman"/>
        </w:rPr>
        <w:t xml:space="preserve">s principles are </w:t>
      </w:r>
      <w:r w:rsidR="00F6644F" w:rsidRPr="001943B2">
        <w:rPr>
          <w:rFonts w:ascii="Times New Roman" w:hAnsi="Times New Roman" w:cs="Times New Roman"/>
        </w:rPr>
        <w:t xml:space="preserve">political independence, legal equality of states under international law, and that no </w:t>
      </w:r>
      <w:r w:rsidR="006F1097" w:rsidRPr="001943B2">
        <w:rPr>
          <w:rFonts w:ascii="Times New Roman" w:hAnsi="Times New Roman" w:cs="Times New Roman"/>
        </w:rPr>
        <w:t>S</w:t>
      </w:r>
      <w:r w:rsidR="00F6644F" w:rsidRPr="001943B2">
        <w:rPr>
          <w:rFonts w:ascii="Times New Roman" w:hAnsi="Times New Roman" w:cs="Times New Roman"/>
        </w:rPr>
        <w:t xml:space="preserve">tate should </w:t>
      </w:r>
      <w:r w:rsidR="006F1097" w:rsidRPr="001943B2">
        <w:rPr>
          <w:rFonts w:ascii="Times New Roman" w:hAnsi="Times New Roman" w:cs="Times New Roman"/>
        </w:rPr>
        <w:t>interfere</w:t>
      </w:r>
      <w:r w:rsidR="00F6644F" w:rsidRPr="001943B2">
        <w:rPr>
          <w:rFonts w:ascii="Times New Roman" w:hAnsi="Times New Roman" w:cs="Times New Roman"/>
        </w:rPr>
        <w:t xml:space="preserve"> in another </w:t>
      </w:r>
      <w:r w:rsidR="006F1097" w:rsidRPr="001943B2">
        <w:rPr>
          <w:rFonts w:ascii="Times New Roman" w:hAnsi="Times New Roman" w:cs="Times New Roman"/>
        </w:rPr>
        <w:t>S</w:t>
      </w:r>
      <w:r w:rsidR="00F6644F" w:rsidRPr="001943B2">
        <w:rPr>
          <w:rFonts w:ascii="Times New Roman" w:hAnsi="Times New Roman" w:cs="Times New Roman"/>
        </w:rPr>
        <w:t>tate’s domestic affairs</w:t>
      </w:r>
      <w:r w:rsidR="006F1097" w:rsidRPr="001943B2">
        <w:rPr>
          <w:rFonts w:ascii="Times New Roman" w:hAnsi="Times New Roman" w:cs="Times New Roman"/>
        </w:rPr>
        <w:t>.</w:t>
      </w:r>
      <w:r w:rsidR="006F1097" w:rsidRPr="001943B2">
        <w:rPr>
          <w:rStyle w:val="FootnoteReference"/>
          <w:rFonts w:ascii="Times New Roman" w:hAnsi="Times New Roman" w:cs="Times New Roman"/>
        </w:rPr>
        <w:footnoteReference w:id="46"/>
      </w:r>
      <w:r w:rsidR="006F1097" w:rsidRPr="001943B2">
        <w:rPr>
          <w:rFonts w:ascii="Times New Roman" w:hAnsi="Times New Roman" w:cs="Times New Roman"/>
        </w:rPr>
        <w:t xml:space="preserve"> Indigenous Peoples are participants of the nation state</w:t>
      </w:r>
      <w:r w:rsidR="00734345" w:rsidRPr="001943B2">
        <w:rPr>
          <w:rFonts w:ascii="Times New Roman" w:hAnsi="Times New Roman" w:cs="Times New Roman"/>
        </w:rPr>
        <w:t>.</w:t>
      </w:r>
      <w:r w:rsidR="006F1097" w:rsidRPr="001943B2">
        <w:rPr>
          <w:rStyle w:val="FootnoteReference"/>
          <w:rFonts w:ascii="Times New Roman" w:hAnsi="Times New Roman" w:cs="Times New Roman"/>
        </w:rPr>
        <w:footnoteReference w:id="47"/>
      </w:r>
      <w:r w:rsidR="00734345" w:rsidRPr="001943B2">
        <w:rPr>
          <w:rFonts w:ascii="Times New Roman" w:hAnsi="Times New Roman" w:cs="Times New Roman"/>
        </w:rPr>
        <w:t xml:space="preserve"> Kinship ties are very important in Indigenous communities. These are devalued by Westphalian </w:t>
      </w:r>
      <w:r w:rsidR="00121686" w:rsidRPr="001943B2">
        <w:rPr>
          <w:rFonts w:ascii="Times New Roman" w:hAnsi="Times New Roman" w:cs="Times New Roman"/>
        </w:rPr>
        <w:t>views</w:t>
      </w:r>
      <w:r w:rsidR="00734345" w:rsidRPr="001943B2">
        <w:rPr>
          <w:rFonts w:ascii="Times New Roman" w:hAnsi="Times New Roman" w:cs="Times New Roman"/>
        </w:rPr>
        <w:t xml:space="preserve"> that highlight territorial control over relationships and collective identity.</w:t>
      </w:r>
      <w:r w:rsidR="00734345" w:rsidRPr="001943B2">
        <w:rPr>
          <w:rStyle w:val="FootnoteReference"/>
          <w:rFonts w:ascii="Times New Roman" w:hAnsi="Times New Roman" w:cs="Times New Roman"/>
        </w:rPr>
        <w:footnoteReference w:id="48"/>
      </w:r>
      <w:r w:rsidR="00734345" w:rsidRPr="001943B2">
        <w:rPr>
          <w:rFonts w:ascii="Times New Roman" w:hAnsi="Times New Roman" w:cs="Times New Roman"/>
        </w:rPr>
        <w:t xml:space="preserve"> </w:t>
      </w:r>
      <w:r w:rsidR="009E7C66" w:rsidRPr="001943B2">
        <w:rPr>
          <w:rFonts w:ascii="Times New Roman" w:hAnsi="Times New Roman" w:cs="Times New Roman"/>
        </w:rPr>
        <w:t xml:space="preserve">Even in the </w:t>
      </w:r>
      <w:r w:rsidR="009E7C66" w:rsidRPr="001943B2">
        <w:rPr>
          <w:rFonts w:ascii="Times New Roman" w:hAnsi="Times New Roman" w:cs="Times New Roman"/>
          <w:i/>
          <w:iCs/>
        </w:rPr>
        <w:t>United Nations’ Declaration on the Rights of Indigenous Peoples,</w:t>
      </w:r>
      <w:r w:rsidR="009E7C66" w:rsidRPr="001943B2">
        <w:rPr>
          <w:rFonts w:ascii="Times New Roman" w:hAnsi="Times New Roman" w:cs="Times New Roman"/>
        </w:rPr>
        <w:t xml:space="preserve"> the freedom to exercise control over ‘external affairs’ of the Indigenous Peoples is excluded</w:t>
      </w:r>
      <w:r w:rsidR="00DE3F25" w:rsidRPr="001943B2">
        <w:rPr>
          <w:rFonts w:ascii="Times New Roman" w:hAnsi="Times New Roman" w:cs="Times New Roman"/>
        </w:rPr>
        <w:t>,</w:t>
      </w:r>
      <w:r w:rsidR="009E7C66" w:rsidRPr="001943B2">
        <w:rPr>
          <w:rFonts w:ascii="Times New Roman" w:hAnsi="Times New Roman" w:cs="Times New Roman"/>
        </w:rPr>
        <w:t xml:space="preserve"> as Article 4 restrains the right to self-determination by stating that ‘Indigenous peoples…have the right to autonomy or self-government in matters relating to their internal or local affairs.’</w:t>
      </w:r>
      <w:r w:rsidR="009E7C66" w:rsidRPr="001943B2">
        <w:rPr>
          <w:rStyle w:val="FootnoteReference"/>
          <w:rFonts w:ascii="Times New Roman" w:hAnsi="Times New Roman" w:cs="Times New Roman"/>
        </w:rPr>
        <w:footnoteReference w:id="49"/>
      </w:r>
      <w:r w:rsidR="009E7C66" w:rsidRPr="001943B2">
        <w:rPr>
          <w:rFonts w:ascii="Times New Roman" w:hAnsi="Times New Roman" w:cs="Times New Roman"/>
        </w:rPr>
        <w:t xml:space="preserve"> The freedoms given to sovereign nations </w:t>
      </w:r>
      <w:r w:rsidR="00727CC5" w:rsidRPr="001943B2">
        <w:rPr>
          <w:rFonts w:ascii="Times New Roman" w:hAnsi="Times New Roman" w:cs="Times New Roman"/>
        </w:rPr>
        <w:t xml:space="preserve">do not </w:t>
      </w:r>
      <w:r w:rsidR="009E7C66" w:rsidRPr="001943B2">
        <w:rPr>
          <w:rFonts w:ascii="Times New Roman" w:hAnsi="Times New Roman" w:cs="Times New Roman"/>
        </w:rPr>
        <w:t>extend to Indigenous communities.</w:t>
      </w:r>
    </w:p>
    <w:p w14:paraId="51D34ED5" w14:textId="32076D08" w:rsidR="00734345" w:rsidRPr="001943B2" w:rsidRDefault="00734345" w:rsidP="001943B2">
      <w:pPr>
        <w:spacing w:line="360" w:lineRule="auto"/>
        <w:rPr>
          <w:rFonts w:ascii="Times New Roman" w:hAnsi="Times New Roman" w:cs="Times New Roman"/>
        </w:rPr>
      </w:pPr>
      <w:r w:rsidRPr="001943B2">
        <w:rPr>
          <w:rFonts w:ascii="Times New Roman" w:hAnsi="Times New Roman" w:cs="Times New Roman"/>
        </w:rPr>
        <w:lastRenderedPageBreak/>
        <w:t>Despite Westphalian values constraining Indigenous sovereignty and self-determination, judicial activism has been highly criticised</w:t>
      </w:r>
      <w:r w:rsidR="0053488E" w:rsidRPr="001943B2">
        <w:rPr>
          <w:rFonts w:ascii="Times New Roman" w:hAnsi="Times New Roman" w:cs="Times New Roman"/>
        </w:rPr>
        <w:t xml:space="preserve">. Justice </w:t>
      </w:r>
      <w:proofErr w:type="spellStart"/>
      <w:r w:rsidR="0053488E" w:rsidRPr="001943B2">
        <w:rPr>
          <w:rFonts w:ascii="Times New Roman" w:hAnsi="Times New Roman" w:cs="Times New Roman"/>
        </w:rPr>
        <w:t>Heydon</w:t>
      </w:r>
      <w:proofErr w:type="spellEnd"/>
      <w:r w:rsidR="0053488E" w:rsidRPr="001943B2">
        <w:rPr>
          <w:rFonts w:ascii="Times New Roman" w:hAnsi="Times New Roman" w:cs="Times New Roman"/>
        </w:rPr>
        <w:t xml:space="preserve"> has described judicial activism as ‘using judicial power for a purpose other than that for which it was granted’ and ‘the furthering of some political, moral or social programme.’</w:t>
      </w:r>
      <w:r w:rsidR="0053488E" w:rsidRPr="001943B2">
        <w:rPr>
          <w:rStyle w:val="FootnoteReference"/>
          <w:rFonts w:ascii="Times New Roman" w:hAnsi="Times New Roman" w:cs="Times New Roman"/>
        </w:rPr>
        <w:footnoteReference w:id="50"/>
      </w:r>
      <w:r w:rsidR="005805AB" w:rsidRPr="001943B2">
        <w:rPr>
          <w:rFonts w:ascii="Times New Roman" w:hAnsi="Times New Roman" w:cs="Times New Roman"/>
        </w:rPr>
        <w:t xml:space="preserve"> His Honour has attacked this judicial function on the grounds that judges should decide cases rather than make law, which breaches the duty of restraint</w:t>
      </w:r>
      <w:r w:rsidR="00E55D8D" w:rsidRPr="001943B2">
        <w:rPr>
          <w:rFonts w:ascii="Times New Roman" w:hAnsi="Times New Roman" w:cs="Times New Roman"/>
        </w:rPr>
        <w:t>.</w:t>
      </w:r>
      <w:r w:rsidR="005805AB" w:rsidRPr="001943B2">
        <w:rPr>
          <w:rFonts w:ascii="Times New Roman" w:hAnsi="Times New Roman" w:cs="Times New Roman"/>
        </w:rPr>
        <w:t xml:space="preserve"> Justice </w:t>
      </w:r>
      <w:proofErr w:type="spellStart"/>
      <w:r w:rsidR="005805AB" w:rsidRPr="001943B2">
        <w:rPr>
          <w:rFonts w:ascii="Times New Roman" w:hAnsi="Times New Roman" w:cs="Times New Roman"/>
        </w:rPr>
        <w:t>Heydon</w:t>
      </w:r>
      <w:proofErr w:type="spellEnd"/>
      <w:r w:rsidR="005805AB" w:rsidRPr="001943B2">
        <w:rPr>
          <w:rFonts w:ascii="Times New Roman" w:hAnsi="Times New Roman" w:cs="Times New Roman"/>
        </w:rPr>
        <w:t xml:space="preserve"> relied on the words of Sir Owen Dixon to express that judicial activism undermines the principle of precedent and demonstrate</w:t>
      </w:r>
      <w:r w:rsidR="00420C7E" w:rsidRPr="001943B2">
        <w:rPr>
          <w:rFonts w:ascii="Times New Roman" w:hAnsi="Times New Roman" w:cs="Times New Roman"/>
        </w:rPr>
        <w:t>s</w:t>
      </w:r>
      <w:r w:rsidR="005805AB" w:rsidRPr="001943B2">
        <w:rPr>
          <w:rFonts w:ascii="Times New Roman" w:hAnsi="Times New Roman" w:cs="Times New Roman"/>
        </w:rPr>
        <w:t xml:space="preserve"> judicial uncertainty and unpredictability, disrupting public institutions</w:t>
      </w:r>
      <w:r w:rsidR="00420C7E" w:rsidRPr="001943B2">
        <w:rPr>
          <w:rFonts w:ascii="Times New Roman" w:hAnsi="Times New Roman" w:cs="Times New Roman"/>
        </w:rPr>
        <w:t>.</w:t>
      </w:r>
      <w:r w:rsidR="005805AB" w:rsidRPr="001943B2">
        <w:rPr>
          <w:rStyle w:val="FootnoteReference"/>
          <w:rFonts w:ascii="Times New Roman" w:hAnsi="Times New Roman" w:cs="Times New Roman"/>
        </w:rPr>
        <w:footnoteReference w:id="51"/>
      </w:r>
      <w:r w:rsidR="005805AB" w:rsidRPr="001943B2">
        <w:rPr>
          <w:rFonts w:ascii="Times New Roman" w:hAnsi="Times New Roman" w:cs="Times New Roman"/>
        </w:rPr>
        <w:t xml:space="preserve"> </w:t>
      </w:r>
      <w:r w:rsidR="00E56C4F" w:rsidRPr="001943B2">
        <w:rPr>
          <w:rFonts w:ascii="Times New Roman" w:hAnsi="Times New Roman" w:cs="Times New Roman"/>
        </w:rPr>
        <w:t>Sir Harry Gibbs agreed that this unpredictability is harmful as it relies on ‘the minds of judges themselves’.</w:t>
      </w:r>
      <w:r w:rsidR="00E56C4F" w:rsidRPr="001943B2">
        <w:rPr>
          <w:rStyle w:val="FootnoteReference"/>
          <w:rFonts w:ascii="Times New Roman" w:hAnsi="Times New Roman" w:cs="Times New Roman"/>
        </w:rPr>
        <w:footnoteReference w:id="52"/>
      </w:r>
    </w:p>
    <w:p w14:paraId="0BA67FF4" w14:textId="1806FA53" w:rsidR="00391A2F" w:rsidRPr="001943B2" w:rsidRDefault="00391A2F" w:rsidP="001943B2">
      <w:pPr>
        <w:spacing w:line="360" w:lineRule="auto"/>
        <w:rPr>
          <w:rFonts w:ascii="Times New Roman" w:hAnsi="Times New Roman" w:cs="Times New Roman"/>
        </w:rPr>
      </w:pPr>
      <w:r w:rsidRPr="001943B2">
        <w:rPr>
          <w:rFonts w:ascii="Times New Roman" w:hAnsi="Times New Roman" w:cs="Times New Roman"/>
        </w:rPr>
        <w:t>In response to the condemnation of judicial activism by prominent Australian legal figures and the medi</w:t>
      </w:r>
      <w:r w:rsidR="00121686" w:rsidRPr="001943B2">
        <w:rPr>
          <w:rFonts w:ascii="Times New Roman" w:hAnsi="Times New Roman" w:cs="Times New Roman"/>
        </w:rPr>
        <w:t xml:space="preserve">a, </w:t>
      </w:r>
      <w:r w:rsidRPr="001943B2">
        <w:rPr>
          <w:rFonts w:ascii="Times New Roman" w:hAnsi="Times New Roman" w:cs="Times New Roman"/>
        </w:rPr>
        <w:t>Professor George Williams assert</w:t>
      </w:r>
      <w:r w:rsidR="00121686" w:rsidRPr="001943B2">
        <w:rPr>
          <w:rFonts w:ascii="Times New Roman" w:hAnsi="Times New Roman" w:cs="Times New Roman"/>
        </w:rPr>
        <w:t>ed</w:t>
      </w:r>
      <w:r w:rsidRPr="001943B2">
        <w:rPr>
          <w:rFonts w:ascii="Times New Roman" w:hAnsi="Times New Roman" w:cs="Times New Roman"/>
        </w:rPr>
        <w:t xml:space="preserve"> that the label of judicial activist is commonly employed when, and only when, the High Court has expressed a ‘liberal or progressive’, rights-based or substantively egalitarian decision</w:t>
      </w:r>
      <w:r w:rsidR="00405603" w:rsidRPr="001943B2">
        <w:rPr>
          <w:rFonts w:ascii="Times New Roman" w:hAnsi="Times New Roman" w:cs="Times New Roman"/>
        </w:rPr>
        <w:t>.</w:t>
      </w:r>
      <w:r w:rsidR="00405603" w:rsidRPr="001943B2">
        <w:rPr>
          <w:rStyle w:val="FootnoteReference"/>
          <w:rFonts w:ascii="Times New Roman" w:hAnsi="Times New Roman" w:cs="Times New Roman"/>
        </w:rPr>
        <w:footnoteReference w:id="53"/>
      </w:r>
      <w:r w:rsidRPr="001943B2">
        <w:rPr>
          <w:rFonts w:ascii="Times New Roman" w:hAnsi="Times New Roman" w:cs="Times New Roman"/>
        </w:rPr>
        <w:t xml:space="preserve"> </w:t>
      </w:r>
      <w:r w:rsidR="0056727F" w:rsidRPr="001943B2">
        <w:rPr>
          <w:rFonts w:ascii="Times New Roman" w:hAnsi="Times New Roman" w:cs="Times New Roman"/>
        </w:rPr>
        <w:t>Conversely</w:t>
      </w:r>
      <w:r w:rsidRPr="001943B2">
        <w:rPr>
          <w:rFonts w:ascii="Times New Roman" w:hAnsi="Times New Roman" w:cs="Times New Roman"/>
        </w:rPr>
        <w:t xml:space="preserve">, when the High Court proceeds to uphold laws </w:t>
      </w:r>
      <w:r w:rsidR="007A3CAE" w:rsidRPr="001943B2">
        <w:rPr>
          <w:rFonts w:ascii="Times New Roman" w:hAnsi="Times New Roman" w:cs="Times New Roman"/>
        </w:rPr>
        <w:t>that impose an</w:t>
      </w:r>
      <w:r w:rsidRPr="001943B2">
        <w:rPr>
          <w:rFonts w:ascii="Times New Roman" w:hAnsi="Times New Roman" w:cs="Times New Roman"/>
        </w:rPr>
        <w:t xml:space="preserve"> excessive burden or paternalistic regulations, criticists tend to refrain from commenting.</w:t>
      </w:r>
      <w:r w:rsidR="00405603" w:rsidRPr="001943B2">
        <w:rPr>
          <w:rStyle w:val="FootnoteReference"/>
          <w:rFonts w:ascii="Times New Roman" w:hAnsi="Times New Roman" w:cs="Times New Roman"/>
        </w:rPr>
        <w:footnoteReference w:id="54"/>
      </w:r>
      <w:r w:rsidRPr="001943B2">
        <w:rPr>
          <w:rFonts w:ascii="Times New Roman" w:hAnsi="Times New Roman" w:cs="Times New Roman"/>
        </w:rPr>
        <w:t xml:space="preserve"> </w:t>
      </w:r>
      <w:r w:rsidR="007A3CAE" w:rsidRPr="001943B2">
        <w:rPr>
          <w:rFonts w:ascii="Times New Roman" w:hAnsi="Times New Roman" w:cs="Times New Roman"/>
        </w:rPr>
        <w:t xml:space="preserve">This is particularly so when the law restrains the rights of criminals or migrants. </w:t>
      </w:r>
      <w:r w:rsidRPr="001943B2">
        <w:rPr>
          <w:rFonts w:ascii="Times New Roman" w:hAnsi="Times New Roman" w:cs="Times New Roman"/>
        </w:rPr>
        <w:t>The Honourable Michael Kirby has labelled those same people who object to judges that delve into context and ‘express a desire to cure identified injustices’, removing themselves from a purely formalistic application of the law, as bullies</w:t>
      </w:r>
      <w:r w:rsidR="00405603" w:rsidRPr="001943B2">
        <w:rPr>
          <w:rFonts w:ascii="Times New Roman" w:hAnsi="Times New Roman" w:cs="Times New Roman"/>
        </w:rPr>
        <w:t>.</w:t>
      </w:r>
      <w:r w:rsidR="00405603" w:rsidRPr="001943B2">
        <w:rPr>
          <w:rStyle w:val="FootnoteReference"/>
          <w:rFonts w:ascii="Times New Roman" w:hAnsi="Times New Roman" w:cs="Times New Roman"/>
        </w:rPr>
        <w:footnoteReference w:id="55"/>
      </w:r>
      <w:r w:rsidR="00405603" w:rsidRPr="001943B2">
        <w:rPr>
          <w:rFonts w:ascii="Times New Roman" w:hAnsi="Times New Roman" w:cs="Times New Roman"/>
        </w:rPr>
        <w:t xml:space="preserve"> </w:t>
      </w:r>
      <w:r w:rsidRPr="001943B2">
        <w:rPr>
          <w:rFonts w:ascii="Times New Roman" w:hAnsi="Times New Roman" w:cs="Times New Roman"/>
        </w:rPr>
        <w:t xml:space="preserve">The intolerance </w:t>
      </w:r>
      <w:r w:rsidR="008121D2" w:rsidRPr="001943B2">
        <w:rPr>
          <w:rFonts w:ascii="Times New Roman" w:hAnsi="Times New Roman" w:cs="Times New Roman"/>
        </w:rPr>
        <w:t>is what drives judges to be labelled activists and therefore illegitimate.</w:t>
      </w:r>
      <w:r w:rsidR="008121D2" w:rsidRPr="001943B2">
        <w:rPr>
          <w:rStyle w:val="FootnoteReference"/>
          <w:rFonts w:ascii="Times New Roman" w:hAnsi="Times New Roman" w:cs="Times New Roman"/>
        </w:rPr>
        <w:footnoteReference w:id="56"/>
      </w:r>
    </w:p>
    <w:p w14:paraId="7BA56AB3" w14:textId="61EE9449" w:rsidR="00F74712" w:rsidRPr="001943B2" w:rsidRDefault="00E56C4F" w:rsidP="001943B2">
      <w:pPr>
        <w:pStyle w:val="Heading1"/>
        <w:spacing w:line="360" w:lineRule="auto"/>
        <w:rPr>
          <w:rFonts w:ascii="Times New Roman" w:hAnsi="Times New Roman" w:cs="Times New Roman"/>
        </w:rPr>
      </w:pPr>
      <w:r w:rsidRPr="001943B2">
        <w:rPr>
          <w:rFonts w:ascii="Times New Roman" w:hAnsi="Times New Roman" w:cs="Times New Roman"/>
        </w:rPr>
        <w:t>Conclusion</w:t>
      </w:r>
    </w:p>
    <w:p w14:paraId="607B9939" w14:textId="593E6324" w:rsidR="001943B2" w:rsidRDefault="00666514" w:rsidP="001943B2">
      <w:pPr>
        <w:spacing w:line="360" w:lineRule="auto"/>
        <w:rPr>
          <w:rFonts w:ascii="Times New Roman" w:hAnsi="Times New Roman" w:cs="Times New Roman"/>
          <w:lang w:val="en-GB"/>
        </w:rPr>
      </w:pPr>
      <w:r w:rsidRPr="001943B2">
        <w:rPr>
          <w:rFonts w:ascii="Times New Roman" w:hAnsi="Times New Roman" w:cs="Times New Roman"/>
          <w:lang w:val="en-GB"/>
        </w:rPr>
        <w:t xml:space="preserve">The </w:t>
      </w:r>
      <w:r w:rsidRPr="001943B2">
        <w:rPr>
          <w:rFonts w:ascii="Times New Roman" w:hAnsi="Times New Roman" w:cs="Times New Roman"/>
          <w:i/>
          <w:iCs/>
          <w:lang w:val="en-GB"/>
        </w:rPr>
        <w:t>Love</w:t>
      </w:r>
      <w:r w:rsidRPr="001943B2">
        <w:rPr>
          <w:rFonts w:ascii="Times New Roman" w:hAnsi="Times New Roman" w:cs="Times New Roman"/>
          <w:lang w:val="en-GB"/>
        </w:rPr>
        <w:t xml:space="preserve"> decision is notable as it signals a shift toward constitutional recognition of Indigenous peoples through judicial interpretation. The Court found that citizenship status does not solely determine constitutional belonging through the finding of a new category of </w:t>
      </w:r>
      <w:r w:rsidRPr="001943B2">
        <w:rPr>
          <w:rFonts w:ascii="Times New Roman" w:hAnsi="Times New Roman" w:cs="Times New Roman"/>
          <w:lang w:val="en-GB"/>
        </w:rPr>
        <w:lastRenderedPageBreak/>
        <w:t xml:space="preserve">persons, that is, </w:t>
      </w:r>
      <w:r w:rsidR="0056727F" w:rsidRPr="001943B2">
        <w:rPr>
          <w:rFonts w:ascii="Times New Roman" w:hAnsi="Times New Roman" w:cs="Times New Roman"/>
          <w:lang w:val="en-GB"/>
        </w:rPr>
        <w:t>‘</w:t>
      </w:r>
      <w:r w:rsidRPr="001943B2">
        <w:rPr>
          <w:rFonts w:ascii="Times New Roman" w:hAnsi="Times New Roman" w:cs="Times New Roman"/>
          <w:lang w:val="en-GB"/>
        </w:rPr>
        <w:t>non-citizens, non-aliens</w:t>
      </w:r>
      <w:r w:rsidR="0056727F" w:rsidRPr="001943B2">
        <w:rPr>
          <w:rFonts w:ascii="Times New Roman" w:hAnsi="Times New Roman" w:cs="Times New Roman"/>
          <w:lang w:val="en-GB"/>
        </w:rPr>
        <w:t>’</w:t>
      </w:r>
      <w:r w:rsidRPr="001943B2">
        <w:rPr>
          <w:rFonts w:ascii="Times New Roman" w:hAnsi="Times New Roman" w:cs="Times New Roman"/>
          <w:lang w:val="en-GB"/>
        </w:rPr>
        <w:t>. The judges differed in their constitutional interpretation</w:t>
      </w:r>
      <w:r w:rsidR="00727CC5" w:rsidRPr="001943B2">
        <w:rPr>
          <w:rFonts w:ascii="Times New Roman" w:hAnsi="Times New Roman" w:cs="Times New Roman"/>
          <w:lang w:val="en-GB"/>
        </w:rPr>
        <w:t>. The outcome</w:t>
      </w:r>
      <w:r w:rsidRPr="001943B2">
        <w:rPr>
          <w:rFonts w:ascii="Times New Roman" w:hAnsi="Times New Roman" w:cs="Times New Roman"/>
          <w:lang w:val="en-GB"/>
        </w:rPr>
        <w:t xml:space="preserve"> prevents the deportation of Aboriginal Australians under immigration laws and affirms their unique connection to the land. </w:t>
      </w:r>
      <w:r w:rsidRPr="001943B2">
        <w:rPr>
          <w:rFonts w:ascii="Times New Roman" w:hAnsi="Times New Roman" w:cs="Times New Roman"/>
          <w:i/>
          <w:iCs/>
          <w:lang w:val="en-GB"/>
        </w:rPr>
        <w:t>Love</w:t>
      </w:r>
      <w:r w:rsidRPr="001943B2">
        <w:rPr>
          <w:rFonts w:ascii="Times New Roman" w:hAnsi="Times New Roman" w:cs="Times New Roman"/>
          <w:lang w:val="en-GB"/>
        </w:rPr>
        <w:t xml:space="preserve"> forces Australia to confront the fact that equality does not always equate to sameness and the </w:t>
      </w:r>
      <w:r w:rsidRPr="001943B2">
        <w:rPr>
          <w:rFonts w:ascii="Times New Roman" w:hAnsi="Times New Roman" w:cs="Times New Roman"/>
          <w:i/>
          <w:iCs/>
          <w:lang w:val="en-GB"/>
        </w:rPr>
        <w:t>Constitution</w:t>
      </w:r>
      <w:r w:rsidRPr="001943B2">
        <w:rPr>
          <w:rFonts w:ascii="Times New Roman" w:hAnsi="Times New Roman" w:cs="Times New Roman"/>
          <w:lang w:val="en-GB"/>
        </w:rPr>
        <w:t xml:space="preserve"> cannot ignore the first peoples of the land. In recognising the new category of persons, the Court did not fracture the rule of law. The Westphalian order that </w:t>
      </w:r>
      <w:r w:rsidR="00727CC5" w:rsidRPr="001943B2">
        <w:rPr>
          <w:rFonts w:ascii="Times New Roman" w:hAnsi="Times New Roman" w:cs="Times New Roman"/>
          <w:lang w:val="en-GB"/>
        </w:rPr>
        <w:t>hinders</w:t>
      </w:r>
      <w:r w:rsidRPr="001943B2">
        <w:rPr>
          <w:rFonts w:ascii="Times New Roman" w:hAnsi="Times New Roman" w:cs="Times New Roman"/>
          <w:lang w:val="en-GB"/>
        </w:rPr>
        <w:t xml:space="preserve"> Indigenous self-determination and the denunciation of judicial activism unveils a deeper reluctance to disturb the historically exclusionary foundations upon which the legal system has been constructed.</w:t>
      </w:r>
    </w:p>
    <w:p w14:paraId="4E96E768" w14:textId="7BAE0078" w:rsidR="003F0708" w:rsidRPr="003F0708" w:rsidRDefault="001943B2" w:rsidP="003F0708">
      <w:pPr>
        <w:rPr>
          <w:rFonts w:ascii="Times New Roman" w:hAnsi="Times New Roman" w:cs="Times New Roman"/>
          <w:lang w:val="en-GB"/>
        </w:rPr>
      </w:pPr>
      <w:r>
        <w:rPr>
          <w:rFonts w:ascii="Times New Roman" w:hAnsi="Times New Roman" w:cs="Times New Roman"/>
          <w:lang w:val="en-GB"/>
        </w:rPr>
        <w:br w:type="page"/>
      </w:r>
    </w:p>
    <w:p w14:paraId="0E387333" w14:textId="139962F3" w:rsidR="003F0708" w:rsidRDefault="003F0708" w:rsidP="003F0708">
      <w:r>
        <w:rPr>
          <w:noProof/>
        </w:rPr>
        <w:lastRenderedPageBreak/>
        <mc:AlternateContent>
          <mc:Choice Requires="wpg">
            <w:drawing>
              <wp:anchor distT="0" distB="0" distL="114300" distR="114300" simplePos="0" relativeHeight="251664384" behindDoc="0" locked="0" layoutInCell="1" allowOverlap="1" wp14:anchorId="26A82D04" wp14:editId="49CBE888">
                <wp:simplePos x="0" y="0"/>
                <wp:positionH relativeFrom="column">
                  <wp:posOffset>-916765</wp:posOffset>
                </wp:positionH>
                <wp:positionV relativeFrom="paragraph">
                  <wp:posOffset>-1064195</wp:posOffset>
                </wp:positionV>
                <wp:extent cx="7769915" cy="10879281"/>
                <wp:effectExtent l="0" t="0" r="15240" b="17780"/>
                <wp:wrapNone/>
                <wp:docPr id="797760558" name="Group 23"/>
                <wp:cNvGraphicFramePr/>
                <a:graphic xmlns:a="http://schemas.openxmlformats.org/drawingml/2006/main">
                  <a:graphicData uri="http://schemas.microsoft.com/office/word/2010/wordprocessingGroup">
                    <wpg:wgp>
                      <wpg:cNvGrpSpPr/>
                      <wpg:grpSpPr>
                        <a:xfrm>
                          <a:off x="0" y="0"/>
                          <a:ext cx="7769915" cy="10879281"/>
                          <a:chOff x="0" y="0"/>
                          <a:chExt cx="7769915" cy="10684828"/>
                        </a:xfrm>
                      </wpg:grpSpPr>
                      <wps:wsp>
                        <wps:cNvPr id="1226929101" name="Rectangle 15"/>
                        <wps:cNvSpPr/>
                        <wps:spPr>
                          <a:xfrm>
                            <a:off x="0" y="0"/>
                            <a:ext cx="7766235" cy="10681708"/>
                          </a:xfrm>
                          <a:prstGeom prst="rect">
                            <a:avLst/>
                          </a:prstGeom>
                          <a:gradFill>
                            <a:gsLst>
                              <a:gs pos="0">
                                <a:schemeClr val="tx1">
                                  <a:alpha val="12000"/>
                                </a:schemeClr>
                              </a:gs>
                              <a:gs pos="100000">
                                <a:schemeClr val="tx1">
                                  <a:alpha val="7000"/>
                                </a:schemeClr>
                              </a:gs>
                            </a:gsLst>
                          </a:gradFill>
                          <a:ln>
                            <a:solidFill>
                              <a:schemeClr val="bg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6139155" name="Triangle 16"/>
                        <wps:cNvSpPr/>
                        <wps:spPr>
                          <a:xfrm>
                            <a:off x="2642755" y="6120246"/>
                            <a:ext cx="4998615" cy="4564582"/>
                          </a:xfrm>
                          <a:prstGeom prst="triangle">
                            <a:avLst>
                              <a:gd name="adj" fmla="val 50334"/>
                            </a:avLst>
                          </a:prstGeom>
                          <a:gradFill>
                            <a:gsLst>
                              <a:gs pos="6000">
                                <a:schemeClr val="bg1">
                                  <a:lumMod val="85000"/>
                                  <a:alpha val="11000"/>
                                </a:schemeClr>
                              </a:gs>
                              <a:gs pos="100000">
                                <a:schemeClr val="bg1">
                                  <a:lumMod val="95000"/>
                                  <a:alpha val="29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00089391" name="Straight Connector 17"/>
                        <wps:cNvCnPr/>
                        <wps:spPr>
                          <a:xfrm flipH="1">
                            <a:off x="2246746" y="12700"/>
                            <a:ext cx="5523089" cy="10665332"/>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1417546258" name="Straight Connector 18"/>
                        <wps:cNvCnPr/>
                        <wps:spPr>
                          <a:xfrm>
                            <a:off x="5104246" y="5135418"/>
                            <a:ext cx="2665669" cy="4934965"/>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1496416382" name="Triangle 16"/>
                        <wps:cNvSpPr/>
                        <wps:spPr>
                          <a:xfrm>
                            <a:off x="3497119" y="7491846"/>
                            <a:ext cx="3360593" cy="3121143"/>
                          </a:xfrm>
                          <a:prstGeom prst="triangle">
                            <a:avLst/>
                          </a:prstGeom>
                          <a:gradFill>
                            <a:gsLst>
                              <a:gs pos="6000">
                                <a:schemeClr val="bg1">
                                  <a:lumMod val="85000"/>
                                  <a:alpha val="11000"/>
                                </a:schemeClr>
                              </a:gs>
                              <a:gs pos="100000">
                                <a:schemeClr val="bg1">
                                  <a:lumMod val="95000"/>
                                  <a:alpha val="40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6265562" name="Triangle 16"/>
                        <wps:cNvSpPr/>
                        <wps:spPr>
                          <a:xfrm flipV="1">
                            <a:off x="1273464" y="10391"/>
                            <a:ext cx="5957918" cy="5875809"/>
                          </a:xfrm>
                          <a:prstGeom prst="triangle">
                            <a:avLst>
                              <a:gd name="adj" fmla="val 50334"/>
                            </a:avLst>
                          </a:prstGeom>
                          <a:gradFill>
                            <a:gsLst>
                              <a:gs pos="6000">
                                <a:schemeClr val="bg1">
                                  <a:lumMod val="85000"/>
                                  <a:alpha val="11000"/>
                                </a:schemeClr>
                              </a:gs>
                              <a:gs pos="100000">
                                <a:schemeClr val="bg1">
                                  <a:lumMod val="95000"/>
                                  <a:alpha val="29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35343781" name="Straight Connector 19"/>
                        <wps:cNvCnPr/>
                        <wps:spPr>
                          <a:xfrm flipH="1" flipV="1">
                            <a:off x="615373" y="12700"/>
                            <a:ext cx="3630966" cy="6690116"/>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1236648978" name="Triangle 16"/>
                        <wps:cNvSpPr/>
                        <wps:spPr>
                          <a:xfrm flipV="1">
                            <a:off x="2086264" y="0"/>
                            <a:ext cx="4297657" cy="4174251"/>
                          </a:xfrm>
                          <a:prstGeom prst="triangle">
                            <a:avLst/>
                          </a:prstGeom>
                          <a:gradFill>
                            <a:gsLst>
                              <a:gs pos="6000">
                                <a:schemeClr val="bg1">
                                  <a:lumMod val="95000"/>
                                  <a:alpha val="6000"/>
                                </a:schemeClr>
                              </a:gs>
                              <a:gs pos="100000">
                                <a:schemeClr val="bg1">
                                  <a:alpha val="34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43476942" name="Triangle 16"/>
                        <wps:cNvSpPr/>
                        <wps:spPr>
                          <a:xfrm rot="5400000" flipV="1">
                            <a:off x="4381500" y="4537364"/>
                            <a:ext cx="5406279" cy="1239289"/>
                          </a:xfrm>
                          <a:prstGeom prst="triangle">
                            <a:avLst/>
                          </a:prstGeom>
                          <a:gradFill>
                            <a:gsLst>
                              <a:gs pos="6000">
                                <a:schemeClr val="bg1">
                                  <a:lumMod val="95000"/>
                                  <a:alpha val="18000"/>
                                </a:schemeClr>
                              </a:gs>
                              <a:gs pos="100000">
                                <a:schemeClr val="bg1">
                                  <a:alpha val="42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EF343ED" id="Group 23" o:spid="_x0000_s1026" style="position:absolute;margin-left:-72.2pt;margin-top:-83.8pt;width:611.8pt;height:856.65pt;z-index:251664384;mso-width-relative:margin;mso-height-relative:margin" coordsize="77699,10684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">
                <v:rect id="Rectangle 15" o:spid="_x0000_s1027" style="position:absolute;width:77662;height:106817;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" fillcolor="black [3213]" strokecolor="white [3212]" strokeweight="1pt">
                  <v:fill opacity="7864f" color2="black [3213]" o:opacity2="4587f" rotate="t" focus="100%" type="gradient">
                    <o:fill v:ext="view" type="gradientUnscaled"/>
                  </v:fill>
                </v:rect>
                <v:shape id="Triangle 16" o:spid="_x0000_s1028" type="#_x0000_t5" style="position:absolute;left:26427;top:61202;width:49986;height:4564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" adj="10872" fillcolor="#d8d8d8 [2732]" stroked="f" strokeweight="1pt">
                  <v:fill opacity="19005f" color2="#f2f2f2 [3052]" o:opacity2="7208f" rotate="t" colors="0 #d9d9d9;3932f #d9d9d9" focus="100%" type="gradient">
                    <o:fill v:ext="view" type="gradientUnscaled"/>
                  </v:fill>
                </v:shape>
                <v:line id="Straight Connector 17" o:spid="_x0000_s1029" style="position:absolute;flip:x;visibility:visible;mso-wrap-style:square" from="22467,127" to="77698,10678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" strokecolor="white [3212]" strokeweight="1.5pt">
                  <v:stroke joinstyle="miter"/>
                </v:line>
                <v:line id="Straight Connector 18" o:spid="_x0000_s1030" style="position:absolute;visibility:visible;mso-wrap-style:square" from="51042,51354" to="77699,10070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" strokecolor="white [3212]" strokeweight="1.5pt">
                  <v:stroke joinstyle="miter"/>
                </v:line>
                <v:shape id="Triangle 16" o:spid="_x0000_s1031" type="#_x0000_t5" style="position:absolute;left:34971;top:74918;width:33606;height:3121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" fillcolor="#d8d8d8 [2732]" stroked="f" strokeweight="1pt">
                  <v:fill opacity="26214f" color2="#f2f2f2 [3052]" o:opacity2="7208f" rotate="t" colors="0 #d9d9d9;3932f #d9d9d9" focus="100%" type="gradient">
                    <o:fill v:ext="view" type="gradientUnscaled"/>
                  </v:fill>
                </v:shape>
                <v:shape id="Triangle 16" o:spid="_x0000_s1032" type="#_x0000_t5" style="position:absolute;left:12734;top:103;width:59579;height:58759;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" adj="10872" fillcolor="#d8d8d8 [2732]" stroked="f" strokeweight="1pt">
                  <v:fill opacity="19005f" color2="#f2f2f2 [3052]" o:opacity2="7208f" rotate="t" colors="0 #d9d9d9;3932f #d9d9d9" focus="100%" type="gradient">
                    <o:fill v:ext="view" type="gradientUnscaled"/>
                  </v:fill>
                </v:shape>
                <v:line id="Straight Connector 19" o:spid="_x0000_s1033" style="position:absolute;flip:x y;visibility:visible;mso-wrap-style:square" from="6153,127" to="42463,6702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" strokecolor="white [3212]" strokeweight="1.5pt">
                  <v:stroke joinstyle="miter"/>
                </v:line>
                <v:shape id="Triangle 16" o:spid="_x0000_s1034" type="#_x0000_t5" style="position:absolute;left:20862;width:42977;height:41742;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" fillcolor="#f2f2f2 [3052]" stroked="f" strokeweight="1pt">
                  <v:fill opacity="22282f" color2="white [3212]" o:opacity2="3932f" rotate="t" colors="0 #f2f2f2;3932f #f2f2f2" focus="100%" type="gradient">
                    <o:fill v:ext="view" type="gradientUnscaled"/>
                  </v:fill>
                </v:shape>
                <v:shape id="Triangle 16" o:spid="_x0000_s1035" type="#_x0000_t5" style="position:absolute;left:43814;top:45373;width:54063;height:12393;rotation:-90;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" fillcolor="#f2f2f2 [3052]" stroked="f" strokeweight="1pt">
                  <v:fill opacity="27525f" color2="white [3212]" o:opacity2="11796f" rotate="t" colors="0 #f2f2f2;3932f #f2f2f2" focus="100%" type="gradient">
                    <o:fill v:ext="view" type="gradientUnscaled"/>
                  </v:fill>
                </v:shape>
              </v:group>
            </w:pict>
          </mc:Fallback>
        </mc:AlternateContent>
      </w:r>
      <w:r>
        <w:rPr>
          <w:noProof/>
        </w:rPr>
        <w:drawing>
          <wp:anchor distT="0" distB="0" distL="114300" distR="114300" simplePos="0" relativeHeight="251663360" behindDoc="0" locked="0" layoutInCell="1" allowOverlap="1" wp14:anchorId="02E6FB38" wp14:editId="08925F11">
            <wp:simplePos x="0" y="0"/>
            <wp:positionH relativeFrom="column">
              <wp:posOffset>-916502</wp:posOffset>
            </wp:positionH>
            <wp:positionV relativeFrom="paragraph">
              <wp:posOffset>-977287</wp:posOffset>
            </wp:positionV>
            <wp:extent cx="7585364" cy="10881126"/>
            <wp:effectExtent l="0" t="0" r="0" b="3175"/>
            <wp:wrapNone/>
            <wp:docPr id="1041205037" name="Picture 13" descr="A gavel and books on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205037" name="Picture 13" descr="A gavel and books on a table&#10;&#10;AI-generated content may be incorrect."/>
                    <pic:cNvPicPr/>
                  </pic:nvPicPr>
                  <pic:blipFill rotWithShape="1">
                    <a:blip r:embed="rId8">
                      <a:extLst>
                        <a:ext uri="{28A0092B-C50C-407E-A947-70E740481C1C}">
                          <a14:useLocalDpi xmlns:a14="http://schemas.microsoft.com/office/drawing/2010/main" val="0"/>
                        </a:ext>
                      </a:extLst>
                    </a:blip>
                    <a:srcRect l="15605" r="13844" b="2422"/>
                    <a:stretch>
                      <a:fillRect/>
                    </a:stretch>
                  </pic:blipFill>
                  <pic:spPr bwMode="auto">
                    <a:xfrm>
                      <a:off x="0" y="0"/>
                      <a:ext cx="7585364" cy="1088112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B6F55E0" w14:textId="6F28BFF4" w:rsidR="00B2665C" w:rsidRPr="001943B2" w:rsidRDefault="00B2665C" w:rsidP="001943B2">
      <w:pPr>
        <w:spacing w:line="360" w:lineRule="auto"/>
        <w:rPr>
          <w:rFonts w:ascii="Times New Roman" w:hAnsi="Times New Roman" w:cs="Times New Roman"/>
        </w:rPr>
      </w:pPr>
    </w:p>
    <w:p w14:paraId="46520672" w14:textId="2FC9CE1B" w:rsidR="00B2665C" w:rsidRPr="001943B2" w:rsidRDefault="00B2665C" w:rsidP="001943B2">
      <w:pPr>
        <w:rPr>
          <w:rFonts w:ascii="Times New Roman" w:hAnsi="Times New Roman" w:cs="Times New Roman"/>
        </w:rPr>
      </w:pPr>
    </w:p>
    <w:sectPr w:rsidR="00B2665C" w:rsidRPr="001943B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2BC9B7" w14:textId="77777777" w:rsidR="00A03121" w:rsidRDefault="00A03121" w:rsidP="001204EE">
      <w:pPr>
        <w:spacing w:after="0" w:line="240" w:lineRule="auto"/>
      </w:pPr>
      <w:r>
        <w:separator/>
      </w:r>
    </w:p>
  </w:endnote>
  <w:endnote w:type="continuationSeparator" w:id="0">
    <w:p w14:paraId="0B552EED" w14:textId="77777777" w:rsidR="00A03121" w:rsidRDefault="00A03121" w:rsidP="001204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CA03E6" w14:textId="77777777" w:rsidR="00A03121" w:rsidRDefault="00A03121" w:rsidP="001204EE">
      <w:pPr>
        <w:spacing w:after="0" w:line="240" w:lineRule="auto"/>
      </w:pPr>
      <w:r>
        <w:separator/>
      </w:r>
    </w:p>
  </w:footnote>
  <w:footnote w:type="continuationSeparator" w:id="0">
    <w:p w14:paraId="4E2870CC" w14:textId="77777777" w:rsidR="00A03121" w:rsidRDefault="00A03121" w:rsidP="001204EE">
      <w:pPr>
        <w:spacing w:after="0" w:line="240" w:lineRule="auto"/>
      </w:pPr>
      <w:r>
        <w:continuationSeparator/>
      </w:r>
    </w:p>
  </w:footnote>
  <w:footnote w:id="1">
    <w:p w14:paraId="0A509B6E" w14:textId="7BA40370" w:rsidR="00095443" w:rsidRPr="00983468" w:rsidRDefault="00095443" w:rsidP="00095443">
      <w:pPr>
        <w:pStyle w:val="FootnoteText"/>
        <w:rPr>
          <w:rFonts w:ascii="Times New Roman" w:hAnsi="Times New Roman" w:cs="Times New Roman"/>
        </w:rPr>
      </w:pPr>
      <w:r w:rsidRPr="00983468">
        <w:rPr>
          <w:rStyle w:val="FootnoteReference"/>
          <w:rFonts w:ascii="Times New Roman" w:hAnsi="Times New Roman" w:cs="Times New Roman"/>
        </w:rPr>
        <w:footnoteRef/>
      </w:r>
      <w:r w:rsidRPr="00983468">
        <w:rPr>
          <w:rFonts w:ascii="Times New Roman" w:hAnsi="Times New Roman" w:cs="Times New Roman"/>
        </w:rPr>
        <w:t xml:space="preserve"> </w:t>
      </w:r>
      <w:r w:rsidR="00E55D8D" w:rsidRPr="00E55D8D">
        <w:rPr>
          <w:rFonts w:ascii="Times New Roman" w:hAnsi="Times New Roman" w:cs="Times New Roman"/>
          <w:i/>
          <w:iCs/>
        </w:rPr>
        <w:t>Love v Commonwealth; Thoms v Commonwealth</w:t>
      </w:r>
      <w:r w:rsidR="00E55D8D">
        <w:rPr>
          <w:rFonts w:ascii="Times New Roman" w:hAnsi="Times New Roman" w:cs="Times New Roman"/>
        </w:rPr>
        <w:t xml:space="preserve"> </w:t>
      </w:r>
      <w:r w:rsidRPr="00983468">
        <w:rPr>
          <w:rFonts w:ascii="Times New Roman" w:hAnsi="Times New Roman" w:cs="Times New Roman"/>
        </w:rPr>
        <w:t>(2020) 270 CLR 152.</w:t>
      </w:r>
    </w:p>
  </w:footnote>
  <w:footnote w:id="2">
    <w:p w14:paraId="5167912B" w14:textId="434DCCD3" w:rsidR="00095443" w:rsidRPr="00983468" w:rsidRDefault="00095443" w:rsidP="00095443">
      <w:pPr>
        <w:pStyle w:val="FootnoteText"/>
        <w:rPr>
          <w:rFonts w:ascii="Times New Roman" w:hAnsi="Times New Roman" w:cs="Times New Roman"/>
        </w:rPr>
      </w:pPr>
      <w:r w:rsidRPr="00983468">
        <w:rPr>
          <w:rStyle w:val="FootnoteReference"/>
          <w:rFonts w:ascii="Times New Roman" w:hAnsi="Times New Roman" w:cs="Times New Roman"/>
        </w:rPr>
        <w:footnoteRef/>
      </w:r>
      <w:r w:rsidRPr="00983468">
        <w:rPr>
          <w:rFonts w:ascii="Times New Roman" w:hAnsi="Times New Roman" w:cs="Times New Roman"/>
        </w:rPr>
        <w:t xml:space="preserve"> Ibid, </w:t>
      </w:r>
      <w:r w:rsidR="00983468">
        <w:rPr>
          <w:rFonts w:ascii="Times New Roman" w:hAnsi="Times New Roman" w:cs="Times New Roman"/>
        </w:rPr>
        <w:t>169</w:t>
      </w:r>
      <w:r w:rsidRPr="00983468">
        <w:rPr>
          <w:rFonts w:ascii="Times New Roman" w:hAnsi="Times New Roman" w:cs="Times New Roman"/>
        </w:rPr>
        <w:t>.</w:t>
      </w:r>
    </w:p>
  </w:footnote>
  <w:footnote w:id="3">
    <w:p w14:paraId="0D390008" w14:textId="1AB78E5A" w:rsidR="00095443" w:rsidRPr="00983468" w:rsidRDefault="00095443" w:rsidP="00095443">
      <w:pPr>
        <w:pStyle w:val="FootnoteText"/>
        <w:rPr>
          <w:rFonts w:ascii="Times New Roman" w:hAnsi="Times New Roman" w:cs="Times New Roman"/>
        </w:rPr>
      </w:pPr>
      <w:r w:rsidRPr="00983468">
        <w:rPr>
          <w:rStyle w:val="FootnoteReference"/>
          <w:rFonts w:ascii="Times New Roman" w:hAnsi="Times New Roman" w:cs="Times New Roman"/>
        </w:rPr>
        <w:footnoteRef/>
      </w:r>
      <w:r w:rsidRPr="00983468">
        <w:rPr>
          <w:rFonts w:ascii="Times New Roman" w:hAnsi="Times New Roman" w:cs="Times New Roman"/>
        </w:rPr>
        <w:t xml:space="preserve"> Ibid.</w:t>
      </w:r>
    </w:p>
  </w:footnote>
  <w:footnote w:id="4">
    <w:p w14:paraId="5EC2EB7A" w14:textId="277ACB7D" w:rsidR="00095443" w:rsidRPr="00983468" w:rsidRDefault="00095443" w:rsidP="00095443">
      <w:pPr>
        <w:pStyle w:val="FootnoteText"/>
        <w:rPr>
          <w:rFonts w:ascii="Times New Roman" w:hAnsi="Times New Roman" w:cs="Times New Roman"/>
        </w:rPr>
      </w:pPr>
      <w:r w:rsidRPr="00983468">
        <w:rPr>
          <w:rStyle w:val="FootnoteReference"/>
          <w:rFonts w:ascii="Times New Roman" w:hAnsi="Times New Roman" w:cs="Times New Roman"/>
        </w:rPr>
        <w:footnoteRef/>
      </w:r>
      <w:r w:rsidRPr="00983468">
        <w:rPr>
          <w:rFonts w:ascii="Times New Roman" w:hAnsi="Times New Roman" w:cs="Times New Roman"/>
        </w:rPr>
        <w:t xml:space="preserve"> Stephen Keim, ‘Reflections on </w:t>
      </w:r>
      <w:r w:rsidRPr="00983468">
        <w:rPr>
          <w:rFonts w:ascii="Times New Roman" w:hAnsi="Times New Roman" w:cs="Times New Roman"/>
          <w:i/>
          <w:iCs/>
        </w:rPr>
        <w:t>Love and Thoms v The Commonwealth’</w:t>
      </w:r>
      <w:r w:rsidRPr="00983468">
        <w:rPr>
          <w:rFonts w:ascii="Times New Roman" w:hAnsi="Times New Roman" w:cs="Times New Roman"/>
        </w:rPr>
        <w:t xml:space="preserve"> (Seminar Paper, Australian Association for Constitutional Law and the Law School of Monash university, 3 June 2020) </w:t>
      </w:r>
      <w:r w:rsidR="005E45D9">
        <w:rPr>
          <w:rFonts w:ascii="Times New Roman" w:hAnsi="Times New Roman" w:cs="Times New Roman"/>
        </w:rPr>
        <w:t>1, 2</w:t>
      </w:r>
      <w:r w:rsidRPr="00983468">
        <w:rPr>
          <w:rFonts w:ascii="Times New Roman" w:hAnsi="Times New Roman" w:cs="Times New Roman"/>
        </w:rPr>
        <w:t xml:space="preserve">; </w:t>
      </w:r>
      <w:r w:rsidRPr="005E45D9">
        <w:rPr>
          <w:rFonts w:ascii="Times New Roman" w:hAnsi="Times New Roman" w:cs="Times New Roman"/>
          <w:i/>
          <w:iCs/>
        </w:rPr>
        <w:t>Migration Act 1958</w:t>
      </w:r>
      <w:r w:rsidRPr="00983468">
        <w:rPr>
          <w:rFonts w:ascii="Times New Roman" w:hAnsi="Times New Roman" w:cs="Times New Roman"/>
        </w:rPr>
        <w:t xml:space="preserve"> (</w:t>
      </w:r>
      <w:proofErr w:type="spellStart"/>
      <w:r w:rsidRPr="00983468">
        <w:rPr>
          <w:rFonts w:ascii="Times New Roman" w:hAnsi="Times New Roman" w:cs="Times New Roman"/>
        </w:rPr>
        <w:t>Cth</w:t>
      </w:r>
      <w:proofErr w:type="spellEnd"/>
      <w:r w:rsidRPr="00983468">
        <w:rPr>
          <w:rFonts w:ascii="Times New Roman" w:hAnsi="Times New Roman" w:cs="Times New Roman"/>
        </w:rPr>
        <w:t>)</w:t>
      </w:r>
      <w:r w:rsidR="005E45D9">
        <w:rPr>
          <w:rFonts w:ascii="Times New Roman" w:hAnsi="Times New Roman" w:cs="Times New Roman"/>
        </w:rPr>
        <w:t xml:space="preserve"> ss 501(3A), 601(6)(a), 501(7)(c).</w:t>
      </w:r>
      <w:r w:rsidRPr="00983468">
        <w:rPr>
          <w:rFonts w:ascii="Times New Roman" w:hAnsi="Times New Roman" w:cs="Times New Roman"/>
        </w:rPr>
        <w:t xml:space="preserve"> </w:t>
      </w:r>
    </w:p>
  </w:footnote>
  <w:footnote w:id="5">
    <w:p w14:paraId="012294DD" w14:textId="77777777" w:rsidR="00666514" w:rsidRPr="00983468" w:rsidRDefault="00666514" w:rsidP="00666514">
      <w:pPr>
        <w:pStyle w:val="FootnoteText"/>
        <w:rPr>
          <w:rFonts w:ascii="Times New Roman" w:hAnsi="Times New Roman" w:cs="Times New Roman"/>
        </w:rPr>
      </w:pPr>
      <w:r w:rsidRPr="00983468">
        <w:rPr>
          <w:rStyle w:val="FootnoteReference"/>
          <w:rFonts w:ascii="Times New Roman" w:hAnsi="Times New Roman" w:cs="Times New Roman"/>
        </w:rPr>
        <w:footnoteRef/>
      </w:r>
      <w:r w:rsidRPr="00983468">
        <w:rPr>
          <w:rFonts w:ascii="Times New Roman" w:hAnsi="Times New Roman" w:cs="Times New Roman"/>
        </w:rPr>
        <w:t xml:space="preserve"> </w:t>
      </w:r>
      <w:r w:rsidRPr="005E45D9">
        <w:rPr>
          <w:rFonts w:ascii="Times New Roman" w:hAnsi="Times New Roman" w:cs="Times New Roman"/>
          <w:i/>
          <w:iCs/>
        </w:rPr>
        <w:t>Love</w:t>
      </w:r>
      <w:r w:rsidRPr="00983468">
        <w:rPr>
          <w:rFonts w:ascii="Times New Roman" w:hAnsi="Times New Roman" w:cs="Times New Roman"/>
        </w:rPr>
        <w:t xml:space="preserve"> </w:t>
      </w:r>
      <w:r>
        <w:rPr>
          <w:rFonts w:ascii="Times New Roman" w:hAnsi="Times New Roman" w:cs="Times New Roman"/>
        </w:rPr>
        <w:t>(n 1) 152.</w:t>
      </w:r>
    </w:p>
  </w:footnote>
  <w:footnote w:id="6">
    <w:p w14:paraId="17DBCD1E" w14:textId="216DC5FF" w:rsidR="000545AF" w:rsidRPr="005E45D9" w:rsidRDefault="000545AF">
      <w:pPr>
        <w:pStyle w:val="FootnoteText"/>
        <w:rPr>
          <w:rFonts w:ascii="Times New Roman" w:hAnsi="Times New Roman" w:cs="Times New Roman"/>
        </w:rPr>
      </w:pPr>
      <w:r w:rsidRPr="00983468">
        <w:rPr>
          <w:rStyle w:val="FootnoteReference"/>
          <w:rFonts w:ascii="Times New Roman" w:hAnsi="Times New Roman" w:cs="Times New Roman"/>
        </w:rPr>
        <w:footnoteRef/>
      </w:r>
      <w:r w:rsidRPr="00983468">
        <w:rPr>
          <w:rFonts w:ascii="Times New Roman" w:hAnsi="Times New Roman" w:cs="Times New Roman"/>
        </w:rPr>
        <w:t xml:space="preserve"> </w:t>
      </w:r>
      <w:r w:rsidR="0084512D" w:rsidRPr="00983468">
        <w:rPr>
          <w:rFonts w:ascii="Times New Roman" w:hAnsi="Times New Roman" w:cs="Times New Roman"/>
        </w:rPr>
        <w:t xml:space="preserve">Flyn Wells, ‘Heartbeat in the High Court: </w:t>
      </w:r>
      <w:r w:rsidR="0084512D" w:rsidRPr="00983468">
        <w:rPr>
          <w:rFonts w:ascii="Times New Roman" w:hAnsi="Times New Roman" w:cs="Times New Roman"/>
          <w:i/>
          <w:iCs/>
        </w:rPr>
        <w:t>Love v Commonwealth</w:t>
      </w:r>
      <w:r w:rsidR="0084512D" w:rsidRPr="00983468">
        <w:rPr>
          <w:rFonts w:ascii="Times New Roman" w:hAnsi="Times New Roman" w:cs="Times New Roman"/>
        </w:rPr>
        <w:t xml:space="preserve"> (2020) 375 ALR 597 (2020) 41(2) </w:t>
      </w:r>
      <w:r w:rsidR="0084512D" w:rsidRPr="00983468">
        <w:rPr>
          <w:rFonts w:ascii="Times New Roman" w:hAnsi="Times New Roman" w:cs="Times New Roman"/>
          <w:i/>
          <w:iCs/>
        </w:rPr>
        <w:t>Adelaide Law Review</w:t>
      </w:r>
      <w:r w:rsidR="0084512D" w:rsidRPr="00983468">
        <w:rPr>
          <w:rFonts w:ascii="Times New Roman" w:hAnsi="Times New Roman" w:cs="Times New Roman"/>
        </w:rPr>
        <w:t xml:space="preserve"> 657,</w:t>
      </w:r>
      <w:r w:rsidR="0084512D">
        <w:rPr>
          <w:rFonts w:ascii="Times New Roman" w:hAnsi="Times New Roman" w:cs="Times New Roman"/>
        </w:rPr>
        <w:t xml:space="preserve"> </w:t>
      </w:r>
      <w:r w:rsidR="005E45D9">
        <w:rPr>
          <w:rFonts w:ascii="Times New Roman" w:hAnsi="Times New Roman" w:cs="Times New Roman"/>
        </w:rPr>
        <w:t>666.</w:t>
      </w:r>
    </w:p>
  </w:footnote>
  <w:footnote w:id="7">
    <w:p w14:paraId="1AB8C65F" w14:textId="257C2B9D" w:rsidR="0053488E" w:rsidRPr="0053488E" w:rsidRDefault="0053488E">
      <w:pPr>
        <w:pStyle w:val="FootnoteText"/>
      </w:pPr>
      <w:r w:rsidRPr="00983468">
        <w:rPr>
          <w:rStyle w:val="FootnoteReference"/>
          <w:rFonts w:ascii="Times New Roman" w:hAnsi="Times New Roman" w:cs="Times New Roman"/>
        </w:rPr>
        <w:footnoteRef/>
      </w:r>
      <w:r w:rsidRPr="00983468">
        <w:rPr>
          <w:rFonts w:ascii="Times New Roman" w:hAnsi="Times New Roman" w:cs="Times New Roman"/>
        </w:rPr>
        <w:t xml:space="preserve"> </w:t>
      </w:r>
      <w:r w:rsidRPr="00DB7B7D">
        <w:rPr>
          <w:rFonts w:ascii="Times New Roman" w:hAnsi="Times New Roman" w:cs="Times New Roman"/>
        </w:rPr>
        <w:t xml:space="preserve">Daniel Lavery, ‘Judicial Distancing in the High Court: </w:t>
      </w:r>
      <w:r w:rsidRPr="00DB7B7D">
        <w:rPr>
          <w:rFonts w:ascii="Times New Roman" w:hAnsi="Times New Roman" w:cs="Times New Roman"/>
          <w:i/>
          <w:iCs/>
        </w:rPr>
        <w:t>Love/Thoms v The Commonwealth</w:t>
      </w:r>
      <w:r w:rsidRPr="00DB7B7D">
        <w:rPr>
          <w:rFonts w:ascii="Times New Roman" w:hAnsi="Times New Roman" w:cs="Times New Roman"/>
        </w:rPr>
        <w:t xml:space="preserve">’ (2020) 26 </w:t>
      </w:r>
      <w:r w:rsidRPr="00DB7B7D">
        <w:rPr>
          <w:rFonts w:ascii="Times New Roman" w:hAnsi="Times New Roman" w:cs="Times New Roman"/>
          <w:i/>
          <w:iCs/>
        </w:rPr>
        <w:t>James Cook University Law</w:t>
      </w:r>
      <w:r w:rsidRPr="00DB7B7D">
        <w:rPr>
          <w:rFonts w:ascii="Times New Roman" w:hAnsi="Times New Roman" w:cs="Times New Roman"/>
        </w:rPr>
        <w:t xml:space="preserve"> Review 159, </w:t>
      </w:r>
      <w:r w:rsidR="00DB7B7D">
        <w:rPr>
          <w:rFonts w:ascii="Times New Roman" w:hAnsi="Times New Roman" w:cs="Times New Roman"/>
        </w:rPr>
        <w:t>167.</w:t>
      </w:r>
      <w:r>
        <w:t xml:space="preserve"> </w:t>
      </w:r>
    </w:p>
  </w:footnote>
  <w:footnote w:id="8">
    <w:p w14:paraId="634014BC" w14:textId="77777777" w:rsidR="00745679" w:rsidRPr="00983468" w:rsidRDefault="00745679" w:rsidP="00745679">
      <w:pPr>
        <w:pStyle w:val="FootnoteText"/>
        <w:rPr>
          <w:rFonts w:ascii="Times New Roman" w:hAnsi="Times New Roman" w:cs="Times New Roman"/>
        </w:rPr>
      </w:pPr>
      <w:r w:rsidRPr="00983468">
        <w:rPr>
          <w:rStyle w:val="FootnoteReference"/>
          <w:rFonts w:ascii="Times New Roman" w:hAnsi="Times New Roman" w:cs="Times New Roman"/>
        </w:rPr>
        <w:footnoteRef/>
      </w:r>
      <w:r w:rsidRPr="00983468">
        <w:rPr>
          <w:rFonts w:ascii="Times New Roman" w:hAnsi="Times New Roman" w:cs="Times New Roman"/>
        </w:rPr>
        <w:t xml:space="preserve"> Kevin Newsom, ‘The Road to Tradition or Perdition? An originalist Critique of Traditionalism in Constitutional Interpretation’ (2024) 47(3) </w:t>
      </w:r>
      <w:r w:rsidRPr="00983468">
        <w:rPr>
          <w:rFonts w:ascii="Times New Roman" w:hAnsi="Times New Roman" w:cs="Times New Roman"/>
          <w:i/>
          <w:iCs/>
        </w:rPr>
        <w:t>Harvard Journal of Law &amp; Public Policy</w:t>
      </w:r>
      <w:r w:rsidRPr="00983468">
        <w:rPr>
          <w:rFonts w:ascii="Times New Roman" w:hAnsi="Times New Roman" w:cs="Times New Roman"/>
        </w:rPr>
        <w:t xml:space="preserve"> 745, 748.</w:t>
      </w:r>
    </w:p>
  </w:footnote>
  <w:footnote w:id="9">
    <w:p w14:paraId="2C686137" w14:textId="769FA58E" w:rsidR="00745679" w:rsidRPr="005E45D9" w:rsidRDefault="00745679" w:rsidP="00745679">
      <w:pPr>
        <w:pStyle w:val="FootnoteText"/>
        <w:rPr>
          <w:rFonts w:ascii="Times New Roman" w:hAnsi="Times New Roman" w:cs="Times New Roman"/>
        </w:rPr>
      </w:pPr>
      <w:r w:rsidRPr="00983468">
        <w:rPr>
          <w:rStyle w:val="FootnoteReference"/>
          <w:rFonts w:ascii="Times New Roman" w:hAnsi="Times New Roman" w:cs="Times New Roman"/>
        </w:rPr>
        <w:footnoteRef/>
      </w:r>
      <w:r w:rsidRPr="00983468">
        <w:rPr>
          <w:rFonts w:ascii="Times New Roman" w:hAnsi="Times New Roman" w:cs="Times New Roman"/>
        </w:rPr>
        <w:t xml:space="preserve"> </w:t>
      </w:r>
      <w:r w:rsidR="0084512D">
        <w:rPr>
          <w:rFonts w:ascii="Times New Roman" w:hAnsi="Times New Roman" w:cs="Times New Roman"/>
        </w:rPr>
        <w:t xml:space="preserve">Wells (n 6) 666; </w:t>
      </w:r>
      <w:r w:rsidRPr="00983468">
        <w:rPr>
          <w:rFonts w:ascii="Times New Roman" w:hAnsi="Times New Roman" w:cs="Times New Roman"/>
        </w:rPr>
        <w:t xml:space="preserve">Mikaela Smith, ‘The divided decision in </w:t>
      </w:r>
      <w:r w:rsidRPr="00983468">
        <w:rPr>
          <w:rFonts w:ascii="Times New Roman" w:hAnsi="Times New Roman" w:cs="Times New Roman"/>
          <w:i/>
          <w:iCs/>
        </w:rPr>
        <w:t>Love v Commonwealth</w:t>
      </w:r>
      <w:r w:rsidRPr="00983468">
        <w:rPr>
          <w:rFonts w:ascii="Times New Roman" w:hAnsi="Times New Roman" w:cs="Times New Roman"/>
        </w:rPr>
        <w:t xml:space="preserve"> – An analysis of Justice </w:t>
      </w:r>
      <w:proofErr w:type="spellStart"/>
      <w:r w:rsidRPr="00983468">
        <w:rPr>
          <w:rFonts w:ascii="Times New Roman" w:hAnsi="Times New Roman" w:cs="Times New Roman"/>
        </w:rPr>
        <w:t>Gageler’s</w:t>
      </w:r>
      <w:proofErr w:type="spellEnd"/>
      <w:r w:rsidRPr="00983468">
        <w:rPr>
          <w:rFonts w:ascii="Times New Roman" w:hAnsi="Times New Roman" w:cs="Times New Roman"/>
        </w:rPr>
        <w:t xml:space="preserve"> and </w:t>
      </w:r>
      <w:r w:rsidR="0084512D" w:rsidRPr="00983468">
        <w:rPr>
          <w:rFonts w:ascii="Times New Roman" w:hAnsi="Times New Roman" w:cs="Times New Roman"/>
        </w:rPr>
        <w:t>Justice</w:t>
      </w:r>
      <w:r w:rsidRPr="00983468">
        <w:rPr>
          <w:rFonts w:ascii="Times New Roman" w:hAnsi="Times New Roman" w:cs="Times New Roman"/>
        </w:rPr>
        <w:t xml:space="preserve"> Edelman’s approaches to constitutional interpretation</w:t>
      </w:r>
      <w:r>
        <w:rPr>
          <w:rFonts w:ascii="Times New Roman" w:hAnsi="Times New Roman" w:cs="Times New Roman"/>
        </w:rPr>
        <w:t>’,</w:t>
      </w:r>
      <w:r w:rsidRPr="00983468">
        <w:rPr>
          <w:rFonts w:ascii="Times New Roman" w:hAnsi="Times New Roman" w:cs="Times New Roman"/>
        </w:rPr>
        <w:t xml:space="preserve"> </w:t>
      </w:r>
      <w:r w:rsidRPr="00983468">
        <w:rPr>
          <w:rFonts w:ascii="Times New Roman" w:hAnsi="Times New Roman" w:cs="Times New Roman"/>
          <w:i/>
          <w:iCs/>
        </w:rPr>
        <w:t>Australian Public La</w:t>
      </w:r>
      <w:r>
        <w:rPr>
          <w:rFonts w:ascii="Times New Roman" w:hAnsi="Times New Roman" w:cs="Times New Roman"/>
          <w:i/>
          <w:iCs/>
        </w:rPr>
        <w:t xml:space="preserve">w </w:t>
      </w:r>
      <w:r>
        <w:rPr>
          <w:rFonts w:ascii="Times New Roman" w:hAnsi="Times New Roman" w:cs="Times New Roman"/>
        </w:rPr>
        <w:t>(Blog Post, 17 March 2021) &lt;</w:t>
      </w:r>
      <w:r w:rsidRPr="005E45D9">
        <w:t xml:space="preserve"> </w:t>
      </w:r>
      <w:r w:rsidRPr="005E45D9">
        <w:rPr>
          <w:rFonts w:ascii="Times New Roman" w:hAnsi="Times New Roman" w:cs="Times New Roman"/>
        </w:rPr>
        <w:t>https://www.auspublaw.org/blog/2021/03/the-divided-decision-in-love-v-commonwealth</w:t>
      </w:r>
      <w:r>
        <w:rPr>
          <w:rFonts w:ascii="Times New Roman" w:hAnsi="Times New Roman" w:cs="Times New Roman"/>
        </w:rPr>
        <w:t>&gt;.</w:t>
      </w:r>
    </w:p>
  </w:footnote>
  <w:footnote w:id="10">
    <w:p w14:paraId="3B664A8E" w14:textId="017A28A9" w:rsidR="00745679" w:rsidRPr="005E45D9" w:rsidRDefault="00745679" w:rsidP="00745679">
      <w:pPr>
        <w:pStyle w:val="FootnoteText"/>
        <w:rPr>
          <w:rFonts w:ascii="Times New Roman" w:hAnsi="Times New Roman" w:cs="Times New Roman"/>
        </w:rPr>
      </w:pPr>
      <w:r w:rsidRPr="00983468">
        <w:rPr>
          <w:rStyle w:val="FootnoteReference"/>
          <w:rFonts w:ascii="Times New Roman" w:hAnsi="Times New Roman" w:cs="Times New Roman"/>
        </w:rPr>
        <w:footnoteRef/>
      </w:r>
      <w:r>
        <w:rPr>
          <w:rFonts w:ascii="Times New Roman" w:hAnsi="Times New Roman" w:cs="Times New Roman"/>
        </w:rPr>
        <w:t xml:space="preserve"> </w:t>
      </w:r>
      <w:r w:rsidR="002B17A0" w:rsidRPr="002B17A0">
        <w:rPr>
          <w:rFonts w:ascii="Times New Roman" w:hAnsi="Times New Roman" w:cs="Times New Roman"/>
          <w:i/>
          <w:iCs/>
        </w:rPr>
        <w:t>Love</w:t>
      </w:r>
      <w:r w:rsidR="002B17A0">
        <w:rPr>
          <w:rFonts w:ascii="Times New Roman" w:hAnsi="Times New Roman" w:cs="Times New Roman"/>
        </w:rPr>
        <w:t xml:space="preserve"> (n 1) 287</w:t>
      </w:r>
      <w:r>
        <w:rPr>
          <w:rFonts w:ascii="Times New Roman" w:hAnsi="Times New Roman" w:cs="Times New Roman"/>
        </w:rPr>
        <w:t>.</w:t>
      </w:r>
    </w:p>
  </w:footnote>
  <w:footnote w:id="11">
    <w:p w14:paraId="5E46FFAD" w14:textId="191EEFD9" w:rsidR="00745679" w:rsidRPr="00983468" w:rsidRDefault="00745679" w:rsidP="00745679">
      <w:pPr>
        <w:pStyle w:val="FootnoteText"/>
        <w:rPr>
          <w:rFonts w:ascii="Times New Roman" w:hAnsi="Times New Roman" w:cs="Times New Roman"/>
        </w:rPr>
      </w:pPr>
      <w:r w:rsidRPr="00983468">
        <w:rPr>
          <w:rStyle w:val="FootnoteReference"/>
          <w:rFonts w:ascii="Times New Roman" w:hAnsi="Times New Roman" w:cs="Times New Roman"/>
        </w:rPr>
        <w:footnoteRef/>
      </w:r>
      <w:r w:rsidRPr="00983468">
        <w:rPr>
          <w:rFonts w:ascii="Times New Roman" w:hAnsi="Times New Roman" w:cs="Times New Roman"/>
        </w:rPr>
        <w:t xml:space="preserve"> </w:t>
      </w:r>
      <w:r>
        <w:rPr>
          <w:rFonts w:ascii="Times New Roman" w:hAnsi="Times New Roman" w:cs="Times New Roman"/>
        </w:rPr>
        <w:t xml:space="preserve">Ibid </w:t>
      </w:r>
      <w:r w:rsidR="00C407DD">
        <w:rPr>
          <w:rFonts w:ascii="Times New Roman" w:hAnsi="Times New Roman" w:cs="Times New Roman"/>
        </w:rPr>
        <w:t>312 (Edelman J</w:t>
      </w:r>
      <w:proofErr w:type="gramStart"/>
      <w:r w:rsidR="00C407DD">
        <w:rPr>
          <w:rFonts w:ascii="Times New Roman" w:hAnsi="Times New Roman" w:cs="Times New Roman"/>
        </w:rPr>
        <w:t>).</w:t>
      </w:r>
      <w:r>
        <w:rPr>
          <w:rFonts w:ascii="Times New Roman" w:hAnsi="Times New Roman" w:cs="Times New Roman"/>
        </w:rPr>
        <w:t>.</w:t>
      </w:r>
      <w:proofErr w:type="gramEnd"/>
    </w:p>
  </w:footnote>
  <w:footnote w:id="12">
    <w:p w14:paraId="64CB84BC" w14:textId="715A0375" w:rsidR="00745679" w:rsidRPr="00405603" w:rsidRDefault="00745679" w:rsidP="00745679">
      <w:pPr>
        <w:pStyle w:val="FootnoteText"/>
        <w:rPr>
          <w:rFonts w:ascii="Times New Roman" w:hAnsi="Times New Roman" w:cs="Times New Roman"/>
        </w:rPr>
      </w:pPr>
      <w:r w:rsidRPr="00405603">
        <w:rPr>
          <w:rStyle w:val="FootnoteReference"/>
          <w:rFonts w:ascii="Times New Roman" w:hAnsi="Times New Roman" w:cs="Times New Roman"/>
        </w:rPr>
        <w:footnoteRef/>
      </w:r>
      <w:r w:rsidRPr="00405603">
        <w:rPr>
          <w:rFonts w:ascii="Times New Roman" w:hAnsi="Times New Roman" w:cs="Times New Roman"/>
        </w:rPr>
        <w:t xml:space="preserve"> Ibid </w:t>
      </w:r>
      <w:r w:rsidR="00C407DD">
        <w:rPr>
          <w:rFonts w:ascii="Times New Roman" w:hAnsi="Times New Roman" w:cs="Times New Roman"/>
        </w:rPr>
        <w:t>274 (Gordon J).</w:t>
      </w:r>
    </w:p>
  </w:footnote>
  <w:footnote w:id="13">
    <w:p w14:paraId="0DDF9BFD" w14:textId="70DEB6A2" w:rsidR="00D5075C" w:rsidRPr="00405603" w:rsidRDefault="00D5075C">
      <w:pPr>
        <w:pStyle w:val="FootnoteText"/>
        <w:rPr>
          <w:rFonts w:ascii="Times New Roman" w:hAnsi="Times New Roman" w:cs="Times New Roman"/>
        </w:rPr>
      </w:pPr>
      <w:r w:rsidRPr="00405603">
        <w:rPr>
          <w:rStyle w:val="FootnoteReference"/>
          <w:rFonts w:ascii="Times New Roman" w:hAnsi="Times New Roman" w:cs="Times New Roman"/>
        </w:rPr>
        <w:footnoteRef/>
      </w:r>
      <w:r w:rsidRPr="00405603">
        <w:rPr>
          <w:rFonts w:ascii="Times New Roman" w:hAnsi="Times New Roman" w:cs="Times New Roman"/>
        </w:rPr>
        <w:t xml:space="preserve"> </w:t>
      </w:r>
      <w:r w:rsidR="009576B8" w:rsidRPr="00405603">
        <w:rPr>
          <w:rFonts w:ascii="Times New Roman" w:hAnsi="Times New Roman" w:cs="Times New Roman"/>
        </w:rPr>
        <w:t>Smith (n 7</w:t>
      </w:r>
      <w:r w:rsidR="006E5940">
        <w:rPr>
          <w:rFonts w:ascii="Times New Roman" w:hAnsi="Times New Roman" w:cs="Times New Roman"/>
        </w:rPr>
        <w:t>9).</w:t>
      </w:r>
    </w:p>
  </w:footnote>
  <w:footnote w:id="14">
    <w:p w14:paraId="1F65896C" w14:textId="1AD4D61A" w:rsidR="00D5075C" w:rsidRPr="00405603" w:rsidRDefault="00D5075C">
      <w:pPr>
        <w:pStyle w:val="FootnoteText"/>
        <w:rPr>
          <w:rFonts w:ascii="Times New Roman" w:hAnsi="Times New Roman" w:cs="Times New Roman"/>
        </w:rPr>
      </w:pPr>
      <w:r w:rsidRPr="00405603">
        <w:rPr>
          <w:rStyle w:val="FootnoteReference"/>
          <w:rFonts w:ascii="Times New Roman" w:hAnsi="Times New Roman" w:cs="Times New Roman"/>
        </w:rPr>
        <w:footnoteRef/>
      </w:r>
      <w:r w:rsidRPr="00405603">
        <w:rPr>
          <w:rFonts w:ascii="Times New Roman" w:hAnsi="Times New Roman" w:cs="Times New Roman"/>
        </w:rPr>
        <w:t xml:space="preserve"> Bradley Miller, ‘Beguiled by Metaphors: The “Living Tree” and Originalist Constitutional Interpretation in Canada’ (2009) 22(2) </w:t>
      </w:r>
      <w:r w:rsidRPr="00405603">
        <w:rPr>
          <w:rFonts w:ascii="Times New Roman" w:hAnsi="Times New Roman" w:cs="Times New Roman"/>
          <w:i/>
          <w:iCs/>
        </w:rPr>
        <w:t>Canadian Journal of Law and Jurisprudence</w:t>
      </w:r>
      <w:r w:rsidRPr="00405603">
        <w:rPr>
          <w:rFonts w:ascii="Times New Roman" w:hAnsi="Times New Roman" w:cs="Times New Roman"/>
        </w:rPr>
        <w:t xml:space="preserve"> 331, 334 quoting </w:t>
      </w:r>
      <w:r w:rsidRPr="00405603">
        <w:rPr>
          <w:rFonts w:ascii="Times New Roman" w:hAnsi="Times New Roman" w:cs="Times New Roman"/>
          <w:i/>
          <w:iCs/>
        </w:rPr>
        <w:t>Edwards v Attorney-General for Canada</w:t>
      </w:r>
      <w:r w:rsidRPr="00405603">
        <w:rPr>
          <w:rFonts w:ascii="Times New Roman" w:hAnsi="Times New Roman" w:cs="Times New Roman"/>
        </w:rPr>
        <w:t xml:space="preserve"> [1930] A.C. 124 (P.C.) 136.</w:t>
      </w:r>
    </w:p>
  </w:footnote>
  <w:footnote w:id="15">
    <w:p w14:paraId="7444F6E7" w14:textId="1CB4DA15" w:rsidR="00D5075C" w:rsidRPr="00405603" w:rsidRDefault="00D5075C">
      <w:pPr>
        <w:pStyle w:val="FootnoteText"/>
        <w:rPr>
          <w:rFonts w:ascii="Times New Roman" w:hAnsi="Times New Roman" w:cs="Times New Roman"/>
        </w:rPr>
      </w:pPr>
      <w:r w:rsidRPr="00405603">
        <w:rPr>
          <w:rStyle w:val="FootnoteReference"/>
          <w:rFonts w:ascii="Times New Roman" w:hAnsi="Times New Roman" w:cs="Times New Roman"/>
        </w:rPr>
        <w:footnoteRef/>
      </w:r>
      <w:r w:rsidRPr="00405603">
        <w:rPr>
          <w:rFonts w:ascii="Times New Roman" w:hAnsi="Times New Roman" w:cs="Times New Roman"/>
        </w:rPr>
        <w:t xml:space="preserve"> </w:t>
      </w:r>
      <w:r w:rsidR="009576B8" w:rsidRPr="00405603">
        <w:rPr>
          <w:rFonts w:ascii="Times New Roman" w:hAnsi="Times New Roman" w:cs="Times New Roman"/>
        </w:rPr>
        <w:t xml:space="preserve">Keim (n </w:t>
      </w:r>
      <w:r w:rsidR="00C407DD">
        <w:rPr>
          <w:rFonts w:ascii="Times New Roman" w:hAnsi="Times New Roman" w:cs="Times New Roman"/>
        </w:rPr>
        <w:t>4)</w:t>
      </w:r>
      <w:r w:rsidRPr="00405603">
        <w:rPr>
          <w:rFonts w:ascii="Times New Roman" w:hAnsi="Times New Roman" w:cs="Times New Roman"/>
        </w:rPr>
        <w:t xml:space="preserve"> </w:t>
      </w:r>
      <w:r w:rsidR="009576B8" w:rsidRPr="00405603">
        <w:rPr>
          <w:rFonts w:ascii="Times New Roman" w:hAnsi="Times New Roman" w:cs="Times New Roman"/>
        </w:rPr>
        <w:t>5</w:t>
      </w:r>
      <w:r w:rsidRPr="00405603">
        <w:rPr>
          <w:rFonts w:ascii="Times New Roman" w:hAnsi="Times New Roman" w:cs="Times New Roman"/>
        </w:rPr>
        <w:t>.</w:t>
      </w:r>
    </w:p>
  </w:footnote>
  <w:footnote w:id="16">
    <w:p w14:paraId="4FE5064E" w14:textId="6FC8660D" w:rsidR="00983468" w:rsidRPr="00405603" w:rsidRDefault="00983468">
      <w:pPr>
        <w:pStyle w:val="FootnoteText"/>
        <w:rPr>
          <w:rFonts w:ascii="Times New Roman" w:hAnsi="Times New Roman" w:cs="Times New Roman"/>
        </w:rPr>
      </w:pPr>
      <w:r w:rsidRPr="00405603">
        <w:rPr>
          <w:rStyle w:val="FootnoteReference"/>
          <w:rFonts w:ascii="Times New Roman" w:hAnsi="Times New Roman" w:cs="Times New Roman"/>
        </w:rPr>
        <w:footnoteRef/>
      </w:r>
      <w:r w:rsidRPr="00405603">
        <w:rPr>
          <w:rFonts w:ascii="Times New Roman" w:hAnsi="Times New Roman" w:cs="Times New Roman"/>
        </w:rPr>
        <w:t xml:space="preserve"> </w:t>
      </w:r>
      <w:r w:rsidRPr="00405603">
        <w:rPr>
          <w:rFonts w:ascii="Times New Roman" w:hAnsi="Times New Roman" w:cs="Times New Roman"/>
          <w:i/>
          <w:iCs/>
        </w:rPr>
        <w:t>Love</w:t>
      </w:r>
      <w:r w:rsidRPr="00405603">
        <w:rPr>
          <w:rFonts w:ascii="Times New Roman" w:hAnsi="Times New Roman" w:cs="Times New Roman"/>
        </w:rPr>
        <w:t xml:space="preserve"> (n </w:t>
      </w:r>
      <w:r w:rsidR="009576B8" w:rsidRPr="00405603">
        <w:rPr>
          <w:rFonts w:ascii="Times New Roman" w:hAnsi="Times New Roman" w:cs="Times New Roman"/>
        </w:rPr>
        <w:t>1</w:t>
      </w:r>
      <w:r w:rsidRPr="00405603">
        <w:rPr>
          <w:rFonts w:ascii="Times New Roman" w:hAnsi="Times New Roman" w:cs="Times New Roman"/>
        </w:rPr>
        <w:t>)</w:t>
      </w:r>
      <w:r w:rsidR="009576B8" w:rsidRPr="00405603">
        <w:rPr>
          <w:rFonts w:ascii="Times New Roman" w:hAnsi="Times New Roman" w:cs="Times New Roman"/>
        </w:rPr>
        <w:t xml:space="preserve"> </w:t>
      </w:r>
      <w:r w:rsidR="003C3763" w:rsidRPr="00405603">
        <w:rPr>
          <w:rFonts w:ascii="Times New Roman" w:hAnsi="Times New Roman" w:cs="Times New Roman"/>
        </w:rPr>
        <w:t>284</w:t>
      </w:r>
      <w:r w:rsidR="006E5940">
        <w:rPr>
          <w:rFonts w:ascii="Times New Roman" w:hAnsi="Times New Roman" w:cs="Times New Roman"/>
        </w:rPr>
        <w:t xml:space="preserve"> (Gordon J</w:t>
      </w:r>
      <w:proofErr w:type="gramStart"/>
      <w:r w:rsidR="006E5940">
        <w:rPr>
          <w:rFonts w:ascii="Times New Roman" w:hAnsi="Times New Roman" w:cs="Times New Roman"/>
        </w:rPr>
        <w:t>).</w:t>
      </w:r>
      <w:r w:rsidR="003C3763" w:rsidRPr="00405603">
        <w:rPr>
          <w:rFonts w:ascii="Times New Roman" w:hAnsi="Times New Roman" w:cs="Times New Roman"/>
        </w:rPr>
        <w:t>.</w:t>
      </w:r>
      <w:proofErr w:type="gramEnd"/>
      <w:r w:rsidRPr="00405603">
        <w:rPr>
          <w:rFonts w:ascii="Times New Roman" w:hAnsi="Times New Roman" w:cs="Times New Roman"/>
        </w:rPr>
        <w:t xml:space="preserve"> </w:t>
      </w:r>
    </w:p>
  </w:footnote>
  <w:footnote w:id="17">
    <w:p w14:paraId="03464227" w14:textId="213409B9" w:rsidR="00985F83" w:rsidRPr="00405603" w:rsidRDefault="00985F83">
      <w:pPr>
        <w:pStyle w:val="FootnoteText"/>
        <w:rPr>
          <w:rFonts w:ascii="Times New Roman" w:hAnsi="Times New Roman" w:cs="Times New Roman"/>
        </w:rPr>
      </w:pPr>
      <w:r w:rsidRPr="00405603">
        <w:rPr>
          <w:rStyle w:val="FootnoteReference"/>
          <w:rFonts w:ascii="Times New Roman" w:hAnsi="Times New Roman" w:cs="Times New Roman"/>
        </w:rPr>
        <w:footnoteRef/>
      </w:r>
      <w:r w:rsidRPr="00405603">
        <w:rPr>
          <w:rFonts w:ascii="Times New Roman" w:hAnsi="Times New Roman" w:cs="Times New Roman"/>
        </w:rPr>
        <w:t xml:space="preserve"> </w:t>
      </w:r>
      <w:r w:rsidR="003C3763" w:rsidRPr="00405603">
        <w:rPr>
          <w:rFonts w:ascii="Times New Roman" w:hAnsi="Times New Roman" w:cs="Times New Roman"/>
        </w:rPr>
        <w:t>Ibid 282-284.</w:t>
      </w:r>
    </w:p>
  </w:footnote>
  <w:footnote w:id="18">
    <w:p w14:paraId="16463B0D" w14:textId="0EF2870E" w:rsidR="00DB7B7D" w:rsidRPr="00405603" w:rsidRDefault="00DB7B7D">
      <w:pPr>
        <w:pStyle w:val="FootnoteText"/>
        <w:rPr>
          <w:rFonts w:ascii="Times New Roman" w:hAnsi="Times New Roman" w:cs="Times New Roman"/>
          <w:lang w:val="en-US"/>
        </w:rPr>
      </w:pPr>
      <w:r w:rsidRPr="00405603">
        <w:rPr>
          <w:rStyle w:val="FootnoteReference"/>
          <w:rFonts w:ascii="Times New Roman" w:hAnsi="Times New Roman" w:cs="Times New Roman"/>
        </w:rPr>
        <w:footnoteRef/>
      </w:r>
      <w:r w:rsidRPr="00405603">
        <w:rPr>
          <w:rFonts w:ascii="Times New Roman" w:hAnsi="Times New Roman" w:cs="Times New Roman"/>
        </w:rPr>
        <w:t xml:space="preserve"> </w:t>
      </w:r>
      <w:r w:rsidRPr="00405603">
        <w:rPr>
          <w:rFonts w:ascii="Times New Roman" w:hAnsi="Times New Roman" w:cs="Times New Roman"/>
          <w:lang w:val="en-US"/>
        </w:rPr>
        <w:t xml:space="preserve">Johnny Sakr </w:t>
      </w:r>
      <w:r w:rsidR="00E55D8D" w:rsidRPr="00405603">
        <w:rPr>
          <w:rFonts w:ascii="Times New Roman" w:hAnsi="Times New Roman" w:cs="Times New Roman"/>
          <w:lang w:val="en-US"/>
        </w:rPr>
        <w:t xml:space="preserve">and Augusto Zimmermann, Judicial Activism and Constitutional (Mis)Interpretation: A Critical Appraisal’ (2021) 40(1) </w:t>
      </w:r>
      <w:r w:rsidR="000B4C35" w:rsidRPr="00405603">
        <w:rPr>
          <w:rFonts w:ascii="Times New Roman" w:hAnsi="Times New Roman" w:cs="Times New Roman"/>
          <w:i/>
          <w:iCs/>
          <w:lang w:val="en-US"/>
        </w:rPr>
        <w:t>University</w:t>
      </w:r>
      <w:r w:rsidR="00E55D8D" w:rsidRPr="00405603">
        <w:rPr>
          <w:rFonts w:ascii="Times New Roman" w:hAnsi="Times New Roman" w:cs="Times New Roman"/>
          <w:i/>
          <w:iCs/>
          <w:lang w:val="en-US"/>
        </w:rPr>
        <w:t xml:space="preserve"> of Queensland Law Journal</w:t>
      </w:r>
      <w:r w:rsidR="00E55D8D" w:rsidRPr="00405603">
        <w:rPr>
          <w:rFonts w:ascii="Times New Roman" w:hAnsi="Times New Roman" w:cs="Times New Roman"/>
          <w:lang w:val="en-US"/>
        </w:rPr>
        <w:t xml:space="preserve"> 119, </w:t>
      </w:r>
      <w:r w:rsidRPr="00405603">
        <w:rPr>
          <w:rFonts w:ascii="Times New Roman" w:hAnsi="Times New Roman" w:cs="Times New Roman"/>
          <w:lang w:val="en-US"/>
        </w:rPr>
        <w:t>138.</w:t>
      </w:r>
    </w:p>
  </w:footnote>
  <w:footnote w:id="19">
    <w:p w14:paraId="3A54CB69" w14:textId="6F6BAB91" w:rsidR="00985F83" w:rsidRPr="00405603" w:rsidRDefault="00985F83">
      <w:pPr>
        <w:pStyle w:val="FootnoteText"/>
        <w:rPr>
          <w:rFonts w:ascii="Times New Roman" w:hAnsi="Times New Roman" w:cs="Times New Roman"/>
        </w:rPr>
      </w:pPr>
      <w:r w:rsidRPr="00405603">
        <w:rPr>
          <w:rStyle w:val="FootnoteReference"/>
          <w:rFonts w:ascii="Times New Roman" w:hAnsi="Times New Roman" w:cs="Times New Roman"/>
        </w:rPr>
        <w:footnoteRef/>
      </w:r>
      <w:r w:rsidRPr="00405603">
        <w:rPr>
          <w:rFonts w:ascii="Times New Roman" w:hAnsi="Times New Roman" w:cs="Times New Roman"/>
        </w:rPr>
        <w:t xml:space="preserve"> </w:t>
      </w:r>
      <w:r w:rsidR="000B4C35" w:rsidRPr="00405603">
        <w:rPr>
          <w:rFonts w:ascii="Times New Roman" w:hAnsi="Times New Roman" w:cs="Times New Roman"/>
        </w:rPr>
        <w:t>Ibid</w:t>
      </w:r>
      <w:r w:rsidR="00DB7B7D" w:rsidRPr="00405603">
        <w:rPr>
          <w:rFonts w:ascii="Times New Roman" w:hAnsi="Times New Roman" w:cs="Times New Roman"/>
        </w:rPr>
        <w:t xml:space="preserve"> 138.</w:t>
      </w:r>
    </w:p>
  </w:footnote>
  <w:footnote w:id="20">
    <w:p w14:paraId="2090EDF1" w14:textId="4C3AF820" w:rsidR="00744F31" w:rsidRPr="00744F31" w:rsidRDefault="00744F31">
      <w:pPr>
        <w:pStyle w:val="FootnoteText"/>
      </w:pPr>
      <w:r w:rsidRPr="00405603">
        <w:rPr>
          <w:rStyle w:val="FootnoteReference"/>
          <w:rFonts w:ascii="Times New Roman" w:hAnsi="Times New Roman" w:cs="Times New Roman"/>
        </w:rPr>
        <w:footnoteRef/>
      </w:r>
      <w:r w:rsidRPr="00405603">
        <w:rPr>
          <w:rFonts w:ascii="Times New Roman" w:hAnsi="Times New Roman" w:cs="Times New Roman"/>
        </w:rPr>
        <w:t xml:space="preserve"> </w:t>
      </w:r>
      <w:r w:rsidR="000B4C35" w:rsidRPr="00405603">
        <w:rPr>
          <w:rFonts w:ascii="Times New Roman" w:hAnsi="Times New Roman" w:cs="Times New Roman"/>
        </w:rPr>
        <w:t>Ibid</w:t>
      </w:r>
      <w:r w:rsidR="00DB7B7D" w:rsidRPr="00405603">
        <w:rPr>
          <w:rFonts w:ascii="Times New Roman" w:hAnsi="Times New Roman" w:cs="Times New Roman"/>
        </w:rPr>
        <w:t xml:space="preserve"> 139.</w:t>
      </w:r>
    </w:p>
  </w:footnote>
  <w:footnote w:id="21">
    <w:p w14:paraId="78648713" w14:textId="63168237" w:rsidR="00C80139" w:rsidRPr="00983468" w:rsidRDefault="00C80139">
      <w:pPr>
        <w:pStyle w:val="FootnoteText"/>
        <w:rPr>
          <w:rFonts w:ascii="Times New Roman" w:hAnsi="Times New Roman" w:cs="Times New Roman"/>
        </w:rPr>
      </w:pPr>
      <w:r w:rsidRPr="00983468">
        <w:rPr>
          <w:rStyle w:val="FootnoteReference"/>
          <w:rFonts w:ascii="Times New Roman" w:hAnsi="Times New Roman" w:cs="Times New Roman"/>
        </w:rPr>
        <w:footnoteRef/>
      </w:r>
      <w:r w:rsidRPr="00983468">
        <w:rPr>
          <w:rFonts w:ascii="Times New Roman" w:hAnsi="Times New Roman" w:cs="Times New Roman"/>
        </w:rPr>
        <w:t xml:space="preserve"> </w:t>
      </w:r>
      <w:r w:rsidRPr="000B4C35">
        <w:rPr>
          <w:rFonts w:ascii="Times New Roman" w:hAnsi="Times New Roman" w:cs="Times New Roman"/>
          <w:i/>
          <w:iCs/>
        </w:rPr>
        <w:t>Love</w:t>
      </w:r>
      <w:r w:rsidRPr="00983468">
        <w:rPr>
          <w:rFonts w:ascii="Times New Roman" w:hAnsi="Times New Roman" w:cs="Times New Roman"/>
        </w:rPr>
        <w:t xml:space="preserve"> (n </w:t>
      </w:r>
      <w:r w:rsidR="000B4C35">
        <w:rPr>
          <w:rFonts w:ascii="Times New Roman" w:hAnsi="Times New Roman" w:cs="Times New Roman"/>
        </w:rPr>
        <w:t>1</w:t>
      </w:r>
      <w:r w:rsidRPr="00983468">
        <w:rPr>
          <w:rFonts w:ascii="Times New Roman" w:hAnsi="Times New Roman" w:cs="Times New Roman"/>
        </w:rPr>
        <w:t xml:space="preserve">) 174-175 </w:t>
      </w:r>
      <w:r w:rsidR="006E5940">
        <w:rPr>
          <w:rFonts w:ascii="Times New Roman" w:hAnsi="Times New Roman" w:cs="Times New Roman"/>
        </w:rPr>
        <w:t xml:space="preserve">(Kiefel CJ) </w:t>
      </w:r>
      <w:r w:rsidRPr="00983468">
        <w:rPr>
          <w:rFonts w:ascii="Times New Roman" w:hAnsi="Times New Roman" w:cs="Times New Roman"/>
        </w:rPr>
        <w:t xml:space="preserve">citing </w:t>
      </w:r>
      <w:r w:rsidRPr="000B4C35">
        <w:rPr>
          <w:rFonts w:ascii="Times New Roman" w:hAnsi="Times New Roman" w:cs="Times New Roman"/>
          <w:i/>
          <w:iCs/>
        </w:rPr>
        <w:t>Singh v Commonwealth</w:t>
      </w:r>
      <w:r w:rsidRPr="00983468">
        <w:rPr>
          <w:rFonts w:ascii="Times New Roman" w:hAnsi="Times New Roman" w:cs="Times New Roman"/>
        </w:rPr>
        <w:t xml:space="preserve"> (2004) 222 CLR 322, 398; </w:t>
      </w:r>
      <w:r w:rsidRPr="000B4C35">
        <w:rPr>
          <w:rFonts w:ascii="Times New Roman" w:hAnsi="Times New Roman" w:cs="Times New Roman"/>
          <w:i/>
          <w:iCs/>
        </w:rPr>
        <w:t>Nolan v Minister for Immigration and Ethnic Affairs</w:t>
      </w:r>
      <w:r w:rsidRPr="00983468">
        <w:rPr>
          <w:rFonts w:ascii="Times New Roman" w:hAnsi="Times New Roman" w:cs="Times New Roman"/>
        </w:rPr>
        <w:t xml:space="preserve"> (1988) 165 CLR 178, 183.</w:t>
      </w:r>
    </w:p>
  </w:footnote>
  <w:footnote w:id="22">
    <w:p w14:paraId="492D9A04" w14:textId="5F956AFE" w:rsidR="009005D5" w:rsidRPr="00983468" w:rsidRDefault="009005D5">
      <w:pPr>
        <w:pStyle w:val="FootnoteText"/>
        <w:rPr>
          <w:rFonts w:ascii="Times New Roman" w:hAnsi="Times New Roman" w:cs="Times New Roman"/>
        </w:rPr>
      </w:pPr>
      <w:r w:rsidRPr="00983468">
        <w:rPr>
          <w:rStyle w:val="FootnoteReference"/>
          <w:rFonts w:ascii="Times New Roman" w:hAnsi="Times New Roman" w:cs="Times New Roman"/>
        </w:rPr>
        <w:footnoteRef/>
      </w:r>
      <w:r w:rsidRPr="00983468">
        <w:rPr>
          <w:rFonts w:ascii="Times New Roman" w:hAnsi="Times New Roman" w:cs="Times New Roman"/>
        </w:rPr>
        <w:t xml:space="preserve"> </w:t>
      </w:r>
      <w:r w:rsidR="000B4C35">
        <w:rPr>
          <w:rFonts w:ascii="Times New Roman" w:hAnsi="Times New Roman" w:cs="Times New Roman"/>
        </w:rPr>
        <w:t>Ibid</w:t>
      </w:r>
      <w:r w:rsidRPr="00983468">
        <w:rPr>
          <w:rFonts w:ascii="Times New Roman" w:hAnsi="Times New Roman" w:cs="Times New Roman"/>
        </w:rPr>
        <w:t xml:space="preserve"> 179-180.</w:t>
      </w:r>
    </w:p>
  </w:footnote>
  <w:footnote w:id="23">
    <w:p w14:paraId="2F656F62" w14:textId="0772B99B" w:rsidR="009005D5" w:rsidRPr="00983468" w:rsidRDefault="009005D5">
      <w:pPr>
        <w:pStyle w:val="FootnoteText"/>
        <w:rPr>
          <w:rFonts w:ascii="Times New Roman" w:hAnsi="Times New Roman" w:cs="Times New Roman"/>
        </w:rPr>
      </w:pPr>
      <w:r w:rsidRPr="00983468">
        <w:rPr>
          <w:rStyle w:val="FootnoteReference"/>
          <w:rFonts w:ascii="Times New Roman" w:hAnsi="Times New Roman" w:cs="Times New Roman"/>
        </w:rPr>
        <w:footnoteRef/>
      </w:r>
      <w:r w:rsidR="000B4C35">
        <w:rPr>
          <w:rFonts w:ascii="Times New Roman" w:hAnsi="Times New Roman" w:cs="Times New Roman"/>
        </w:rPr>
        <w:t xml:space="preserve"> Ibid</w:t>
      </w:r>
      <w:r w:rsidRPr="00983468">
        <w:rPr>
          <w:rFonts w:ascii="Times New Roman" w:hAnsi="Times New Roman" w:cs="Times New Roman"/>
        </w:rPr>
        <w:t xml:space="preserve"> 212.</w:t>
      </w:r>
    </w:p>
  </w:footnote>
  <w:footnote w:id="24">
    <w:p w14:paraId="2F369238" w14:textId="4EF999B4" w:rsidR="00AF51A6" w:rsidRPr="00983468" w:rsidRDefault="00AF51A6">
      <w:pPr>
        <w:pStyle w:val="FootnoteText"/>
        <w:rPr>
          <w:rFonts w:ascii="Times New Roman" w:hAnsi="Times New Roman" w:cs="Times New Roman"/>
        </w:rPr>
      </w:pPr>
      <w:r w:rsidRPr="00983468">
        <w:rPr>
          <w:rStyle w:val="FootnoteReference"/>
          <w:rFonts w:ascii="Times New Roman" w:hAnsi="Times New Roman" w:cs="Times New Roman"/>
        </w:rPr>
        <w:footnoteRef/>
      </w:r>
      <w:r w:rsidRPr="00983468">
        <w:rPr>
          <w:rFonts w:ascii="Times New Roman" w:hAnsi="Times New Roman" w:cs="Times New Roman"/>
        </w:rPr>
        <w:t xml:space="preserve"> </w:t>
      </w:r>
      <w:r w:rsidR="000B4C35">
        <w:rPr>
          <w:rFonts w:ascii="Times New Roman" w:hAnsi="Times New Roman" w:cs="Times New Roman"/>
        </w:rPr>
        <w:t>Ibid</w:t>
      </w:r>
      <w:r w:rsidRPr="00983468">
        <w:rPr>
          <w:rFonts w:ascii="Times New Roman" w:hAnsi="Times New Roman" w:cs="Times New Roman"/>
        </w:rPr>
        <w:t xml:space="preserve"> 22</w:t>
      </w:r>
      <w:r w:rsidR="004B185B">
        <w:rPr>
          <w:rFonts w:ascii="Times New Roman" w:hAnsi="Times New Roman" w:cs="Times New Roman"/>
        </w:rPr>
        <w:t xml:space="preserve">1. </w:t>
      </w:r>
    </w:p>
  </w:footnote>
  <w:footnote w:id="25">
    <w:p w14:paraId="1E8ADF92" w14:textId="69CD1949" w:rsidR="0021091A" w:rsidRPr="00983468" w:rsidRDefault="0021091A">
      <w:pPr>
        <w:pStyle w:val="FootnoteText"/>
        <w:rPr>
          <w:rFonts w:ascii="Times New Roman" w:hAnsi="Times New Roman" w:cs="Times New Roman"/>
        </w:rPr>
      </w:pPr>
      <w:r w:rsidRPr="00983468">
        <w:rPr>
          <w:rStyle w:val="FootnoteReference"/>
          <w:rFonts w:ascii="Times New Roman" w:hAnsi="Times New Roman" w:cs="Times New Roman"/>
        </w:rPr>
        <w:footnoteRef/>
      </w:r>
      <w:r w:rsidRPr="00983468">
        <w:rPr>
          <w:rFonts w:ascii="Times New Roman" w:hAnsi="Times New Roman" w:cs="Times New Roman"/>
        </w:rPr>
        <w:t xml:space="preserve"> </w:t>
      </w:r>
      <w:r w:rsidR="000B4C35">
        <w:rPr>
          <w:rFonts w:ascii="Times New Roman" w:hAnsi="Times New Roman" w:cs="Times New Roman"/>
        </w:rPr>
        <w:t>Ibid</w:t>
      </w:r>
      <w:r w:rsidRPr="00983468">
        <w:rPr>
          <w:rFonts w:ascii="Times New Roman" w:hAnsi="Times New Roman" w:cs="Times New Roman"/>
        </w:rPr>
        <w:t>.</w:t>
      </w:r>
    </w:p>
  </w:footnote>
  <w:footnote w:id="26">
    <w:p w14:paraId="022F42B0" w14:textId="12BFC556" w:rsidR="00AF51A6" w:rsidRPr="00983468" w:rsidRDefault="00AF51A6">
      <w:pPr>
        <w:pStyle w:val="FootnoteText"/>
        <w:rPr>
          <w:rFonts w:ascii="Times New Roman" w:hAnsi="Times New Roman" w:cs="Times New Roman"/>
        </w:rPr>
      </w:pPr>
      <w:r w:rsidRPr="00983468">
        <w:rPr>
          <w:rStyle w:val="FootnoteReference"/>
          <w:rFonts w:ascii="Times New Roman" w:hAnsi="Times New Roman" w:cs="Times New Roman"/>
        </w:rPr>
        <w:footnoteRef/>
      </w:r>
      <w:r w:rsidRPr="00983468">
        <w:rPr>
          <w:rFonts w:ascii="Times New Roman" w:hAnsi="Times New Roman" w:cs="Times New Roman"/>
        </w:rPr>
        <w:t xml:space="preserve"> L</w:t>
      </w:r>
      <w:r w:rsidR="0021091A" w:rsidRPr="00983468">
        <w:rPr>
          <w:rFonts w:ascii="Times New Roman" w:hAnsi="Times New Roman" w:cs="Times New Roman"/>
        </w:rPr>
        <w:t xml:space="preserve">ael Weis, ‘Constitutional Amendment Rules and Interpretive Fidelity to Democracy’ (2014) 38(1) </w:t>
      </w:r>
      <w:r w:rsidR="0021091A" w:rsidRPr="00983468">
        <w:rPr>
          <w:rFonts w:ascii="Times New Roman" w:hAnsi="Times New Roman" w:cs="Times New Roman"/>
          <w:i/>
          <w:iCs/>
        </w:rPr>
        <w:t>Melbourne University Law Review</w:t>
      </w:r>
      <w:r w:rsidR="0021091A" w:rsidRPr="00983468">
        <w:rPr>
          <w:rFonts w:ascii="Times New Roman" w:hAnsi="Times New Roman" w:cs="Times New Roman"/>
        </w:rPr>
        <w:t xml:space="preserve"> 240, 246.</w:t>
      </w:r>
    </w:p>
  </w:footnote>
  <w:footnote w:id="27">
    <w:p w14:paraId="587895A3" w14:textId="7C4FE8A5" w:rsidR="0021091A" w:rsidRPr="00983468" w:rsidRDefault="0021091A">
      <w:pPr>
        <w:pStyle w:val="FootnoteText"/>
        <w:rPr>
          <w:rFonts w:ascii="Times New Roman" w:hAnsi="Times New Roman" w:cs="Times New Roman"/>
        </w:rPr>
      </w:pPr>
      <w:r w:rsidRPr="00983468">
        <w:rPr>
          <w:rStyle w:val="FootnoteReference"/>
          <w:rFonts w:ascii="Times New Roman" w:hAnsi="Times New Roman" w:cs="Times New Roman"/>
        </w:rPr>
        <w:footnoteRef/>
      </w:r>
      <w:r w:rsidRPr="00983468">
        <w:rPr>
          <w:rFonts w:ascii="Times New Roman" w:hAnsi="Times New Roman" w:cs="Times New Roman"/>
        </w:rPr>
        <w:t xml:space="preserve"> </w:t>
      </w:r>
      <w:r w:rsidRPr="004B185B">
        <w:rPr>
          <w:rFonts w:ascii="Times New Roman" w:hAnsi="Times New Roman" w:cs="Times New Roman"/>
          <w:i/>
          <w:iCs/>
        </w:rPr>
        <w:t>Love</w:t>
      </w:r>
      <w:r w:rsidRPr="00983468">
        <w:rPr>
          <w:rFonts w:ascii="Times New Roman" w:hAnsi="Times New Roman" w:cs="Times New Roman"/>
        </w:rPr>
        <w:t xml:space="preserve"> (n </w:t>
      </w:r>
      <w:r w:rsidR="000B4C35">
        <w:rPr>
          <w:rFonts w:ascii="Times New Roman" w:hAnsi="Times New Roman" w:cs="Times New Roman"/>
        </w:rPr>
        <w:t>1</w:t>
      </w:r>
      <w:r w:rsidRPr="00983468">
        <w:rPr>
          <w:rFonts w:ascii="Times New Roman" w:hAnsi="Times New Roman" w:cs="Times New Roman"/>
        </w:rPr>
        <w:t>) 226-228.</w:t>
      </w:r>
    </w:p>
  </w:footnote>
  <w:footnote w:id="28">
    <w:p w14:paraId="5F39A8A8" w14:textId="475A6671" w:rsidR="001409A5" w:rsidRPr="00983468" w:rsidRDefault="001409A5">
      <w:pPr>
        <w:pStyle w:val="FootnoteText"/>
        <w:rPr>
          <w:rFonts w:ascii="Times New Roman" w:hAnsi="Times New Roman" w:cs="Times New Roman"/>
        </w:rPr>
      </w:pPr>
      <w:r w:rsidRPr="00983468">
        <w:rPr>
          <w:rStyle w:val="FootnoteReference"/>
          <w:rFonts w:ascii="Times New Roman" w:hAnsi="Times New Roman" w:cs="Times New Roman"/>
        </w:rPr>
        <w:footnoteRef/>
      </w:r>
      <w:r w:rsidRPr="00983468">
        <w:rPr>
          <w:rFonts w:ascii="Times New Roman" w:hAnsi="Times New Roman" w:cs="Times New Roman"/>
        </w:rPr>
        <w:t xml:space="preserve"> </w:t>
      </w:r>
      <w:r w:rsidRPr="00983468">
        <w:rPr>
          <w:rFonts w:ascii="Times New Roman" w:hAnsi="Times New Roman" w:cs="Times New Roman"/>
          <w:color w:val="000000"/>
        </w:rPr>
        <w:t xml:space="preserve">Anastasia Batkhina, ‘More Similarity if Different, More Difference if Similar: Assimilation, Colorblindness, Multiculturalism, Polyculturalism, and Generalised and Specific Negative Intergroup Bias’ (2022) 30(18) </w:t>
      </w:r>
      <w:r w:rsidRPr="000B4C35">
        <w:rPr>
          <w:rFonts w:ascii="Times New Roman" w:hAnsi="Times New Roman" w:cs="Times New Roman"/>
          <w:i/>
          <w:iCs/>
          <w:color w:val="000000"/>
        </w:rPr>
        <w:t>Europe’s Journal of Psychology</w:t>
      </w:r>
      <w:r w:rsidRPr="00983468">
        <w:rPr>
          <w:rFonts w:ascii="Times New Roman" w:hAnsi="Times New Roman" w:cs="Times New Roman"/>
          <w:color w:val="000000"/>
        </w:rPr>
        <w:t xml:space="preserve"> 369, 370</w:t>
      </w:r>
      <w:r w:rsidR="00DB7B7D">
        <w:rPr>
          <w:rFonts w:ascii="Times New Roman" w:hAnsi="Times New Roman" w:cs="Times New Roman"/>
          <w:color w:val="000000"/>
        </w:rPr>
        <w:t>.</w:t>
      </w:r>
    </w:p>
  </w:footnote>
  <w:footnote w:id="29">
    <w:p w14:paraId="342D1BE5" w14:textId="194A1BC3" w:rsidR="00477446" w:rsidRPr="00477446" w:rsidRDefault="00477446">
      <w:pPr>
        <w:pStyle w:val="FootnoteText"/>
      </w:pPr>
      <w:r w:rsidRPr="00983468">
        <w:rPr>
          <w:rStyle w:val="FootnoteReference"/>
          <w:rFonts w:ascii="Times New Roman" w:hAnsi="Times New Roman" w:cs="Times New Roman"/>
        </w:rPr>
        <w:footnoteRef/>
      </w:r>
      <w:r w:rsidRPr="00983468">
        <w:rPr>
          <w:rFonts w:ascii="Times New Roman" w:hAnsi="Times New Roman" w:cs="Times New Roman"/>
        </w:rPr>
        <w:t xml:space="preserve"> </w:t>
      </w:r>
      <w:r w:rsidRPr="000B4C35">
        <w:rPr>
          <w:rFonts w:ascii="Times New Roman" w:hAnsi="Times New Roman" w:cs="Times New Roman"/>
          <w:i/>
          <w:iCs/>
        </w:rPr>
        <w:t>Love</w:t>
      </w:r>
      <w:r w:rsidRPr="00983468">
        <w:rPr>
          <w:rFonts w:ascii="Times New Roman" w:hAnsi="Times New Roman" w:cs="Times New Roman"/>
        </w:rPr>
        <w:t xml:space="preserve"> (n </w:t>
      </w:r>
      <w:r w:rsidR="000B4C35">
        <w:rPr>
          <w:rFonts w:ascii="Times New Roman" w:hAnsi="Times New Roman" w:cs="Times New Roman"/>
        </w:rPr>
        <w:t>1</w:t>
      </w:r>
      <w:r w:rsidRPr="00983468">
        <w:rPr>
          <w:rFonts w:ascii="Times New Roman" w:hAnsi="Times New Roman" w:cs="Times New Roman"/>
        </w:rPr>
        <w:t>) 287.</w:t>
      </w:r>
    </w:p>
  </w:footnote>
  <w:footnote w:id="30">
    <w:p w14:paraId="1E31E8E0" w14:textId="0007AAED" w:rsidR="00E26B75" w:rsidRPr="00983468" w:rsidRDefault="00E26B75">
      <w:pPr>
        <w:pStyle w:val="FootnoteText"/>
        <w:rPr>
          <w:rFonts w:ascii="Times New Roman" w:hAnsi="Times New Roman" w:cs="Times New Roman"/>
        </w:rPr>
      </w:pPr>
      <w:r w:rsidRPr="000545AF">
        <w:rPr>
          <w:rStyle w:val="FootnoteReference"/>
          <w:rFonts w:asciiTheme="majorBidi" w:hAnsiTheme="majorBidi" w:cstheme="majorBidi"/>
        </w:rPr>
        <w:footnoteRef/>
      </w:r>
      <w:r w:rsidRPr="000545AF">
        <w:rPr>
          <w:rFonts w:asciiTheme="majorBidi" w:hAnsiTheme="majorBidi" w:cstheme="majorBidi"/>
        </w:rPr>
        <w:t xml:space="preserve"> </w:t>
      </w:r>
      <w:r w:rsidR="000B4C35">
        <w:rPr>
          <w:rFonts w:ascii="Times New Roman" w:hAnsi="Times New Roman" w:cs="Times New Roman"/>
        </w:rPr>
        <w:t xml:space="preserve">Smith (n </w:t>
      </w:r>
      <w:r w:rsidR="002E53A2">
        <w:rPr>
          <w:rFonts w:ascii="Times New Roman" w:hAnsi="Times New Roman" w:cs="Times New Roman"/>
        </w:rPr>
        <w:t>9</w:t>
      </w:r>
      <w:r w:rsidR="000B4C35">
        <w:rPr>
          <w:rFonts w:ascii="Times New Roman" w:hAnsi="Times New Roman" w:cs="Times New Roman"/>
        </w:rPr>
        <w:t xml:space="preserve">). </w:t>
      </w:r>
    </w:p>
  </w:footnote>
  <w:footnote w:id="31">
    <w:p w14:paraId="0E20C6C6" w14:textId="52DA0493" w:rsidR="001409A5" w:rsidRPr="00983468" w:rsidRDefault="001409A5">
      <w:pPr>
        <w:pStyle w:val="FootnoteText"/>
        <w:rPr>
          <w:rFonts w:ascii="Times New Roman" w:hAnsi="Times New Roman" w:cs="Times New Roman"/>
        </w:rPr>
      </w:pPr>
      <w:r w:rsidRPr="00983468">
        <w:rPr>
          <w:rStyle w:val="FootnoteReference"/>
          <w:rFonts w:ascii="Times New Roman" w:hAnsi="Times New Roman" w:cs="Times New Roman"/>
        </w:rPr>
        <w:footnoteRef/>
      </w:r>
      <w:r w:rsidRPr="00983468">
        <w:rPr>
          <w:rFonts w:ascii="Times New Roman" w:hAnsi="Times New Roman" w:cs="Times New Roman"/>
        </w:rPr>
        <w:t xml:space="preserve"> </w:t>
      </w:r>
      <w:r w:rsidRPr="000B4C35">
        <w:rPr>
          <w:rFonts w:ascii="Times New Roman" w:hAnsi="Times New Roman" w:cs="Times New Roman"/>
          <w:i/>
          <w:iCs/>
        </w:rPr>
        <w:t>Love</w:t>
      </w:r>
      <w:r w:rsidR="000B4C35">
        <w:rPr>
          <w:rFonts w:ascii="Times New Roman" w:hAnsi="Times New Roman" w:cs="Times New Roman"/>
        </w:rPr>
        <w:t xml:space="preserve"> </w:t>
      </w:r>
      <w:r w:rsidRPr="00983468">
        <w:rPr>
          <w:rFonts w:ascii="Times New Roman" w:hAnsi="Times New Roman" w:cs="Times New Roman"/>
        </w:rPr>
        <w:t xml:space="preserve">(n </w:t>
      </w:r>
      <w:r w:rsidR="000B4C35">
        <w:rPr>
          <w:rFonts w:ascii="Times New Roman" w:hAnsi="Times New Roman" w:cs="Times New Roman"/>
        </w:rPr>
        <w:t>1</w:t>
      </w:r>
      <w:r w:rsidRPr="00983468">
        <w:rPr>
          <w:rFonts w:ascii="Times New Roman" w:hAnsi="Times New Roman" w:cs="Times New Roman"/>
        </w:rPr>
        <w:t xml:space="preserve">) </w:t>
      </w:r>
      <w:r w:rsidR="000B4C35">
        <w:rPr>
          <w:rFonts w:ascii="Times New Roman" w:hAnsi="Times New Roman" w:cs="Times New Roman"/>
        </w:rPr>
        <w:t>254</w:t>
      </w:r>
      <w:r w:rsidRPr="00983468">
        <w:rPr>
          <w:rFonts w:ascii="Times New Roman" w:hAnsi="Times New Roman" w:cs="Times New Roman"/>
        </w:rPr>
        <w:t xml:space="preserve"> (Nettle J). </w:t>
      </w:r>
    </w:p>
  </w:footnote>
  <w:footnote w:id="32">
    <w:p w14:paraId="202AFCFD" w14:textId="07D253C5" w:rsidR="001409A5" w:rsidRPr="00983468" w:rsidRDefault="001409A5">
      <w:pPr>
        <w:pStyle w:val="FootnoteText"/>
        <w:rPr>
          <w:rFonts w:ascii="Times New Roman" w:hAnsi="Times New Roman" w:cs="Times New Roman"/>
        </w:rPr>
      </w:pPr>
      <w:r w:rsidRPr="00983468">
        <w:rPr>
          <w:rStyle w:val="FootnoteReference"/>
          <w:rFonts w:ascii="Times New Roman" w:hAnsi="Times New Roman" w:cs="Times New Roman"/>
        </w:rPr>
        <w:footnoteRef/>
      </w:r>
      <w:r w:rsidRPr="00983468">
        <w:rPr>
          <w:rFonts w:ascii="Times New Roman" w:hAnsi="Times New Roman" w:cs="Times New Roman"/>
        </w:rPr>
        <w:t xml:space="preserve"> </w:t>
      </w:r>
      <w:r w:rsidR="000B4C35">
        <w:rPr>
          <w:rFonts w:ascii="Times New Roman" w:hAnsi="Times New Roman" w:cs="Times New Roman"/>
          <w:color w:val="000000"/>
        </w:rPr>
        <w:t xml:space="preserve">Wells (n </w:t>
      </w:r>
      <w:r w:rsidR="002E53A2">
        <w:rPr>
          <w:rFonts w:ascii="Times New Roman" w:hAnsi="Times New Roman" w:cs="Times New Roman"/>
          <w:color w:val="000000"/>
        </w:rPr>
        <w:t>6)</w:t>
      </w:r>
      <w:r w:rsidRPr="00983468">
        <w:rPr>
          <w:rFonts w:ascii="Times New Roman" w:hAnsi="Times New Roman" w:cs="Times New Roman"/>
          <w:color w:val="000000"/>
        </w:rPr>
        <w:t xml:space="preserve"> </w:t>
      </w:r>
      <w:r w:rsidR="00DB7B7D">
        <w:rPr>
          <w:rFonts w:ascii="Times New Roman" w:hAnsi="Times New Roman" w:cs="Times New Roman"/>
          <w:color w:val="000000"/>
        </w:rPr>
        <w:t>663.</w:t>
      </w:r>
    </w:p>
  </w:footnote>
  <w:footnote w:id="33">
    <w:p w14:paraId="79B5C0FA" w14:textId="28378D5B" w:rsidR="005764E7" w:rsidRPr="00983468" w:rsidRDefault="005764E7">
      <w:pPr>
        <w:pStyle w:val="FootnoteText"/>
        <w:rPr>
          <w:rFonts w:ascii="Times New Roman" w:hAnsi="Times New Roman" w:cs="Times New Roman"/>
        </w:rPr>
      </w:pPr>
      <w:r w:rsidRPr="00983468">
        <w:rPr>
          <w:rStyle w:val="FootnoteReference"/>
          <w:rFonts w:ascii="Times New Roman" w:hAnsi="Times New Roman" w:cs="Times New Roman"/>
        </w:rPr>
        <w:footnoteRef/>
      </w:r>
      <w:r w:rsidRPr="00983468">
        <w:rPr>
          <w:rFonts w:ascii="Times New Roman" w:hAnsi="Times New Roman" w:cs="Times New Roman"/>
        </w:rPr>
        <w:t xml:space="preserve"> Anna Chorazwska, ‘The Principle of Equality as a Challenge to the Democratic Rule of Law’ (2024) 28(4) </w:t>
      </w:r>
      <w:r w:rsidRPr="00983468">
        <w:rPr>
          <w:rFonts w:ascii="Times New Roman" w:hAnsi="Times New Roman" w:cs="Times New Roman"/>
          <w:i/>
          <w:iCs/>
        </w:rPr>
        <w:t>Scientific Journal of Bielsko-Bala School of Finance and Law</w:t>
      </w:r>
      <w:r w:rsidRPr="00983468">
        <w:rPr>
          <w:rFonts w:ascii="Times New Roman" w:hAnsi="Times New Roman" w:cs="Times New Roman"/>
        </w:rPr>
        <w:t xml:space="preserve"> 5, 5.</w:t>
      </w:r>
    </w:p>
  </w:footnote>
  <w:footnote w:id="34">
    <w:p w14:paraId="0D261FF3" w14:textId="77777777" w:rsidR="00121686" w:rsidRPr="00983468" w:rsidRDefault="00121686" w:rsidP="00121686">
      <w:pPr>
        <w:pStyle w:val="FootnoteText"/>
        <w:rPr>
          <w:rFonts w:ascii="Times New Roman" w:hAnsi="Times New Roman" w:cs="Times New Roman"/>
        </w:rPr>
      </w:pPr>
      <w:r w:rsidRPr="00983468">
        <w:rPr>
          <w:rStyle w:val="FootnoteReference"/>
          <w:rFonts w:ascii="Times New Roman" w:hAnsi="Times New Roman" w:cs="Times New Roman"/>
        </w:rPr>
        <w:footnoteRef/>
      </w:r>
      <w:r w:rsidRPr="00983468">
        <w:rPr>
          <w:rFonts w:ascii="Times New Roman" w:hAnsi="Times New Roman" w:cs="Times New Roman"/>
        </w:rPr>
        <w:t xml:space="preserve"> James Harrigan and Ryan Yonk, ‘From Equality and the Rule of Law to the Collapse of Egalitarianism’ (2017) 22(1) </w:t>
      </w:r>
      <w:r w:rsidRPr="000B4C35">
        <w:rPr>
          <w:rFonts w:ascii="Times New Roman" w:hAnsi="Times New Roman" w:cs="Times New Roman"/>
          <w:i/>
          <w:iCs/>
        </w:rPr>
        <w:t>The Independent Review</w:t>
      </w:r>
      <w:r w:rsidRPr="00983468">
        <w:rPr>
          <w:rFonts w:ascii="Times New Roman" w:hAnsi="Times New Roman" w:cs="Times New Roman"/>
        </w:rPr>
        <w:t xml:space="preserve"> 27, 35.</w:t>
      </w:r>
    </w:p>
  </w:footnote>
  <w:footnote w:id="35">
    <w:p w14:paraId="2078A9D3" w14:textId="792D6A82" w:rsidR="00121686" w:rsidRPr="00983468" w:rsidRDefault="00121686" w:rsidP="00121686">
      <w:pPr>
        <w:pStyle w:val="FootnoteText"/>
        <w:rPr>
          <w:rFonts w:ascii="Times New Roman" w:hAnsi="Times New Roman" w:cs="Times New Roman"/>
        </w:rPr>
      </w:pPr>
      <w:r w:rsidRPr="00983468">
        <w:rPr>
          <w:rStyle w:val="FootnoteReference"/>
          <w:rFonts w:ascii="Times New Roman" w:hAnsi="Times New Roman" w:cs="Times New Roman"/>
        </w:rPr>
        <w:footnoteRef/>
      </w:r>
      <w:r w:rsidRPr="00983468">
        <w:rPr>
          <w:rFonts w:ascii="Times New Roman" w:hAnsi="Times New Roman" w:cs="Times New Roman"/>
        </w:rPr>
        <w:t xml:space="preserve"> Isabel Trujillo, ‘Defining the Rule of Law in Terms of Liberty and Equality’ (2023) 137 </w:t>
      </w:r>
      <w:r w:rsidRPr="00983468">
        <w:rPr>
          <w:rFonts w:ascii="Times New Roman" w:hAnsi="Times New Roman" w:cs="Times New Roman"/>
          <w:i/>
          <w:iCs/>
        </w:rPr>
        <w:t xml:space="preserve">Research </w:t>
      </w:r>
      <w:r w:rsidR="000B4C35">
        <w:rPr>
          <w:rFonts w:ascii="Times New Roman" w:hAnsi="Times New Roman" w:cs="Times New Roman"/>
          <w:i/>
          <w:iCs/>
        </w:rPr>
        <w:t>O</w:t>
      </w:r>
      <w:r w:rsidRPr="00983468">
        <w:rPr>
          <w:rFonts w:ascii="Times New Roman" w:hAnsi="Times New Roman" w:cs="Times New Roman"/>
          <w:i/>
          <w:iCs/>
        </w:rPr>
        <w:t>utreach (online)</w:t>
      </w:r>
      <w:r w:rsidRPr="00983468">
        <w:rPr>
          <w:rFonts w:ascii="Times New Roman" w:hAnsi="Times New Roman" w:cs="Times New Roman"/>
        </w:rPr>
        <w:t xml:space="preserve"> 6, 6. </w:t>
      </w:r>
    </w:p>
  </w:footnote>
  <w:footnote w:id="36">
    <w:p w14:paraId="0447A9B8" w14:textId="7F61B98B" w:rsidR="00E177CA" w:rsidRPr="00983468" w:rsidRDefault="00E177CA">
      <w:pPr>
        <w:pStyle w:val="FootnoteText"/>
        <w:rPr>
          <w:rFonts w:ascii="Times New Roman" w:hAnsi="Times New Roman" w:cs="Times New Roman"/>
        </w:rPr>
      </w:pPr>
      <w:r w:rsidRPr="00983468">
        <w:rPr>
          <w:rStyle w:val="FootnoteReference"/>
          <w:rFonts w:ascii="Times New Roman" w:hAnsi="Times New Roman" w:cs="Times New Roman"/>
        </w:rPr>
        <w:footnoteRef/>
      </w:r>
      <w:r w:rsidRPr="00983468">
        <w:rPr>
          <w:rFonts w:ascii="Times New Roman" w:hAnsi="Times New Roman" w:cs="Times New Roman"/>
        </w:rPr>
        <w:t xml:space="preserve"> </w:t>
      </w:r>
      <w:r w:rsidRPr="000B4C35">
        <w:rPr>
          <w:rFonts w:ascii="Times New Roman" w:hAnsi="Times New Roman" w:cs="Times New Roman"/>
          <w:i/>
          <w:iCs/>
        </w:rPr>
        <w:t>Leeth v Commonwealth</w:t>
      </w:r>
      <w:r w:rsidRPr="00983468">
        <w:rPr>
          <w:rFonts w:ascii="Times New Roman" w:hAnsi="Times New Roman" w:cs="Times New Roman"/>
        </w:rPr>
        <w:t xml:space="preserve"> (1992) 174 CLR 455, 483-484.</w:t>
      </w:r>
    </w:p>
  </w:footnote>
  <w:footnote w:id="37">
    <w:p w14:paraId="2279F993" w14:textId="76D03D6D" w:rsidR="00E177CA" w:rsidRPr="00983468" w:rsidRDefault="00E177CA">
      <w:pPr>
        <w:pStyle w:val="FootnoteText"/>
        <w:rPr>
          <w:rFonts w:ascii="Times New Roman" w:hAnsi="Times New Roman" w:cs="Times New Roman"/>
        </w:rPr>
      </w:pPr>
      <w:r w:rsidRPr="00983468">
        <w:rPr>
          <w:rStyle w:val="FootnoteReference"/>
          <w:rFonts w:ascii="Times New Roman" w:hAnsi="Times New Roman" w:cs="Times New Roman"/>
        </w:rPr>
        <w:footnoteRef/>
      </w:r>
      <w:r w:rsidRPr="00983468">
        <w:rPr>
          <w:rFonts w:ascii="Times New Roman" w:hAnsi="Times New Roman" w:cs="Times New Roman"/>
        </w:rPr>
        <w:t xml:space="preserve"> </w:t>
      </w:r>
      <w:r w:rsidRPr="000B4C35">
        <w:rPr>
          <w:rFonts w:ascii="Times New Roman" w:hAnsi="Times New Roman" w:cs="Times New Roman"/>
          <w:i/>
          <w:iCs/>
        </w:rPr>
        <w:t>Matsoukatidou v Yarra Ranges Council</w:t>
      </w:r>
      <w:r w:rsidRPr="00983468">
        <w:rPr>
          <w:rFonts w:ascii="Times New Roman" w:hAnsi="Times New Roman" w:cs="Times New Roman"/>
        </w:rPr>
        <w:t xml:space="preserve"> (2017) 51 VR 624, 642.</w:t>
      </w:r>
    </w:p>
  </w:footnote>
  <w:footnote w:id="38">
    <w:p w14:paraId="5147719A" w14:textId="1A4ABA39" w:rsidR="007C358E" w:rsidRPr="00983468" w:rsidRDefault="007C358E">
      <w:pPr>
        <w:pStyle w:val="FootnoteText"/>
        <w:rPr>
          <w:rFonts w:ascii="Times New Roman" w:hAnsi="Times New Roman" w:cs="Times New Roman"/>
        </w:rPr>
      </w:pPr>
      <w:r w:rsidRPr="00983468">
        <w:rPr>
          <w:rStyle w:val="FootnoteReference"/>
          <w:rFonts w:ascii="Times New Roman" w:hAnsi="Times New Roman" w:cs="Times New Roman"/>
        </w:rPr>
        <w:footnoteRef/>
      </w:r>
      <w:r w:rsidRPr="00983468">
        <w:rPr>
          <w:rFonts w:ascii="Times New Roman" w:hAnsi="Times New Roman" w:cs="Times New Roman"/>
        </w:rPr>
        <w:t xml:space="preserve"> </w:t>
      </w:r>
      <w:r w:rsidRPr="000B4C35">
        <w:rPr>
          <w:rFonts w:ascii="Times New Roman" w:hAnsi="Times New Roman" w:cs="Times New Roman"/>
          <w:i/>
          <w:iCs/>
        </w:rPr>
        <w:t>Farmer v Minister for Home Affairs</w:t>
      </w:r>
      <w:r w:rsidRPr="00983468">
        <w:rPr>
          <w:rFonts w:ascii="Times New Roman" w:hAnsi="Times New Roman" w:cs="Times New Roman"/>
        </w:rPr>
        <w:t xml:space="preserve"> (2025) 425 ALR 116, 179.</w:t>
      </w:r>
    </w:p>
  </w:footnote>
  <w:footnote w:id="39">
    <w:p w14:paraId="626C4577" w14:textId="148E851C" w:rsidR="00121686" w:rsidRPr="00983468" w:rsidRDefault="00121686">
      <w:pPr>
        <w:pStyle w:val="FootnoteText"/>
        <w:rPr>
          <w:rFonts w:ascii="Times New Roman" w:hAnsi="Times New Roman" w:cs="Times New Roman"/>
        </w:rPr>
      </w:pPr>
      <w:r w:rsidRPr="00983468">
        <w:rPr>
          <w:rStyle w:val="FootnoteReference"/>
          <w:rFonts w:ascii="Times New Roman" w:hAnsi="Times New Roman" w:cs="Times New Roman"/>
        </w:rPr>
        <w:footnoteRef/>
      </w:r>
      <w:r w:rsidRPr="00983468">
        <w:rPr>
          <w:rFonts w:ascii="Times New Roman" w:hAnsi="Times New Roman" w:cs="Times New Roman"/>
        </w:rPr>
        <w:t xml:space="preserve"> Shireen Morris, ‘</w:t>
      </w:r>
      <w:r w:rsidRPr="000B4C35">
        <w:rPr>
          <w:rFonts w:ascii="Times New Roman" w:hAnsi="Times New Roman" w:cs="Times New Roman"/>
          <w:i/>
          <w:iCs/>
        </w:rPr>
        <w:t>Love</w:t>
      </w:r>
      <w:r w:rsidRPr="00983468">
        <w:rPr>
          <w:rFonts w:ascii="Times New Roman" w:hAnsi="Times New Roman" w:cs="Times New Roman"/>
        </w:rPr>
        <w:t xml:space="preserve"> in the High Court: Implications for Indigenous Constitutional Recognition’ (2021) 49(3) </w:t>
      </w:r>
      <w:r w:rsidRPr="00983468">
        <w:rPr>
          <w:rFonts w:ascii="Times New Roman" w:hAnsi="Times New Roman" w:cs="Times New Roman"/>
          <w:i/>
          <w:iCs/>
        </w:rPr>
        <w:t>Federal Law Review</w:t>
      </w:r>
      <w:r w:rsidRPr="00983468">
        <w:rPr>
          <w:rFonts w:ascii="Times New Roman" w:hAnsi="Times New Roman" w:cs="Times New Roman"/>
        </w:rPr>
        <w:t xml:space="preserve"> 410, 412.</w:t>
      </w:r>
    </w:p>
  </w:footnote>
  <w:footnote w:id="40">
    <w:p w14:paraId="382021D5" w14:textId="34D8FCD1" w:rsidR="009F5317" w:rsidRPr="009F5317" w:rsidRDefault="009F5317">
      <w:pPr>
        <w:pStyle w:val="FootnoteText"/>
      </w:pPr>
      <w:r w:rsidRPr="00983468">
        <w:rPr>
          <w:rStyle w:val="FootnoteReference"/>
          <w:rFonts w:ascii="Times New Roman" w:hAnsi="Times New Roman" w:cs="Times New Roman"/>
        </w:rPr>
        <w:footnoteRef/>
      </w:r>
      <w:r w:rsidRPr="00983468">
        <w:rPr>
          <w:rFonts w:ascii="Times New Roman" w:hAnsi="Times New Roman" w:cs="Times New Roman"/>
        </w:rPr>
        <w:t xml:space="preserve"> </w:t>
      </w:r>
      <w:r w:rsidRPr="00983468">
        <w:rPr>
          <w:rFonts w:ascii="Times New Roman" w:hAnsi="Times New Roman" w:cs="Times New Roman"/>
          <w:i/>
          <w:iCs/>
        </w:rPr>
        <w:t>Kruger v Commonwealth</w:t>
      </w:r>
      <w:r w:rsidR="00FD340A" w:rsidRPr="00983468">
        <w:rPr>
          <w:rFonts w:ascii="Times New Roman" w:hAnsi="Times New Roman" w:cs="Times New Roman"/>
        </w:rPr>
        <w:t xml:space="preserve"> (1997) 190 CLR 1, 65.</w:t>
      </w:r>
    </w:p>
  </w:footnote>
  <w:footnote w:id="41">
    <w:p w14:paraId="76E04D81" w14:textId="193395EB" w:rsidR="00121686" w:rsidRPr="00983468" w:rsidRDefault="00121686">
      <w:pPr>
        <w:pStyle w:val="FootnoteText"/>
        <w:rPr>
          <w:rFonts w:ascii="Times New Roman" w:hAnsi="Times New Roman" w:cs="Times New Roman"/>
        </w:rPr>
      </w:pPr>
      <w:r w:rsidRPr="00983468">
        <w:rPr>
          <w:rStyle w:val="FootnoteReference"/>
          <w:rFonts w:ascii="Times New Roman" w:hAnsi="Times New Roman" w:cs="Times New Roman"/>
        </w:rPr>
        <w:footnoteRef/>
      </w:r>
      <w:r w:rsidRPr="00983468">
        <w:rPr>
          <w:rFonts w:ascii="Times New Roman" w:hAnsi="Times New Roman" w:cs="Times New Roman"/>
        </w:rPr>
        <w:t xml:space="preserve"> Morris</w:t>
      </w:r>
      <w:r w:rsidR="000B4C35">
        <w:rPr>
          <w:rFonts w:ascii="Times New Roman" w:hAnsi="Times New Roman" w:cs="Times New Roman"/>
        </w:rPr>
        <w:t xml:space="preserve"> (n 4</w:t>
      </w:r>
      <w:r w:rsidR="002E53A2">
        <w:rPr>
          <w:rFonts w:ascii="Times New Roman" w:hAnsi="Times New Roman" w:cs="Times New Roman"/>
        </w:rPr>
        <w:t>0</w:t>
      </w:r>
      <w:r w:rsidR="000B4C35">
        <w:rPr>
          <w:rFonts w:ascii="Times New Roman" w:hAnsi="Times New Roman" w:cs="Times New Roman"/>
        </w:rPr>
        <w:t xml:space="preserve">) </w:t>
      </w:r>
      <w:r w:rsidRPr="00983468">
        <w:rPr>
          <w:rFonts w:ascii="Times New Roman" w:hAnsi="Times New Roman" w:cs="Times New Roman"/>
        </w:rPr>
        <w:t xml:space="preserve">425. </w:t>
      </w:r>
    </w:p>
  </w:footnote>
  <w:footnote w:id="42">
    <w:p w14:paraId="12E1D2F5" w14:textId="2903A899" w:rsidR="007A3CAE" w:rsidRPr="00983468" w:rsidRDefault="007A3CAE">
      <w:pPr>
        <w:pStyle w:val="FootnoteText"/>
        <w:rPr>
          <w:rFonts w:ascii="Times New Roman" w:hAnsi="Times New Roman" w:cs="Times New Roman"/>
        </w:rPr>
      </w:pPr>
      <w:r w:rsidRPr="00983468">
        <w:rPr>
          <w:rStyle w:val="FootnoteReference"/>
          <w:rFonts w:ascii="Times New Roman" w:hAnsi="Times New Roman" w:cs="Times New Roman"/>
        </w:rPr>
        <w:footnoteRef/>
      </w:r>
      <w:r w:rsidRPr="00983468">
        <w:rPr>
          <w:rFonts w:ascii="Times New Roman" w:hAnsi="Times New Roman" w:cs="Times New Roman"/>
        </w:rPr>
        <w:t xml:space="preserve"> </w:t>
      </w:r>
      <w:r w:rsidR="00706DC6">
        <w:rPr>
          <w:rFonts w:ascii="Times New Roman" w:hAnsi="Times New Roman" w:cs="Times New Roman"/>
        </w:rPr>
        <w:t xml:space="preserve">M J Detmold, ‘The New Constitutional Law’ (1994) 16(2) </w:t>
      </w:r>
      <w:r w:rsidR="00706DC6" w:rsidRPr="000B4C35">
        <w:rPr>
          <w:rFonts w:ascii="Times New Roman" w:hAnsi="Times New Roman" w:cs="Times New Roman"/>
          <w:i/>
          <w:iCs/>
        </w:rPr>
        <w:t>Sydney Law Review</w:t>
      </w:r>
      <w:r w:rsidR="00706DC6">
        <w:rPr>
          <w:rFonts w:ascii="Times New Roman" w:hAnsi="Times New Roman" w:cs="Times New Roman"/>
        </w:rPr>
        <w:t xml:space="preserve"> 228, 232.</w:t>
      </w:r>
    </w:p>
  </w:footnote>
  <w:footnote w:id="43">
    <w:p w14:paraId="2A44FB0C" w14:textId="330BF1F4" w:rsidR="009520BC" w:rsidRPr="00983468" w:rsidRDefault="009520BC">
      <w:pPr>
        <w:pStyle w:val="FootnoteText"/>
        <w:rPr>
          <w:rFonts w:ascii="Times New Roman" w:hAnsi="Times New Roman" w:cs="Times New Roman"/>
        </w:rPr>
      </w:pPr>
      <w:r w:rsidRPr="00983468">
        <w:rPr>
          <w:rStyle w:val="FootnoteReference"/>
          <w:rFonts w:ascii="Times New Roman" w:hAnsi="Times New Roman" w:cs="Times New Roman"/>
        </w:rPr>
        <w:footnoteRef/>
      </w:r>
      <w:r w:rsidRPr="00983468">
        <w:rPr>
          <w:rFonts w:ascii="Times New Roman" w:hAnsi="Times New Roman" w:cs="Times New Roman"/>
        </w:rPr>
        <w:t xml:space="preserve"> </w:t>
      </w:r>
      <w:r w:rsidRPr="000B4C35">
        <w:rPr>
          <w:rFonts w:ascii="Times New Roman" w:hAnsi="Times New Roman" w:cs="Times New Roman"/>
          <w:i/>
          <w:iCs/>
        </w:rPr>
        <w:t>Love</w:t>
      </w:r>
      <w:r w:rsidRPr="00983468">
        <w:rPr>
          <w:rFonts w:ascii="Times New Roman" w:hAnsi="Times New Roman" w:cs="Times New Roman"/>
        </w:rPr>
        <w:t xml:space="preserve"> (n </w:t>
      </w:r>
      <w:r w:rsidR="000B4C35">
        <w:rPr>
          <w:rFonts w:ascii="Times New Roman" w:hAnsi="Times New Roman" w:cs="Times New Roman"/>
        </w:rPr>
        <w:t>1</w:t>
      </w:r>
      <w:r w:rsidRPr="00983468">
        <w:rPr>
          <w:rFonts w:ascii="Times New Roman" w:hAnsi="Times New Roman" w:cs="Times New Roman"/>
        </w:rPr>
        <w:t>) 283.</w:t>
      </w:r>
    </w:p>
  </w:footnote>
  <w:footnote w:id="44">
    <w:p w14:paraId="6B839468" w14:textId="088EC436" w:rsidR="002345E2" w:rsidRPr="00983468" w:rsidRDefault="002345E2">
      <w:pPr>
        <w:pStyle w:val="FootnoteText"/>
        <w:rPr>
          <w:rFonts w:ascii="Times New Roman" w:hAnsi="Times New Roman" w:cs="Times New Roman"/>
        </w:rPr>
      </w:pPr>
      <w:r w:rsidRPr="00983468">
        <w:rPr>
          <w:rStyle w:val="FootnoteReference"/>
          <w:rFonts w:ascii="Times New Roman" w:hAnsi="Times New Roman" w:cs="Times New Roman"/>
        </w:rPr>
        <w:footnoteRef/>
      </w:r>
      <w:r w:rsidRPr="00983468">
        <w:rPr>
          <w:rFonts w:ascii="Times New Roman" w:hAnsi="Times New Roman" w:cs="Times New Roman"/>
        </w:rPr>
        <w:t xml:space="preserve"> </w:t>
      </w:r>
      <w:r w:rsidR="000B4C35">
        <w:rPr>
          <w:rFonts w:ascii="Times New Roman" w:hAnsi="Times New Roman" w:cs="Times New Roman"/>
        </w:rPr>
        <w:t>Ibid</w:t>
      </w:r>
      <w:r w:rsidRPr="00983468">
        <w:rPr>
          <w:rFonts w:ascii="Times New Roman" w:hAnsi="Times New Roman" w:cs="Times New Roman"/>
        </w:rPr>
        <w:t xml:space="preserve"> 190.</w:t>
      </w:r>
    </w:p>
  </w:footnote>
  <w:footnote w:id="45">
    <w:p w14:paraId="27E72E46" w14:textId="55883D33" w:rsidR="00121686" w:rsidRPr="00983468" w:rsidRDefault="00121686">
      <w:pPr>
        <w:pStyle w:val="FootnoteText"/>
        <w:rPr>
          <w:rFonts w:ascii="Times New Roman" w:hAnsi="Times New Roman" w:cs="Times New Roman"/>
        </w:rPr>
      </w:pPr>
      <w:r w:rsidRPr="00983468">
        <w:rPr>
          <w:rStyle w:val="FootnoteReference"/>
          <w:rFonts w:ascii="Times New Roman" w:hAnsi="Times New Roman" w:cs="Times New Roman"/>
        </w:rPr>
        <w:footnoteRef/>
      </w:r>
      <w:r w:rsidRPr="00983468">
        <w:rPr>
          <w:rFonts w:ascii="Times New Roman" w:hAnsi="Times New Roman" w:cs="Times New Roman"/>
        </w:rPr>
        <w:t xml:space="preserve"> Harald Bauder and Rebecca Mueller, ‘Westphalian Vs Indigenous Sovereignty: Challenging Colonial Territorial Governance’ (2023) 28(1) </w:t>
      </w:r>
      <w:r w:rsidRPr="00983468">
        <w:rPr>
          <w:rFonts w:ascii="Times New Roman" w:hAnsi="Times New Roman" w:cs="Times New Roman"/>
          <w:i/>
          <w:iCs/>
        </w:rPr>
        <w:t>Geopolitics</w:t>
      </w:r>
      <w:r w:rsidRPr="00983468">
        <w:rPr>
          <w:rFonts w:ascii="Times New Roman" w:hAnsi="Times New Roman" w:cs="Times New Roman"/>
        </w:rPr>
        <w:t xml:space="preserve"> 156, 158.</w:t>
      </w:r>
    </w:p>
  </w:footnote>
  <w:footnote w:id="46">
    <w:p w14:paraId="49DB716D" w14:textId="163E7E55" w:rsidR="006F1097" w:rsidRPr="00983468" w:rsidRDefault="006F1097">
      <w:pPr>
        <w:pStyle w:val="FootnoteText"/>
        <w:rPr>
          <w:rFonts w:ascii="Times New Roman" w:hAnsi="Times New Roman" w:cs="Times New Roman"/>
        </w:rPr>
      </w:pPr>
      <w:r w:rsidRPr="00983468">
        <w:rPr>
          <w:rStyle w:val="FootnoteReference"/>
          <w:rFonts w:ascii="Times New Roman" w:hAnsi="Times New Roman" w:cs="Times New Roman"/>
        </w:rPr>
        <w:footnoteRef/>
      </w:r>
      <w:r w:rsidRPr="00983468">
        <w:rPr>
          <w:rFonts w:ascii="Times New Roman" w:hAnsi="Times New Roman" w:cs="Times New Roman"/>
        </w:rPr>
        <w:t xml:space="preserve"> Patrick Milton, Michael Axworthy and Brendan Simms, ‘Introduction: The Relevance of the Thirty Years War and Westphalia for the Middle East Today’ in </w:t>
      </w:r>
      <w:r w:rsidRPr="00983468">
        <w:rPr>
          <w:rFonts w:ascii="Times New Roman" w:hAnsi="Times New Roman" w:cs="Times New Roman"/>
          <w:i/>
          <w:iCs/>
        </w:rPr>
        <w:t>Towards A Westphalia for the Middle East</w:t>
      </w:r>
      <w:r w:rsidRPr="00983468">
        <w:rPr>
          <w:rFonts w:ascii="Times New Roman" w:hAnsi="Times New Roman" w:cs="Times New Roman"/>
        </w:rPr>
        <w:t xml:space="preserve"> </w:t>
      </w:r>
      <w:r w:rsidR="004B5B9B" w:rsidRPr="00983468">
        <w:rPr>
          <w:rFonts w:ascii="Times New Roman" w:hAnsi="Times New Roman" w:cs="Times New Roman"/>
        </w:rPr>
        <w:t>(Oxford University Press, March 2019) 1, 6.</w:t>
      </w:r>
    </w:p>
  </w:footnote>
  <w:footnote w:id="47">
    <w:p w14:paraId="5C6268B2" w14:textId="218A78BD" w:rsidR="006F1097" w:rsidRPr="00983468" w:rsidRDefault="006F1097">
      <w:pPr>
        <w:pStyle w:val="FootnoteText"/>
        <w:rPr>
          <w:rFonts w:ascii="Times New Roman" w:hAnsi="Times New Roman" w:cs="Times New Roman"/>
        </w:rPr>
      </w:pPr>
      <w:r w:rsidRPr="00983468">
        <w:rPr>
          <w:rStyle w:val="FootnoteReference"/>
          <w:rFonts w:ascii="Times New Roman" w:hAnsi="Times New Roman" w:cs="Times New Roman"/>
        </w:rPr>
        <w:footnoteRef/>
      </w:r>
      <w:r w:rsidRPr="00983468">
        <w:rPr>
          <w:rFonts w:ascii="Times New Roman" w:hAnsi="Times New Roman" w:cs="Times New Roman"/>
        </w:rPr>
        <w:t xml:space="preserve"> Bauder </w:t>
      </w:r>
      <w:r w:rsidR="000B4C35">
        <w:rPr>
          <w:rFonts w:ascii="Times New Roman" w:hAnsi="Times New Roman" w:cs="Times New Roman"/>
        </w:rPr>
        <w:t>(n 4</w:t>
      </w:r>
      <w:r w:rsidR="002E53A2">
        <w:rPr>
          <w:rFonts w:ascii="Times New Roman" w:hAnsi="Times New Roman" w:cs="Times New Roman"/>
        </w:rPr>
        <w:t>6</w:t>
      </w:r>
      <w:r w:rsidR="000B4C35">
        <w:rPr>
          <w:rFonts w:ascii="Times New Roman" w:hAnsi="Times New Roman" w:cs="Times New Roman"/>
        </w:rPr>
        <w:t>)</w:t>
      </w:r>
      <w:r w:rsidRPr="00983468">
        <w:rPr>
          <w:rFonts w:ascii="Times New Roman" w:hAnsi="Times New Roman" w:cs="Times New Roman"/>
        </w:rPr>
        <w:t xml:space="preserve"> </w:t>
      </w:r>
      <w:r w:rsidR="00FD340A" w:rsidRPr="00983468">
        <w:rPr>
          <w:rFonts w:ascii="Times New Roman" w:hAnsi="Times New Roman" w:cs="Times New Roman"/>
        </w:rPr>
        <w:t>161</w:t>
      </w:r>
      <w:r w:rsidRPr="00983468">
        <w:rPr>
          <w:rFonts w:ascii="Times New Roman" w:hAnsi="Times New Roman" w:cs="Times New Roman"/>
        </w:rPr>
        <w:t>.</w:t>
      </w:r>
    </w:p>
  </w:footnote>
  <w:footnote w:id="48">
    <w:p w14:paraId="55239465" w14:textId="71789A12" w:rsidR="00734345" w:rsidRPr="00983468" w:rsidRDefault="00734345">
      <w:pPr>
        <w:pStyle w:val="FootnoteText"/>
        <w:rPr>
          <w:rFonts w:ascii="Times New Roman" w:hAnsi="Times New Roman" w:cs="Times New Roman"/>
        </w:rPr>
      </w:pPr>
      <w:r w:rsidRPr="00983468">
        <w:rPr>
          <w:rStyle w:val="FootnoteReference"/>
          <w:rFonts w:ascii="Times New Roman" w:hAnsi="Times New Roman" w:cs="Times New Roman"/>
        </w:rPr>
        <w:footnoteRef/>
      </w:r>
      <w:r w:rsidRPr="00983468">
        <w:rPr>
          <w:rFonts w:ascii="Times New Roman" w:hAnsi="Times New Roman" w:cs="Times New Roman"/>
        </w:rPr>
        <w:t xml:space="preserve"> </w:t>
      </w:r>
      <w:r w:rsidR="000B4C35">
        <w:rPr>
          <w:rFonts w:ascii="Times New Roman" w:hAnsi="Times New Roman" w:cs="Times New Roman"/>
        </w:rPr>
        <w:t>Ibid</w:t>
      </w:r>
      <w:r w:rsidRPr="00983468">
        <w:rPr>
          <w:rFonts w:ascii="Times New Roman" w:hAnsi="Times New Roman" w:cs="Times New Roman"/>
        </w:rPr>
        <w:t xml:space="preserve"> </w:t>
      </w:r>
      <w:r w:rsidR="00FD340A" w:rsidRPr="00983468">
        <w:rPr>
          <w:rFonts w:ascii="Times New Roman" w:hAnsi="Times New Roman" w:cs="Times New Roman"/>
        </w:rPr>
        <w:t>158</w:t>
      </w:r>
      <w:r w:rsidRPr="00983468">
        <w:rPr>
          <w:rFonts w:ascii="Times New Roman" w:hAnsi="Times New Roman" w:cs="Times New Roman"/>
        </w:rPr>
        <w:t xml:space="preserve">. </w:t>
      </w:r>
    </w:p>
  </w:footnote>
  <w:footnote w:id="49">
    <w:p w14:paraId="672E869C" w14:textId="31CBCA85" w:rsidR="009E7C66" w:rsidRPr="00983468" w:rsidRDefault="009E7C66">
      <w:pPr>
        <w:pStyle w:val="FootnoteText"/>
        <w:rPr>
          <w:rFonts w:ascii="Times New Roman" w:hAnsi="Times New Roman" w:cs="Times New Roman"/>
        </w:rPr>
      </w:pPr>
      <w:r w:rsidRPr="00983468">
        <w:rPr>
          <w:rStyle w:val="FootnoteReference"/>
          <w:rFonts w:ascii="Times New Roman" w:hAnsi="Times New Roman" w:cs="Times New Roman"/>
        </w:rPr>
        <w:footnoteRef/>
      </w:r>
      <w:r w:rsidRPr="00706DC6">
        <w:rPr>
          <w:rFonts w:ascii="Times New Roman" w:hAnsi="Times New Roman" w:cs="Times New Roman"/>
          <w:i/>
          <w:iCs/>
        </w:rPr>
        <w:t xml:space="preserve"> </w:t>
      </w:r>
      <w:r w:rsidR="00706DC6" w:rsidRPr="00706DC6">
        <w:rPr>
          <w:rFonts w:ascii="Times New Roman" w:hAnsi="Times New Roman" w:cs="Times New Roman"/>
          <w:i/>
          <w:iCs/>
        </w:rPr>
        <w:t>United Nations’ Declaration on the Rights of Indigenous</w:t>
      </w:r>
      <w:r w:rsidR="00706DC6">
        <w:rPr>
          <w:rFonts w:ascii="Times New Roman" w:hAnsi="Times New Roman" w:cs="Times New Roman"/>
        </w:rPr>
        <w:t xml:space="preserve"> Peoples, </w:t>
      </w:r>
      <w:r w:rsidR="00A33FA0" w:rsidRPr="00983468">
        <w:rPr>
          <w:rFonts w:ascii="Times New Roman" w:hAnsi="Times New Roman" w:cs="Times New Roman"/>
        </w:rPr>
        <w:t>GA Res 61/295, UN Doc A/RES/61/295 (2 October 2007, adopted 13 September 2007)</w:t>
      </w:r>
      <w:r w:rsidR="00706DC6">
        <w:rPr>
          <w:rFonts w:ascii="Times New Roman" w:hAnsi="Times New Roman" w:cs="Times New Roman"/>
        </w:rPr>
        <w:t>.</w:t>
      </w:r>
    </w:p>
  </w:footnote>
  <w:footnote w:id="50">
    <w:p w14:paraId="71C19246" w14:textId="66940C4B" w:rsidR="0053488E" w:rsidRPr="00983468" w:rsidRDefault="0053488E">
      <w:pPr>
        <w:pStyle w:val="FootnoteText"/>
        <w:rPr>
          <w:rFonts w:ascii="Times New Roman" w:hAnsi="Times New Roman" w:cs="Times New Roman"/>
        </w:rPr>
      </w:pPr>
      <w:r w:rsidRPr="00983468">
        <w:rPr>
          <w:rStyle w:val="FootnoteReference"/>
          <w:rFonts w:ascii="Times New Roman" w:hAnsi="Times New Roman" w:cs="Times New Roman"/>
        </w:rPr>
        <w:footnoteRef/>
      </w:r>
      <w:r w:rsidRPr="00983468">
        <w:rPr>
          <w:rFonts w:ascii="Times New Roman" w:hAnsi="Times New Roman" w:cs="Times New Roman"/>
        </w:rPr>
        <w:t xml:space="preserve"> </w:t>
      </w:r>
      <w:r w:rsidR="005805AB" w:rsidRPr="00983468">
        <w:rPr>
          <w:rFonts w:ascii="Times New Roman" w:hAnsi="Times New Roman" w:cs="Times New Roman"/>
        </w:rPr>
        <w:t xml:space="preserve">Dyson Heydon, ‘Judicial Activism and the Death of the Rule of Law’ (2004) 10(4) </w:t>
      </w:r>
      <w:r w:rsidR="005805AB" w:rsidRPr="002E53A2">
        <w:rPr>
          <w:rFonts w:ascii="Times New Roman" w:hAnsi="Times New Roman" w:cs="Times New Roman"/>
          <w:i/>
          <w:iCs/>
        </w:rPr>
        <w:t>Otago Law Review</w:t>
      </w:r>
      <w:r w:rsidR="005805AB" w:rsidRPr="00983468">
        <w:rPr>
          <w:rFonts w:ascii="Times New Roman" w:hAnsi="Times New Roman" w:cs="Times New Roman"/>
        </w:rPr>
        <w:t xml:space="preserve"> 493, 495.</w:t>
      </w:r>
    </w:p>
  </w:footnote>
  <w:footnote w:id="51">
    <w:p w14:paraId="22C2A491" w14:textId="40D3D46B" w:rsidR="005805AB" w:rsidRPr="00983468" w:rsidRDefault="005805AB">
      <w:pPr>
        <w:pStyle w:val="FootnoteText"/>
        <w:rPr>
          <w:rFonts w:ascii="Times New Roman" w:hAnsi="Times New Roman" w:cs="Times New Roman"/>
        </w:rPr>
      </w:pPr>
      <w:r w:rsidRPr="00983468">
        <w:rPr>
          <w:rStyle w:val="FootnoteReference"/>
          <w:rFonts w:ascii="Times New Roman" w:hAnsi="Times New Roman" w:cs="Times New Roman"/>
        </w:rPr>
        <w:footnoteRef/>
      </w:r>
      <w:r w:rsidRPr="00983468">
        <w:rPr>
          <w:rFonts w:ascii="Times New Roman" w:hAnsi="Times New Roman" w:cs="Times New Roman"/>
        </w:rPr>
        <w:t xml:space="preserve"> </w:t>
      </w:r>
      <w:r w:rsidR="000B4C35">
        <w:rPr>
          <w:rFonts w:ascii="Times New Roman" w:hAnsi="Times New Roman" w:cs="Times New Roman"/>
        </w:rPr>
        <w:t>Ibid</w:t>
      </w:r>
      <w:r w:rsidRPr="00983468">
        <w:rPr>
          <w:rFonts w:ascii="Times New Roman" w:hAnsi="Times New Roman" w:cs="Times New Roman"/>
        </w:rPr>
        <w:t xml:space="preserve"> </w:t>
      </w:r>
      <w:r w:rsidR="00E56C4F" w:rsidRPr="00983468">
        <w:rPr>
          <w:rFonts w:ascii="Times New Roman" w:hAnsi="Times New Roman" w:cs="Times New Roman"/>
        </w:rPr>
        <w:t>496-497, 510-511</w:t>
      </w:r>
      <w:r w:rsidRPr="00983468">
        <w:rPr>
          <w:rFonts w:ascii="Times New Roman" w:hAnsi="Times New Roman" w:cs="Times New Roman"/>
        </w:rPr>
        <w:t xml:space="preserve">. </w:t>
      </w:r>
    </w:p>
  </w:footnote>
  <w:footnote w:id="52">
    <w:p w14:paraId="56941DEF" w14:textId="2B171071" w:rsidR="00E56C4F" w:rsidRPr="00983468" w:rsidRDefault="00E56C4F">
      <w:pPr>
        <w:pStyle w:val="FootnoteText"/>
        <w:rPr>
          <w:rFonts w:ascii="Times New Roman" w:hAnsi="Times New Roman" w:cs="Times New Roman"/>
        </w:rPr>
      </w:pPr>
      <w:r w:rsidRPr="00983468">
        <w:rPr>
          <w:rStyle w:val="FootnoteReference"/>
          <w:rFonts w:ascii="Times New Roman" w:hAnsi="Times New Roman" w:cs="Times New Roman"/>
        </w:rPr>
        <w:footnoteRef/>
      </w:r>
      <w:r w:rsidRPr="00983468">
        <w:rPr>
          <w:rFonts w:ascii="Times New Roman" w:hAnsi="Times New Roman" w:cs="Times New Roman"/>
        </w:rPr>
        <w:t xml:space="preserve"> </w:t>
      </w:r>
      <w:r w:rsidR="00405603">
        <w:rPr>
          <w:rFonts w:ascii="Times New Roman" w:hAnsi="Times New Roman" w:cs="Times New Roman"/>
        </w:rPr>
        <w:t>Sakr</w:t>
      </w:r>
      <w:r w:rsidRPr="00983468">
        <w:rPr>
          <w:rFonts w:ascii="Times New Roman" w:hAnsi="Times New Roman" w:cs="Times New Roman"/>
        </w:rPr>
        <w:t xml:space="preserve"> (n </w:t>
      </w:r>
      <w:r w:rsidR="002E53A2">
        <w:rPr>
          <w:rFonts w:ascii="Times New Roman" w:hAnsi="Times New Roman" w:cs="Times New Roman"/>
        </w:rPr>
        <w:t>19</w:t>
      </w:r>
      <w:r w:rsidRPr="00983468">
        <w:rPr>
          <w:rFonts w:ascii="Times New Roman" w:hAnsi="Times New Roman" w:cs="Times New Roman"/>
        </w:rPr>
        <w:t xml:space="preserve">) </w:t>
      </w:r>
      <w:r w:rsidR="00D83788" w:rsidRPr="00983468">
        <w:rPr>
          <w:rFonts w:ascii="Times New Roman" w:hAnsi="Times New Roman" w:cs="Times New Roman"/>
        </w:rPr>
        <w:t>122</w:t>
      </w:r>
      <w:r w:rsidRPr="00983468">
        <w:rPr>
          <w:rFonts w:ascii="Times New Roman" w:hAnsi="Times New Roman" w:cs="Times New Roman"/>
        </w:rPr>
        <w:t xml:space="preserve"> quoting</w:t>
      </w:r>
      <w:r w:rsidR="00D83788" w:rsidRPr="00983468">
        <w:rPr>
          <w:rFonts w:ascii="Times New Roman" w:hAnsi="Times New Roman" w:cs="Times New Roman"/>
        </w:rPr>
        <w:t xml:space="preserve"> Sir Harry Gibbs, ‘Judicial Activism and Judicial Restraint: Where Does the Balance Lie?’ (Conference Paper, Constitutional Law Conference, University of New South Wales, 20 February 2004) 1, 7. </w:t>
      </w:r>
    </w:p>
  </w:footnote>
  <w:footnote w:id="53">
    <w:p w14:paraId="1A436455" w14:textId="2BE43CC7" w:rsidR="00405603" w:rsidRPr="00405603" w:rsidRDefault="00405603">
      <w:pPr>
        <w:pStyle w:val="FootnoteText"/>
        <w:rPr>
          <w:rFonts w:ascii="Times New Roman" w:hAnsi="Times New Roman" w:cs="Times New Roman"/>
          <w:lang w:val="en-US"/>
        </w:rPr>
      </w:pPr>
      <w:r w:rsidRPr="00405603">
        <w:rPr>
          <w:rStyle w:val="FootnoteReference"/>
          <w:rFonts w:ascii="Times New Roman" w:hAnsi="Times New Roman" w:cs="Times New Roman"/>
        </w:rPr>
        <w:footnoteRef/>
      </w:r>
      <w:r w:rsidRPr="00405603">
        <w:rPr>
          <w:rFonts w:ascii="Times New Roman" w:hAnsi="Times New Roman" w:cs="Times New Roman"/>
        </w:rPr>
        <w:t xml:space="preserve"> </w:t>
      </w:r>
      <w:r w:rsidRPr="00405603">
        <w:rPr>
          <w:rFonts w:ascii="Times New Roman" w:hAnsi="Times New Roman" w:cs="Times New Roman"/>
          <w:lang w:val="en-US"/>
        </w:rPr>
        <w:t>Morris (n 4</w:t>
      </w:r>
      <w:r w:rsidR="002E53A2">
        <w:rPr>
          <w:rFonts w:ascii="Times New Roman" w:hAnsi="Times New Roman" w:cs="Times New Roman"/>
          <w:lang w:val="en-US"/>
        </w:rPr>
        <w:t>0</w:t>
      </w:r>
      <w:r w:rsidRPr="00405603">
        <w:rPr>
          <w:rFonts w:ascii="Times New Roman" w:hAnsi="Times New Roman" w:cs="Times New Roman"/>
          <w:lang w:val="en-US"/>
        </w:rPr>
        <w:t xml:space="preserve">) 429 quoting George Williams, ‘When the Umpire Takes a Stand’, </w:t>
      </w:r>
      <w:r w:rsidRPr="00405603">
        <w:rPr>
          <w:rFonts w:ascii="Times New Roman" w:hAnsi="Times New Roman" w:cs="Times New Roman"/>
          <w:i/>
          <w:iCs/>
          <w:lang w:val="en-US"/>
        </w:rPr>
        <w:t>The Sydney Morning Herald</w:t>
      </w:r>
      <w:r w:rsidRPr="00405603">
        <w:rPr>
          <w:rFonts w:ascii="Times New Roman" w:hAnsi="Times New Roman" w:cs="Times New Roman"/>
          <w:lang w:val="en-US"/>
        </w:rPr>
        <w:t xml:space="preserve"> (Web Page, 12 November 2011) &lt;</w:t>
      </w:r>
      <w:r w:rsidRPr="00405603">
        <w:rPr>
          <w:rFonts w:ascii="Times New Roman" w:hAnsi="Times New Roman" w:cs="Times New Roman"/>
        </w:rPr>
        <w:t xml:space="preserve"> </w:t>
      </w:r>
      <w:r w:rsidRPr="00405603">
        <w:rPr>
          <w:rFonts w:ascii="Times New Roman" w:hAnsi="Times New Roman" w:cs="Times New Roman"/>
          <w:lang w:val="en-US"/>
        </w:rPr>
        <w:t>https://www.smh.com.au/politics/federal/when-the-umpire-takes-a-stand-20111111-1nbag.html&gt;.</w:t>
      </w:r>
    </w:p>
  </w:footnote>
  <w:footnote w:id="54">
    <w:p w14:paraId="5D7DDEC3" w14:textId="6DFC72E2" w:rsidR="00405603" w:rsidRPr="00405603" w:rsidRDefault="00405603">
      <w:pPr>
        <w:pStyle w:val="FootnoteText"/>
        <w:rPr>
          <w:rFonts w:ascii="Times New Roman" w:hAnsi="Times New Roman" w:cs="Times New Roman"/>
          <w:lang w:val="en-US"/>
        </w:rPr>
      </w:pPr>
      <w:r w:rsidRPr="00405603">
        <w:rPr>
          <w:rStyle w:val="FootnoteReference"/>
          <w:rFonts w:ascii="Times New Roman" w:hAnsi="Times New Roman" w:cs="Times New Roman"/>
        </w:rPr>
        <w:footnoteRef/>
      </w:r>
      <w:r w:rsidRPr="00405603">
        <w:rPr>
          <w:rFonts w:ascii="Times New Roman" w:hAnsi="Times New Roman" w:cs="Times New Roman"/>
        </w:rPr>
        <w:t xml:space="preserve"> Ibid</w:t>
      </w:r>
      <w:r w:rsidR="002E53A2">
        <w:rPr>
          <w:rFonts w:ascii="Times New Roman" w:hAnsi="Times New Roman" w:cs="Times New Roman"/>
        </w:rPr>
        <w:t>.</w:t>
      </w:r>
    </w:p>
  </w:footnote>
  <w:footnote w:id="55">
    <w:p w14:paraId="5F3C10A2" w14:textId="3CB694D9" w:rsidR="00405603" w:rsidRPr="00405603" w:rsidRDefault="00405603">
      <w:pPr>
        <w:pStyle w:val="FootnoteText"/>
        <w:rPr>
          <w:rFonts w:ascii="Times New Roman" w:hAnsi="Times New Roman" w:cs="Times New Roman"/>
          <w:lang w:val="en-US"/>
        </w:rPr>
      </w:pPr>
      <w:r w:rsidRPr="00405603">
        <w:rPr>
          <w:rStyle w:val="FootnoteReference"/>
          <w:rFonts w:ascii="Times New Roman" w:hAnsi="Times New Roman" w:cs="Times New Roman"/>
        </w:rPr>
        <w:footnoteRef/>
      </w:r>
      <w:r w:rsidRPr="00405603">
        <w:rPr>
          <w:rFonts w:ascii="Times New Roman" w:hAnsi="Times New Roman" w:cs="Times New Roman"/>
        </w:rPr>
        <w:t xml:space="preserve"> </w:t>
      </w:r>
      <w:r w:rsidRPr="00405603">
        <w:rPr>
          <w:rFonts w:ascii="Times New Roman" w:hAnsi="Times New Roman" w:cs="Times New Roman"/>
          <w:lang w:val="en-US"/>
        </w:rPr>
        <w:t xml:space="preserve">Michael Kirby, ‘Judicial Activism: Power Without Responsibility? No, Appropriate Activism Conforming to Duty’ (2006) 30(2) </w:t>
      </w:r>
      <w:r w:rsidRPr="00666514">
        <w:rPr>
          <w:rFonts w:ascii="Times New Roman" w:hAnsi="Times New Roman" w:cs="Times New Roman"/>
          <w:i/>
          <w:iCs/>
          <w:lang w:val="en-US"/>
        </w:rPr>
        <w:t>Melbourne University Law Review</w:t>
      </w:r>
      <w:r w:rsidRPr="00405603">
        <w:rPr>
          <w:rFonts w:ascii="Times New Roman" w:hAnsi="Times New Roman" w:cs="Times New Roman"/>
          <w:lang w:val="en-US"/>
        </w:rPr>
        <w:t xml:space="preserve"> 576, 590.</w:t>
      </w:r>
    </w:p>
  </w:footnote>
  <w:footnote w:id="56">
    <w:p w14:paraId="60000BDC" w14:textId="467C15AD" w:rsidR="008121D2" w:rsidRPr="008121D2" w:rsidRDefault="008121D2" w:rsidP="008121D2">
      <w:pPr>
        <w:spacing w:after="200" w:line="276" w:lineRule="auto"/>
        <w:rPr>
          <w:rFonts w:ascii="Times New Roman" w:hAnsi="Times New Roman" w:cs="Times New Roman"/>
          <w:sz w:val="20"/>
          <w:szCs w:val="20"/>
          <w:lang w:bidi="en-US"/>
        </w:rPr>
      </w:pPr>
      <w:r w:rsidRPr="00405603">
        <w:rPr>
          <w:rStyle w:val="FootnoteReference"/>
          <w:rFonts w:ascii="Times New Roman" w:hAnsi="Times New Roman" w:cs="Times New Roman"/>
          <w:sz w:val="20"/>
          <w:szCs w:val="20"/>
        </w:rPr>
        <w:footnoteRef/>
      </w:r>
      <w:r w:rsidRPr="00405603">
        <w:rPr>
          <w:rFonts w:ascii="Times New Roman" w:hAnsi="Times New Roman" w:cs="Times New Roman"/>
          <w:sz w:val="20"/>
          <w:szCs w:val="20"/>
        </w:rPr>
        <w:t xml:space="preserve"> </w:t>
      </w:r>
      <w:r w:rsidR="00405603" w:rsidRPr="00405603">
        <w:rPr>
          <w:rFonts w:ascii="Times New Roman" w:hAnsi="Times New Roman" w:cs="Times New Roman"/>
          <w:sz w:val="20"/>
          <w:szCs w:val="20"/>
          <w:lang w:bidi="en-US"/>
        </w:rPr>
        <w:t>Ibid</w:t>
      </w:r>
      <w:r w:rsidRPr="00405603">
        <w:rPr>
          <w:rFonts w:ascii="Times New Roman" w:hAnsi="Times New Roman" w:cs="Times New Roman"/>
          <w:sz w:val="20"/>
          <w:szCs w:val="20"/>
          <w:lang w:bidi="en-US"/>
        </w:rPr>
        <w:t xml:space="preserve"> 591.</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712"/>
    <w:rsid w:val="00003756"/>
    <w:rsid w:val="000545AF"/>
    <w:rsid w:val="00084091"/>
    <w:rsid w:val="00095443"/>
    <w:rsid w:val="000B4C35"/>
    <w:rsid w:val="000F086F"/>
    <w:rsid w:val="00102B74"/>
    <w:rsid w:val="001038B9"/>
    <w:rsid w:val="001204EE"/>
    <w:rsid w:val="00121686"/>
    <w:rsid w:val="00121906"/>
    <w:rsid w:val="00127080"/>
    <w:rsid w:val="00136E3B"/>
    <w:rsid w:val="001409A5"/>
    <w:rsid w:val="00172DB8"/>
    <w:rsid w:val="001943B2"/>
    <w:rsid w:val="001E01E2"/>
    <w:rsid w:val="001E3A58"/>
    <w:rsid w:val="001F5217"/>
    <w:rsid w:val="00200B89"/>
    <w:rsid w:val="0021091A"/>
    <w:rsid w:val="002345E2"/>
    <w:rsid w:val="00244B7D"/>
    <w:rsid w:val="00267E17"/>
    <w:rsid w:val="002B17A0"/>
    <w:rsid w:val="002E53A2"/>
    <w:rsid w:val="003900DD"/>
    <w:rsid w:val="00391A2F"/>
    <w:rsid w:val="003C3763"/>
    <w:rsid w:val="003F0708"/>
    <w:rsid w:val="00405603"/>
    <w:rsid w:val="00420C7E"/>
    <w:rsid w:val="0046456E"/>
    <w:rsid w:val="00477446"/>
    <w:rsid w:val="004B185B"/>
    <w:rsid w:val="004B5B9B"/>
    <w:rsid w:val="0053488E"/>
    <w:rsid w:val="0056727F"/>
    <w:rsid w:val="005764E7"/>
    <w:rsid w:val="005805AB"/>
    <w:rsid w:val="00583925"/>
    <w:rsid w:val="005A5EAC"/>
    <w:rsid w:val="005B0D2B"/>
    <w:rsid w:val="005C0B43"/>
    <w:rsid w:val="005C0FA5"/>
    <w:rsid w:val="005E44E8"/>
    <w:rsid w:val="005E45D9"/>
    <w:rsid w:val="006001C1"/>
    <w:rsid w:val="00665BFD"/>
    <w:rsid w:val="00666514"/>
    <w:rsid w:val="006D0FC0"/>
    <w:rsid w:val="006E5940"/>
    <w:rsid w:val="006F1097"/>
    <w:rsid w:val="00706DC6"/>
    <w:rsid w:val="00723AD2"/>
    <w:rsid w:val="00727CC5"/>
    <w:rsid w:val="00734345"/>
    <w:rsid w:val="00744F31"/>
    <w:rsid w:val="00745679"/>
    <w:rsid w:val="00750A13"/>
    <w:rsid w:val="00793273"/>
    <w:rsid w:val="007A3CAE"/>
    <w:rsid w:val="007C358E"/>
    <w:rsid w:val="007C7D09"/>
    <w:rsid w:val="007E69EF"/>
    <w:rsid w:val="00806C21"/>
    <w:rsid w:val="008121D2"/>
    <w:rsid w:val="0081250C"/>
    <w:rsid w:val="00832A41"/>
    <w:rsid w:val="0084512D"/>
    <w:rsid w:val="008B01BE"/>
    <w:rsid w:val="008B6823"/>
    <w:rsid w:val="008C3545"/>
    <w:rsid w:val="009005D5"/>
    <w:rsid w:val="009520BC"/>
    <w:rsid w:val="009576B8"/>
    <w:rsid w:val="00983468"/>
    <w:rsid w:val="00985F83"/>
    <w:rsid w:val="009A0203"/>
    <w:rsid w:val="009C18BC"/>
    <w:rsid w:val="009E7C66"/>
    <w:rsid w:val="009F5317"/>
    <w:rsid w:val="00A03121"/>
    <w:rsid w:val="00A218A8"/>
    <w:rsid w:val="00A241D3"/>
    <w:rsid w:val="00A33FA0"/>
    <w:rsid w:val="00A362A6"/>
    <w:rsid w:val="00A47645"/>
    <w:rsid w:val="00A847D3"/>
    <w:rsid w:val="00AF5072"/>
    <w:rsid w:val="00AF51A6"/>
    <w:rsid w:val="00B0272E"/>
    <w:rsid w:val="00B2665C"/>
    <w:rsid w:val="00B5503C"/>
    <w:rsid w:val="00BC49CC"/>
    <w:rsid w:val="00BC6DA3"/>
    <w:rsid w:val="00C407DD"/>
    <w:rsid w:val="00C579BD"/>
    <w:rsid w:val="00C80139"/>
    <w:rsid w:val="00CD2C52"/>
    <w:rsid w:val="00CF00FE"/>
    <w:rsid w:val="00D47843"/>
    <w:rsid w:val="00D5075C"/>
    <w:rsid w:val="00D665C9"/>
    <w:rsid w:val="00D83788"/>
    <w:rsid w:val="00DA3551"/>
    <w:rsid w:val="00DB38DB"/>
    <w:rsid w:val="00DB7B7D"/>
    <w:rsid w:val="00DE3F25"/>
    <w:rsid w:val="00E10BCB"/>
    <w:rsid w:val="00E177CA"/>
    <w:rsid w:val="00E17E0A"/>
    <w:rsid w:val="00E26B75"/>
    <w:rsid w:val="00E43785"/>
    <w:rsid w:val="00E54CAF"/>
    <w:rsid w:val="00E55D8D"/>
    <w:rsid w:val="00E56C4F"/>
    <w:rsid w:val="00E63C63"/>
    <w:rsid w:val="00EB36B9"/>
    <w:rsid w:val="00EE200B"/>
    <w:rsid w:val="00F01C8F"/>
    <w:rsid w:val="00F61A6A"/>
    <w:rsid w:val="00F6644F"/>
    <w:rsid w:val="00F74712"/>
    <w:rsid w:val="00FB5CB1"/>
    <w:rsid w:val="00FD340A"/>
    <w:rsid w:val="00FF477F"/>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8796A3"/>
  <w15:chartTrackingRefBased/>
  <w15:docId w15:val="{DDF3F3CB-847D-4C49-AF4C-14DCD21970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47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747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471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471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471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471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471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471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471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471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7471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471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471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471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47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47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47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4712"/>
    <w:rPr>
      <w:rFonts w:eastAsiaTheme="majorEastAsia" w:cstheme="majorBidi"/>
      <w:color w:val="272727" w:themeColor="text1" w:themeTint="D8"/>
    </w:rPr>
  </w:style>
  <w:style w:type="paragraph" w:styleId="Title">
    <w:name w:val="Title"/>
    <w:basedOn w:val="Normal"/>
    <w:next w:val="Normal"/>
    <w:link w:val="TitleChar"/>
    <w:uiPriority w:val="10"/>
    <w:qFormat/>
    <w:rsid w:val="00F747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47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471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47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4712"/>
    <w:pPr>
      <w:spacing w:before="160"/>
      <w:jc w:val="center"/>
    </w:pPr>
    <w:rPr>
      <w:i/>
      <w:iCs/>
      <w:color w:val="404040" w:themeColor="text1" w:themeTint="BF"/>
    </w:rPr>
  </w:style>
  <w:style w:type="character" w:customStyle="1" w:styleId="QuoteChar">
    <w:name w:val="Quote Char"/>
    <w:basedOn w:val="DefaultParagraphFont"/>
    <w:link w:val="Quote"/>
    <w:uiPriority w:val="29"/>
    <w:rsid w:val="00F74712"/>
    <w:rPr>
      <w:i/>
      <w:iCs/>
      <w:color w:val="404040" w:themeColor="text1" w:themeTint="BF"/>
    </w:rPr>
  </w:style>
  <w:style w:type="paragraph" w:styleId="ListParagraph">
    <w:name w:val="List Paragraph"/>
    <w:basedOn w:val="Normal"/>
    <w:uiPriority w:val="34"/>
    <w:qFormat/>
    <w:rsid w:val="00F74712"/>
    <w:pPr>
      <w:ind w:left="720"/>
      <w:contextualSpacing/>
    </w:pPr>
  </w:style>
  <w:style w:type="character" w:styleId="IntenseEmphasis">
    <w:name w:val="Intense Emphasis"/>
    <w:basedOn w:val="DefaultParagraphFont"/>
    <w:uiPriority w:val="21"/>
    <w:qFormat/>
    <w:rsid w:val="00F74712"/>
    <w:rPr>
      <w:i/>
      <w:iCs/>
      <w:color w:val="0F4761" w:themeColor="accent1" w:themeShade="BF"/>
    </w:rPr>
  </w:style>
  <w:style w:type="paragraph" w:styleId="IntenseQuote">
    <w:name w:val="Intense Quote"/>
    <w:basedOn w:val="Normal"/>
    <w:next w:val="Normal"/>
    <w:link w:val="IntenseQuoteChar"/>
    <w:uiPriority w:val="30"/>
    <w:qFormat/>
    <w:rsid w:val="00F747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4712"/>
    <w:rPr>
      <w:i/>
      <w:iCs/>
      <w:color w:val="0F4761" w:themeColor="accent1" w:themeShade="BF"/>
    </w:rPr>
  </w:style>
  <w:style w:type="character" w:styleId="IntenseReference">
    <w:name w:val="Intense Reference"/>
    <w:basedOn w:val="DefaultParagraphFont"/>
    <w:uiPriority w:val="32"/>
    <w:qFormat/>
    <w:rsid w:val="00F74712"/>
    <w:rPr>
      <w:b/>
      <w:bCs/>
      <w:smallCaps/>
      <w:color w:val="0F4761" w:themeColor="accent1" w:themeShade="BF"/>
      <w:spacing w:val="5"/>
    </w:rPr>
  </w:style>
  <w:style w:type="paragraph" w:styleId="FootnoteText">
    <w:name w:val="footnote text"/>
    <w:basedOn w:val="Normal"/>
    <w:link w:val="FootnoteTextChar"/>
    <w:uiPriority w:val="99"/>
    <w:semiHidden/>
    <w:unhideWhenUsed/>
    <w:rsid w:val="001204E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204EE"/>
    <w:rPr>
      <w:sz w:val="20"/>
      <w:szCs w:val="20"/>
    </w:rPr>
  </w:style>
  <w:style w:type="character" w:styleId="FootnoteReference">
    <w:name w:val="footnote reference"/>
    <w:basedOn w:val="DefaultParagraphFont"/>
    <w:uiPriority w:val="99"/>
    <w:semiHidden/>
    <w:unhideWhenUsed/>
    <w:rsid w:val="001204EE"/>
    <w:rPr>
      <w:vertAlign w:val="superscript"/>
    </w:rPr>
  </w:style>
  <w:style w:type="character" w:styleId="Hyperlink">
    <w:name w:val="Hyperlink"/>
    <w:basedOn w:val="DefaultParagraphFont"/>
    <w:uiPriority w:val="99"/>
    <w:unhideWhenUsed/>
    <w:rsid w:val="008121D2"/>
    <w:rPr>
      <w:color w:val="467886" w:themeColor="hyperlink"/>
      <w:u w:val="single"/>
    </w:rPr>
  </w:style>
  <w:style w:type="character" w:styleId="UnresolvedMention">
    <w:name w:val="Unresolved Mention"/>
    <w:basedOn w:val="DefaultParagraphFont"/>
    <w:uiPriority w:val="99"/>
    <w:semiHidden/>
    <w:unhideWhenUsed/>
    <w:rsid w:val="008121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C0CAFB-4385-BD4E-910E-6FBEBAA364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2141</Words>
  <Characters>12655</Characters>
  <Application>Microsoft Office Word</Application>
  <DocSecurity>0</DocSecurity>
  <Lines>178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Tara Bush</dc:creator>
  <cp:keywords/>
  <dc:description/>
  <cp:lastModifiedBy>Benjamin Macvean</cp:lastModifiedBy>
  <cp:revision>3</cp:revision>
  <cp:lastPrinted>2026-02-09T04:48:00Z</cp:lastPrinted>
  <dcterms:created xsi:type="dcterms:W3CDTF">2026-03-31T09:37:00Z</dcterms:created>
  <dcterms:modified xsi:type="dcterms:W3CDTF">2026-03-31T10:20:00Z</dcterms:modified>
</cp:coreProperties>
</file>