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0DA47768" w:rsidR="000F108B" w:rsidRDefault="0028563F" w:rsidP="001F059D">
      <w:r>
        <w:rPr>
          <w:noProof/>
        </w:rPr>
        <mc:AlternateContent>
          <mc:Choice Requires="wpg">
            <w:drawing>
              <wp:anchor distT="0" distB="0" distL="114300" distR="114300" simplePos="0" relativeHeight="251658240" behindDoc="0" locked="0" layoutInCell="1" allowOverlap="1" wp14:anchorId="2B6E4E9D" wp14:editId="1B8A5E9E">
                <wp:simplePos x="0" y="0"/>
                <wp:positionH relativeFrom="column">
                  <wp:posOffset>-847797</wp:posOffset>
                </wp:positionH>
                <wp:positionV relativeFrom="paragraph">
                  <wp:posOffset>-973463</wp:posOffset>
                </wp:positionV>
                <wp:extent cx="7769860" cy="10930890"/>
                <wp:effectExtent l="0" t="0" r="15240" b="16510"/>
                <wp:wrapNone/>
                <wp:docPr id="1521003895" name="Group 23"/>
                <wp:cNvGraphicFramePr/>
                <a:graphic xmlns:a="http://schemas.openxmlformats.org/drawingml/2006/main">
                  <a:graphicData uri="http://schemas.microsoft.com/office/word/2010/wordprocessingGroup">
                    <wpg:wgp>
                      <wpg:cNvGrpSpPr/>
                      <wpg:grpSpPr>
                        <a:xfrm>
                          <a:off x="0" y="0"/>
                          <a:ext cx="7769860" cy="10930890"/>
                          <a:chOff x="0" y="-51025"/>
                          <a:chExt cx="7769915" cy="10735853"/>
                        </a:xfrm>
                      </wpg:grpSpPr>
                      <wps:wsp>
                        <wps:cNvPr id="1472515651" name="Rectangle 15"/>
                        <wps:cNvSpPr/>
                        <wps:spPr>
                          <a:xfrm>
                            <a:off x="0" y="-51025"/>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29ED4092" id="Group 23" o:spid="_x0000_s1026" style="position:absolute;margin-left:-66.75pt;margin-top:-76.65pt;width:611.8pt;height:860.7pt;z-index:251658240;mso-height-relative:margin" coordorigin=",-510" coordsize="77699,1073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">
                <v:rect id="Rectangle 15" o:spid="_x0000_s1027" style="position:absolute;top:-510;width:77662;height:107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fillcolor="black [3213]" strokecolor="white [3212]" strokeweight=".5pt">
                  <v:fill opacity="14417f" color2="black [3213]" o:opacity2="41943f" rotate="t" focus="100%" type="gradient">
                    <o:fill v:ext="view" type="gradientUnscaled"/>
                  </v:fill>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5"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6"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Pr>
          <w:noProof/>
        </w:rPr>
        <w:drawing>
          <wp:anchor distT="0" distB="0" distL="114300" distR="114300" simplePos="0" relativeHeight="251657215" behindDoc="0" locked="0" layoutInCell="1" allowOverlap="1" wp14:anchorId="5870D68A" wp14:editId="6FE767FC">
            <wp:simplePos x="0" y="0"/>
            <wp:positionH relativeFrom="column">
              <wp:posOffset>-1014931</wp:posOffset>
            </wp:positionH>
            <wp:positionV relativeFrom="paragraph">
              <wp:posOffset>-910903</wp:posOffset>
            </wp:positionV>
            <wp:extent cx="14070330" cy="10875645"/>
            <wp:effectExtent l="0" t="0" r="1270" b="0"/>
            <wp:wrapNone/>
            <wp:docPr id="1989387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87326" name="Picture 1989387326"/>
                    <pic:cNvPicPr/>
                  </pic:nvPicPr>
                  <pic:blipFill>
                    <a:blip r:embed="rId7">
                      <a:extLst>
                        <a:ext uri="{28A0092B-C50C-407E-A947-70E740481C1C}">
                          <a14:useLocalDpi xmlns:a14="http://schemas.microsoft.com/office/drawing/2010/main" val="0"/>
                        </a:ext>
                      </a:extLst>
                    </a:blip>
                    <a:stretch>
                      <a:fillRect/>
                    </a:stretch>
                  </pic:blipFill>
                  <pic:spPr>
                    <a:xfrm>
                      <a:off x="0" y="0"/>
                      <a:ext cx="14070330" cy="10875645"/>
                    </a:xfrm>
                    <a:prstGeom prst="rect">
                      <a:avLst/>
                    </a:prstGeom>
                  </pic:spPr>
                </pic:pic>
              </a:graphicData>
            </a:graphic>
            <wp14:sizeRelH relativeFrom="margin">
              <wp14:pctWidth>0</wp14:pctWidth>
            </wp14:sizeRelH>
            <wp14:sizeRelV relativeFrom="margin">
              <wp14:pctHeight>0</wp14:pctHeight>
            </wp14:sizeRelV>
          </wp:anchor>
        </w:drawing>
      </w:r>
      <w:r w:rsidR="003A7AA4">
        <w:rPr>
          <w:noProof/>
        </w:rPr>
        <mc:AlternateContent>
          <mc:Choice Requires="wps">
            <w:drawing>
              <wp:anchor distT="0" distB="0" distL="114300" distR="114300" simplePos="0" relativeHeight="251658242" behindDoc="0" locked="0" layoutInCell="1" allowOverlap="1" wp14:anchorId="6666B828" wp14:editId="3CDBC2A1">
                <wp:simplePos x="0" y="0"/>
                <wp:positionH relativeFrom="column">
                  <wp:posOffset>-499745</wp:posOffset>
                </wp:positionH>
                <wp:positionV relativeFrom="paragraph">
                  <wp:posOffset>7348855</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B17B765" w14:textId="1BA1902B" w:rsidR="000F108B" w:rsidRPr="00BF138C" w:rsidRDefault="000F108B" w:rsidP="001F059D">
                            <w:pPr>
                              <w:rPr>
                                <w:color w:val="FFFFFF" w:themeColor="background1"/>
                                <w:sz w:val="32"/>
                                <w:szCs w:val="32"/>
                              </w:rPr>
                            </w:pPr>
                            <w:r w:rsidRPr="001F059D">
                              <w:rPr>
                                <w:color w:val="FFFFFF" w:themeColor="background1"/>
                                <w:sz w:val="32"/>
                                <w:szCs w:val="32"/>
                              </w:rPr>
                              <w:t xml:space="preserve">By </w:t>
                            </w:r>
                            <w:r w:rsidR="00BF138C">
                              <w:rPr>
                                <w:color w:val="FFFFFF" w:themeColor="background1"/>
                                <w:sz w:val="32"/>
                                <w:szCs w:val="32"/>
                              </w:rPr>
                              <w:t>Mariam A</w:t>
                            </w:r>
                            <w:r w:rsidR="006C41F2">
                              <w:rPr>
                                <w:color w:val="FFFFFF" w:themeColor="background1"/>
                                <w:sz w:val="32"/>
                                <w:szCs w:val="32"/>
                              </w:rPr>
                              <w:t>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66B828" id="_x0000_t202" coordsize="21600,21600" o:spt="202" path="m,l,21600r21600,l21600,xe">
                <v:stroke joinstyle="miter"/>
                <v:path gradientshapeok="t" o:connecttype="rect"/>
              </v:shapetype>
              <v:shape id="Text Box 21" o:spid="_x0000_s1026" type="#_x0000_t202" style="position:absolute;margin-left:-39.35pt;margin-top:578.65pt;width:191.65pt;height:24.6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" filled="f" stroked="f" strokeweight=".5pt">
                <v:textbox>
                  <w:txbxContent>
                    <w:p w14:paraId="3B17B765" w14:textId="1BA1902B" w:rsidR="000F108B" w:rsidRPr="00BF138C" w:rsidRDefault="000F108B" w:rsidP="001F059D">
                      <w:pPr>
                        <w:rPr>
                          <w:color w:val="FFFFFF" w:themeColor="background1"/>
                          <w:sz w:val="32"/>
                          <w:szCs w:val="32"/>
                        </w:rPr>
                      </w:pPr>
                      <w:r w:rsidRPr="001F059D">
                        <w:rPr>
                          <w:color w:val="FFFFFF" w:themeColor="background1"/>
                          <w:sz w:val="32"/>
                          <w:szCs w:val="32"/>
                        </w:rPr>
                        <w:t xml:space="preserve">By </w:t>
                      </w:r>
                      <w:r w:rsidR="00BF138C">
                        <w:rPr>
                          <w:color w:val="FFFFFF" w:themeColor="background1"/>
                          <w:sz w:val="32"/>
                          <w:szCs w:val="32"/>
                        </w:rPr>
                        <w:t>Mariam A</w:t>
                      </w:r>
                      <w:r w:rsidR="006C41F2">
                        <w:rPr>
                          <w:color w:val="FFFFFF" w:themeColor="background1"/>
                          <w:sz w:val="32"/>
                          <w:szCs w:val="32"/>
                        </w:rPr>
                        <w:t>tta</w:t>
                      </w:r>
                    </w:p>
                  </w:txbxContent>
                </v:textbox>
              </v:shape>
            </w:pict>
          </mc:Fallback>
        </mc:AlternateContent>
      </w:r>
      <w:r w:rsidR="003A7AA4">
        <w:rPr>
          <w:noProof/>
        </w:rPr>
        <mc:AlternateContent>
          <mc:Choice Requires="wps">
            <w:drawing>
              <wp:anchor distT="0" distB="0" distL="114300" distR="114300" simplePos="0" relativeHeight="251658241" behindDoc="0" locked="0" layoutInCell="1" allowOverlap="1" wp14:anchorId="4BE7ACF9" wp14:editId="7DBEB090">
                <wp:simplePos x="0" y="0"/>
                <wp:positionH relativeFrom="column">
                  <wp:posOffset>-498475</wp:posOffset>
                </wp:positionH>
                <wp:positionV relativeFrom="paragraph">
                  <wp:posOffset>4929385</wp:posOffset>
                </wp:positionV>
                <wp:extent cx="3615690" cy="2318385"/>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3615690" cy="2318385"/>
                        </a:xfrm>
                        <a:prstGeom prst="rect">
                          <a:avLst/>
                        </a:prstGeom>
                        <a:noFill/>
                        <a:ln w="6350">
                          <a:noFill/>
                        </a:ln>
                      </wps:spPr>
                      <wps:txbx>
                        <w:txbxContent>
                          <w:p w14:paraId="0489C074" w14:textId="599B61B3" w:rsidR="000F108B" w:rsidRPr="001F059D" w:rsidRDefault="00A0493A" w:rsidP="001F059D">
                            <w:pPr>
                              <w:pStyle w:val="Title"/>
                            </w:pPr>
                            <w:r>
                              <w:t>Responsibility, Regulation, and Resolution</w:t>
                            </w:r>
                          </w:p>
                          <w:p w14:paraId="33A8E14E" w14:textId="547AB876" w:rsidR="000F108B" w:rsidRPr="001F059D" w:rsidRDefault="0058496E" w:rsidP="001F059D">
                            <w:pPr>
                              <w:pStyle w:val="Subtitle"/>
                            </w:pPr>
                            <w:r>
                              <w:t xml:space="preserve">Analysing Successes and Limitations of International Mechanisms </w:t>
                            </w:r>
                          </w:p>
                          <w:p w14:paraId="0923727F" w14:textId="77777777" w:rsidR="001F059D" w:rsidRDefault="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ACF9" id="Text Box 27" o:spid="_x0000_s1027" type="#_x0000_t202" style="position:absolute;margin-left:-39.25pt;margin-top:388.15pt;width:284.7pt;height:18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" filled="f" stroked="f" strokeweight=".5pt">
                <v:textbox>
                  <w:txbxContent>
                    <w:p w14:paraId="0489C074" w14:textId="599B61B3" w:rsidR="000F108B" w:rsidRPr="001F059D" w:rsidRDefault="00A0493A" w:rsidP="001F059D">
                      <w:pPr>
                        <w:pStyle w:val="Title"/>
                      </w:pPr>
                      <w:r>
                        <w:t>Responsibility, Regulation, and Resolution</w:t>
                      </w:r>
                    </w:p>
                    <w:p w14:paraId="33A8E14E" w14:textId="547AB876" w:rsidR="000F108B" w:rsidRPr="001F059D" w:rsidRDefault="0058496E" w:rsidP="001F059D">
                      <w:pPr>
                        <w:pStyle w:val="Subtitle"/>
                      </w:pPr>
                      <w:r>
                        <w:t xml:space="preserve">Analysing Successes and Limitations of International Mechanisms </w:t>
                      </w:r>
                    </w:p>
                    <w:p w14:paraId="0923727F" w14:textId="77777777" w:rsidR="001F059D" w:rsidRDefault="001F059D"/>
                  </w:txbxContent>
                </v:textbox>
              </v:shape>
            </w:pict>
          </mc:Fallback>
        </mc:AlternateContent>
      </w:r>
      <w:r w:rsidR="000F108B">
        <w:br w:type="page"/>
      </w:r>
    </w:p>
    <w:p w14:paraId="173B3EA0" w14:textId="6AAFFB19" w:rsidR="002E03C4" w:rsidRPr="003A7AA4" w:rsidRDefault="003A7F84" w:rsidP="003A7AA4">
      <w:pPr>
        <w:pStyle w:val="Heading1"/>
      </w:pPr>
      <w:r w:rsidRPr="00170EC0">
        <w:lastRenderedPageBreak/>
        <w:t xml:space="preserve">I </w:t>
      </w:r>
      <w:r w:rsidR="00F30BEA" w:rsidRPr="00170EC0">
        <w:t>INTRODUCTION</w:t>
      </w:r>
    </w:p>
    <w:p w14:paraId="56DE2B22" w14:textId="77777777" w:rsidR="002E03C4" w:rsidRPr="002E03C4" w:rsidRDefault="002E03C4" w:rsidP="003A7AA4">
      <w:pPr>
        <w:tabs>
          <w:tab w:val="left" w:pos="2461"/>
        </w:tabs>
        <w:spacing w:after="0"/>
        <w:jc w:val="both"/>
        <w:rPr>
          <w:kern w:val="2"/>
          <w:sz w:val="24"/>
          <w:szCs w:val="24"/>
          <w14:ligatures w14:val="standardContextual"/>
        </w:rPr>
      </w:pPr>
      <w:r w:rsidRPr="002E03C4">
        <w:rPr>
          <w:kern w:val="2"/>
          <w:sz w:val="24"/>
          <w:szCs w:val="24"/>
          <w14:ligatures w14:val="standardContextual"/>
        </w:rPr>
        <w:t>In an increasingly interconnected world, international legal mechanisms are essential for managing global conflicts, safeguarding human rights, and preventing global crisis. From protecting vulnerable populations to controlling the spread of nuclear weapons and resolving disputes between states, these mechanisms operate on the principle that cooperative rules can maintain order in the absence of a single global authority. Yet their effectiveness is challenged by enforcement powers, political will, and state sovereignty. This article examines three of many key mechanisms: Responsibility to Protect, the Nuclear Non-Proliferation Treaty, and the Permanent Court of Arbitration, to illustrate both the promises and limitations of international law in addressing diverse and ongoing global challenges.</w:t>
      </w:r>
    </w:p>
    <w:p w14:paraId="24299B3C" w14:textId="77777777" w:rsidR="002E03C4" w:rsidRPr="002E03C4" w:rsidRDefault="002E03C4" w:rsidP="002E03C4">
      <w:pPr>
        <w:tabs>
          <w:tab w:val="left" w:pos="2461"/>
        </w:tabs>
        <w:spacing w:after="0" w:line="240" w:lineRule="auto"/>
        <w:jc w:val="both"/>
        <w:rPr>
          <w:kern w:val="2"/>
          <w:sz w:val="24"/>
          <w:szCs w:val="24"/>
          <w14:ligatures w14:val="standardContextual"/>
        </w:rPr>
      </w:pPr>
    </w:p>
    <w:p w14:paraId="6C1326B1" w14:textId="6AC05A44" w:rsidR="002E03C4" w:rsidRPr="002E03C4" w:rsidRDefault="00614F15" w:rsidP="003A7AA4">
      <w:pPr>
        <w:pStyle w:val="Heading1"/>
      </w:pPr>
      <w:r w:rsidRPr="00B85935">
        <w:t>II REPONSIBILITY TO PROTECT</w:t>
      </w:r>
    </w:p>
    <w:p w14:paraId="35C054CE" w14:textId="77777777" w:rsidR="002E03C4" w:rsidRPr="002E03C4" w:rsidRDefault="002E03C4" w:rsidP="003A7AA4">
      <w:pPr>
        <w:rPr>
          <w:color w:val="000000" w:themeColor="text1"/>
        </w:rPr>
      </w:pPr>
      <w:r w:rsidRPr="002E03C4">
        <w:rPr>
          <w:color w:val="000000" w:themeColor="text1"/>
        </w:rPr>
        <w:t>The Responsibility to Protect (R2P) doctrine has, in certain contexts, been effective in safeguarding individual rights, most notably during the 2011 Libya conflict. R2P seeks to ensure that the international community can respond to mass crimes, including genocide, war crimes, ethnic cleansing, and crimes against humanity.</w:t>
      </w:r>
      <w:r w:rsidRPr="002E03C4">
        <w:rPr>
          <w:color w:val="000000" w:themeColor="text1"/>
          <w:vertAlign w:val="superscript"/>
        </w:rPr>
        <w:footnoteReference w:id="1"/>
      </w:r>
      <w:r w:rsidRPr="002E03C4">
        <w:rPr>
          <w:color w:val="000000" w:themeColor="text1"/>
        </w:rPr>
        <w:t xml:space="preserve"> Its implementation in Libya demonstrated one of the first successful authorisations of international intervention under this framework.</w:t>
      </w:r>
      <w:r w:rsidRPr="002E03C4">
        <w:rPr>
          <w:color w:val="000000" w:themeColor="text1"/>
          <w:vertAlign w:val="superscript"/>
        </w:rPr>
        <w:footnoteReference w:id="2"/>
      </w:r>
      <w:r w:rsidRPr="002E03C4">
        <w:rPr>
          <w:color w:val="000000" w:themeColor="text1"/>
        </w:rPr>
        <w:t xml:space="preserve"> The intervention occurred within a month to prevent an anticipated massacre, highlighting the responsiveness of the mechanism and its capacity to protect civilian populations.</w:t>
      </w:r>
      <w:r w:rsidRPr="002E03C4">
        <w:rPr>
          <w:color w:val="000000" w:themeColor="text1"/>
          <w:vertAlign w:val="superscript"/>
        </w:rPr>
        <w:footnoteReference w:id="3"/>
      </w:r>
      <w:r w:rsidRPr="002E03C4">
        <w:rPr>
          <w:color w:val="000000" w:themeColor="text1"/>
        </w:rPr>
        <w:t xml:space="preserve"> The involvement of multiple intergovernmental organisations, including the United Nations and NATO, further reflected the doctrine’s ability to promote global cooperation in addressing humanitarian crises. This coordinated response enabled an aerial intervention that minimised the need for ground troops and reduced the likelihood of prolonged occupation, which could have escalated the conflict.</w:t>
      </w:r>
      <w:r w:rsidRPr="002E03C4">
        <w:rPr>
          <w:color w:val="000000" w:themeColor="text1"/>
          <w:vertAlign w:val="superscript"/>
        </w:rPr>
        <w:footnoteReference w:id="4"/>
      </w:r>
      <w:r w:rsidRPr="002E03C4">
        <w:rPr>
          <w:color w:val="000000" w:themeColor="text1"/>
        </w:rPr>
        <w:t xml:space="preserve"> Reports at the time indicated reduced civilian casualties and minimal military losses, underscoring the effectiveness of R2P in protecting both citizens and troops.</w:t>
      </w:r>
    </w:p>
    <w:p w14:paraId="2E822A18" w14:textId="77777777" w:rsidR="002E03C4" w:rsidRPr="002E03C4" w:rsidRDefault="002E03C4" w:rsidP="003A7AA4">
      <w:pPr>
        <w:rPr>
          <w:color w:val="000000" w:themeColor="text1"/>
        </w:rPr>
      </w:pPr>
    </w:p>
    <w:p w14:paraId="52BE54D2" w14:textId="400CAF7B" w:rsidR="002E03C4" w:rsidRPr="003A7AA4" w:rsidRDefault="002E03C4" w:rsidP="003A7AA4">
      <w:pPr>
        <w:rPr>
          <w:color w:val="000000" w:themeColor="text1"/>
        </w:rPr>
      </w:pPr>
      <w:r w:rsidRPr="002E03C4">
        <w:rPr>
          <w:color w:val="000000" w:themeColor="text1"/>
        </w:rPr>
        <w:t xml:space="preserve">However, the application of R2P has not been consistently effective. The ongoing conflict in Syria since 2011 demonstrates its limitations. Despite the scale of humanitarian violations, the doctrine was not successfully </w:t>
      </w:r>
      <w:r w:rsidRPr="002E03C4">
        <w:rPr>
          <w:color w:val="000000" w:themeColor="text1"/>
        </w:rPr>
        <w:lastRenderedPageBreak/>
        <w:t>implemented, largely due to the use of veto powers within the United Nations Security Council.</w:t>
      </w:r>
      <w:r w:rsidRPr="002E03C4">
        <w:rPr>
          <w:color w:val="000000" w:themeColor="text1"/>
          <w:vertAlign w:val="superscript"/>
        </w:rPr>
        <w:footnoteReference w:id="5"/>
      </w:r>
      <w:r w:rsidRPr="002E03C4">
        <w:rPr>
          <w:color w:val="000000" w:themeColor="text1"/>
        </w:rPr>
        <w:t xml:space="preserve"> Opposition from Russia prevented collective intervention, allowing the conflict to persist. This highlights a fundamental weakness in the doctrine’s reliance on political consensus and raises questions about its enforceability. While R2P proved effective in Libya, its failure in Syria illustrates the need for clearer guidelines and stronger mechanisms for intervention.</w:t>
      </w:r>
    </w:p>
    <w:p w14:paraId="3760CF6D" w14:textId="41B4D90D" w:rsidR="002E03C4" w:rsidRPr="003A7AA4" w:rsidRDefault="00B85935" w:rsidP="003A7AA4">
      <w:pPr>
        <w:pStyle w:val="Heading1"/>
      </w:pPr>
      <w:r>
        <w:t xml:space="preserve">III </w:t>
      </w:r>
      <w:r w:rsidR="001876ED" w:rsidRPr="00B85935">
        <w:t>NUCLEAR NON-PROLIFERATION TREATY</w:t>
      </w:r>
    </w:p>
    <w:p w14:paraId="2DA13EB5" w14:textId="51F7999E" w:rsidR="002E03C4" w:rsidRPr="002E03C4" w:rsidRDefault="002E03C4" w:rsidP="003A7AA4">
      <w:r w:rsidRPr="002E03C4">
        <w:t>The Nuclear Non-Proliferation Treaty 1968 (NPT) has been a significant instrument in maintaining global security and responding to the evolving nature of world order. As a binding international agreement, the treaty seeks to prevent the spread of nuclear weapons and promote disarmament.</w:t>
      </w:r>
      <w:r w:rsidRPr="002E03C4">
        <w:rPr>
          <w:vertAlign w:val="superscript"/>
        </w:rPr>
        <w:footnoteReference w:id="6"/>
      </w:r>
      <w:r w:rsidRPr="002E03C4">
        <w:t xml:space="preserve"> The NPT’s responsiveness is reflected in its near-universal membership, with 191 participating states, making it one of the most widely adhered-to arms control agreements in history.</w:t>
      </w:r>
      <w:r w:rsidRPr="002E03C4">
        <w:rPr>
          <w:vertAlign w:val="superscript"/>
        </w:rPr>
        <w:footnoteReference w:id="7"/>
      </w:r>
      <w:r w:rsidRPr="002E03C4">
        <w:t xml:space="preserve"> It established a framework for international cooperation and created incentives for states to refrain from developing nuclear weapons. The treaty has contributed to limiting the number of nuclear-armed states and has encouraged collaborative disarmament initiatives, including the Non-Proliferation and Disarmament Initiative (NPDI), a cross-regional group of 12 countries, including Australia.</w:t>
      </w:r>
      <w:r w:rsidRPr="002E03C4">
        <w:rPr>
          <w:vertAlign w:val="superscript"/>
        </w:rPr>
        <w:footnoteReference w:id="8"/>
      </w:r>
      <w:r w:rsidRPr="002E03C4">
        <w:t xml:space="preserve"> NPDI focuses on the implementation of the 2010 NPT ’64-Point Action Plan’ to implement the disarmament goal encapsulated in the NPT.</w:t>
      </w:r>
      <w:r w:rsidRPr="002E03C4">
        <w:rPr>
          <w:vertAlign w:val="superscript"/>
        </w:rPr>
        <w:footnoteReference w:id="9"/>
      </w:r>
    </w:p>
    <w:p w14:paraId="05979792" w14:textId="6A8B77C2" w:rsidR="002E03C4" w:rsidRPr="003A7AA4" w:rsidRDefault="002E03C4" w:rsidP="003A7AA4">
      <w:r w:rsidRPr="002E03C4">
        <w:t>Through these efforts, the NPT has provided a legal and diplomatic structure for addressing nuclear threats and maintaining global stability. However, its effectiveness is constrained by challenges in enforcement. State sovereignty limits the ability of international bodies to respond to breaches, and key nuclear-capable states have failed to comply fully with its objectives. North Korea’s continued expansion of its nuclear capabilities illustrates the treaty’s limitations in preventing non-compliance. Accordingly, while the NPT has played a major role in shaping global nuclear policy, its success remains dependent on ongoing cooperation and broader ratification.</w:t>
      </w:r>
    </w:p>
    <w:p w14:paraId="10066E2E" w14:textId="037E2F7D" w:rsidR="002E03C4" w:rsidRPr="003A7AA4" w:rsidRDefault="00B85935" w:rsidP="003A7AA4">
      <w:pPr>
        <w:pStyle w:val="Heading1"/>
      </w:pPr>
      <w:r>
        <w:t xml:space="preserve">IV </w:t>
      </w:r>
      <w:r w:rsidRPr="002E03C4">
        <w:t>PERMANENT COURT OF ARBITRATION</w:t>
      </w:r>
    </w:p>
    <w:p w14:paraId="419CC6BF" w14:textId="032E400B" w:rsidR="002E03C4" w:rsidRPr="002E03C4" w:rsidRDefault="002E03C4" w:rsidP="003A7AA4">
      <w:r w:rsidRPr="002E03C4">
        <w:lastRenderedPageBreak/>
        <w:t>The Permanent Court of Arbitration (PCA) has demonstrated mixed effectiveness in resolving international disputes. Established to facilitate arbitration between states, the PCA aims to provide peaceful mechanisms for dispute resolution and promote international stability.</w:t>
      </w:r>
      <w:r w:rsidRPr="002E03C4">
        <w:rPr>
          <w:vertAlign w:val="superscript"/>
        </w:rPr>
        <w:footnoteReference w:id="10"/>
      </w:r>
      <w:r w:rsidRPr="002E03C4">
        <w:t xml:space="preserve"> In some instances, it has achieved meaningful outcomes. The 2018 dispute between Timor-Leste and Australia regarding the Greater Sunrise oil and gas fields illustrates the PCA’s capacity to facilitate negotiation and produce a just resolution.</w:t>
      </w:r>
      <w:r w:rsidRPr="002E03C4">
        <w:rPr>
          <w:vertAlign w:val="superscript"/>
        </w:rPr>
        <w:footnoteReference w:id="11"/>
      </w:r>
      <w:r w:rsidRPr="002E03C4">
        <w:t xml:space="preserve"> The use of UN-backed conciliation mechanisms enabled both states to reach an agreement, highlighting the potential effectiveness of arbitration in supporting peaceful conflict resolution.</w:t>
      </w:r>
      <w:r w:rsidRPr="002E03C4">
        <w:rPr>
          <w:vertAlign w:val="superscript"/>
        </w:rPr>
        <w:footnoteReference w:id="12"/>
      </w:r>
    </w:p>
    <w:p w14:paraId="36815D09" w14:textId="77777777" w:rsidR="002E03C4" w:rsidRPr="002E03C4" w:rsidRDefault="002E03C4" w:rsidP="003A7AA4">
      <w:r w:rsidRPr="002E03C4">
        <w:t>However, the PCA’s effectiveness is significantly limited where states refuse to recognise its authority. The South China Sea dispute demonstrates these challenges. China’s interference in other nations’ exclusive economic zones exhibits a failure to comply with the UN Convention on the Law of the Sea.</w:t>
      </w:r>
      <w:r w:rsidRPr="002E03C4">
        <w:rPr>
          <w:vertAlign w:val="superscript"/>
        </w:rPr>
        <w:footnoteReference w:id="13"/>
      </w:r>
      <w:r w:rsidRPr="002E03C4">
        <w:t xml:space="preserve"> Its state sovereignty is the main barrier that impairs PCA’s effectiveness in enforcing international treaties, highlighting a key weakness of international courts such as the PCA. From Australia’s perspective, their interests and relationship with China is being tested, as the South China Sea dispute has escalated towards Australian seas.</w:t>
      </w:r>
      <w:r w:rsidRPr="002E03C4">
        <w:rPr>
          <w:vertAlign w:val="superscript"/>
        </w:rPr>
        <w:footnoteReference w:id="14"/>
      </w:r>
      <w:r w:rsidRPr="002E03C4">
        <w:t xml:space="preserve"> Additionally, China continues to claim more than 80% of the SCS, exhibiting a lack of effective enforceability of PCA’s decision.</w:t>
      </w:r>
      <w:r w:rsidRPr="002E03C4">
        <w:rPr>
          <w:vertAlign w:val="superscript"/>
        </w:rPr>
        <w:footnoteReference w:id="15"/>
      </w:r>
      <w:r w:rsidRPr="002E03C4">
        <w:t xml:space="preserve"> China’s continued assertion of control over large areas of the region, despite international rulings, reflects the limitations of enforcement in international law. State sovereignty remains a major barrier, restricting the ability of courts and tribunals to compel compliance. The ongoing nature of the dispute underscores the PCA’s inability to enforce decisions where powerful states decline to cooperate. This highlights a broader weakness within international legal systems, where authority depends largely on voluntary participation and political willingness.</w:t>
      </w:r>
    </w:p>
    <w:p w14:paraId="1BDAFF55" w14:textId="77777777" w:rsidR="002E03C4" w:rsidRPr="002E03C4" w:rsidRDefault="002E03C4" w:rsidP="002E03C4">
      <w:pPr>
        <w:spacing w:after="0" w:line="240" w:lineRule="auto"/>
        <w:jc w:val="both"/>
        <w:rPr>
          <w:kern w:val="2"/>
          <w:sz w:val="24"/>
          <w:szCs w:val="24"/>
          <w14:ligatures w14:val="standardContextual"/>
        </w:rPr>
      </w:pPr>
    </w:p>
    <w:p w14:paraId="576A4528" w14:textId="4E08A16A" w:rsidR="000B3483" w:rsidRPr="003A7AA4" w:rsidRDefault="00B85935" w:rsidP="003A7AA4">
      <w:pPr>
        <w:pStyle w:val="Heading1"/>
      </w:pPr>
      <w:r>
        <w:t xml:space="preserve">V </w:t>
      </w:r>
      <w:r w:rsidRPr="002E03C4">
        <w:t>CONCLUSION</w:t>
      </w:r>
    </w:p>
    <w:p w14:paraId="0B9CF429" w14:textId="77777777" w:rsidR="002E03C4" w:rsidRPr="002E03C4" w:rsidRDefault="002E03C4" w:rsidP="003A7AA4">
      <w:r w:rsidRPr="002E03C4">
        <w:t xml:space="preserve">International mechanisms such as R2P, the NPT, and the PCA illustrate both the strengths and limitations of global legal responses. While these frameworks have, at times, protected individual rights, prevented </w:t>
      </w:r>
      <w:r w:rsidRPr="002E03C4">
        <w:lastRenderedPageBreak/>
        <w:t xml:space="preserve">escalation of conflict, and facilitated dispute resolution, their effectiveness is frequently constrained by political realities and state sovereignty. The success of R2P in Libya, the global cooperation fostered by the NPT, and the PCA’s role in resolving disputes such as Timor-Leste demonstrate the potential of international legal mechanisms. However, failures in contexts such as Syria, North Korea, and the South China Sea reveal the structural limitations of enforcement and compliance. Ultimately, the effectiveness of international law depends on sustained cooperation between states. Without stronger commitments and more consistent adherence, the gap between international legal principles and their practical application will continue to challenge the protection of global order and individual rights. </w:t>
      </w:r>
    </w:p>
    <w:p w14:paraId="6695B61E" w14:textId="1F4F80DE" w:rsidR="00FD42E0" w:rsidRDefault="00FD42E0" w:rsidP="001F059D">
      <w:pPr>
        <w:pStyle w:val="Heading1"/>
      </w:pPr>
    </w:p>
    <w:p w14:paraId="21B70BA4" w14:textId="77777777" w:rsidR="001F059D" w:rsidRPr="001F059D" w:rsidRDefault="001F059D" w:rsidP="001F059D"/>
    <w:p w14:paraId="54B204E1" w14:textId="439C9867" w:rsidR="000F108B" w:rsidRDefault="000F108B" w:rsidP="001F059D">
      <w:r>
        <w:br w:type="page"/>
      </w:r>
    </w:p>
    <w:p w14:paraId="698F75F1" w14:textId="43415FF4" w:rsidR="000F108B" w:rsidRDefault="0008172E" w:rsidP="001F059D">
      <w:r>
        <w:rPr>
          <w:noProof/>
        </w:rPr>
        <w:lastRenderedPageBreak/>
        <mc:AlternateContent>
          <mc:Choice Requires="wpg">
            <w:drawing>
              <wp:anchor distT="0" distB="0" distL="114300" distR="114300" simplePos="0" relativeHeight="251658244" behindDoc="0" locked="0" layoutInCell="1" allowOverlap="1" wp14:anchorId="3E0AF44C" wp14:editId="22813A6F">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5638E5" id="Group 23" o:spid="_x0000_s1026" style="position:absolute;margin-left:-54.8pt;margin-top:-1in;width:611.8pt;height:856.65pt;z-index:251658244;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7" to="42463,67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Pr>
          <w:noProof/>
        </w:rPr>
        <w:drawing>
          <wp:anchor distT="0" distB="0" distL="114300" distR="114300" simplePos="0" relativeHeight="251658243"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8">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footerReference w:type="even" r:id="rId9"/>
      <w:footerReference w:type="defaul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42AFA" w14:textId="77777777" w:rsidR="003D1D07" w:rsidRDefault="003D1D07" w:rsidP="00334ADB">
      <w:pPr>
        <w:spacing w:after="0" w:line="240" w:lineRule="auto"/>
      </w:pPr>
      <w:r>
        <w:separator/>
      </w:r>
    </w:p>
  </w:endnote>
  <w:endnote w:type="continuationSeparator" w:id="0">
    <w:p w14:paraId="2224C667" w14:textId="77777777" w:rsidR="003D1D07" w:rsidRDefault="003D1D07"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ED30C" w14:textId="77777777" w:rsidR="003D1D07" w:rsidRDefault="003D1D07" w:rsidP="00334ADB">
      <w:pPr>
        <w:spacing w:after="0" w:line="240" w:lineRule="auto"/>
      </w:pPr>
      <w:r>
        <w:separator/>
      </w:r>
    </w:p>
  </w:footnote>
  <w:footnote w:type="continuationSeparator" w:id="0">
    <w:p w14:paraId="4DBE703C" w14:textId="77777777" w:rsidR="003D1D07" w:rsidRDefault="003D1D07" w:rsidP="00334ADB">
      <w:pPr>
        <w:spacing w:after="0" w:line="240" w:lineRule="auto"/>
      </w:pPr>
      <w:r>
        <w:continuationSeparator/>
      </w:r>
    </w:p>
  </w:footnote>
  <w:footnote w:id="1">
    <w:p w14:paraId="480F926D" w14:textId="77777777" w:rsidR="002E03C4" w:rsidRPr="000B3483" w:rsidRDefault="002E03C4">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Global Centre for the Responsibility to Protect, 'What Is R2P? - Global Centre for the Responsibility to Protect', </w:t>
      </w:r>
      <w:r w:rsidRPr="000B3483">
        <w:rPr>
          <w:rFonts w:ascii="Times New Roman" w:hAnsi="Times New Roman" w:cs="Times New Roman"/>
          <w:i/>
          <w:iCs/>
        </w:rPr>
        <w:t>Global Centre for the Responsibility to Protect</w:t>
      </w:r>
      <w:r w:rsidRPr="000B3483">
        <w:rPr>
          <w:rFonts w:ascii="Times New Roman" w:hAnsi="Times New Roman" w:cs="Times New Roman"/>
        </w:rPr>
        <w:t xml:space="preserve"> (Web Page, 17 September 2025) &lt;https://www.globalr2p.org/what-is-r2p/#:~:text=The%20Responsibility%20to%20Protect%20%E2%80%93%20known,act%20in%20accordance%20with%20it.&gt;.</w:t>
      </w:r>
    </w:p>
  </w:footnote>
  <w:footnote w:id="2">
    <w:p w14:paraId="187127E8" w14:textId="77777777" w:rsidR="002E03C4" w:rsidRPr="000B3483" w:rsidRDefault="002E03C4">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Ramesh Thakur, ‘Has R2P Worked in Libya?’, </w:t>
      </w:r>
      <w:r w:rsidRPr="000B3483">
        <w:rPr>
          <w:rFonts w:ascii="Times New Roman" w:hAnsi="Times New Roman" w:cs="Times New Roman"/>
          <w:i/>
          <w:iCs/>
        </w:rPr>
        <w:t>The Sydney Morning Herald</w:t>
      </w:r>
      <w:r w:rsidRPr="000B3483">
        <w:rPr>
          <w:rFonts w:ascii="Times New Roman" w:hAnsi="Times New Roman" w:cs="Times New Roman"/>
        </w:rPr>
        <w:t xml:space="preserve"> (online, 18 September 2011) &lt;https://www.smh.com.au/politics/federal/has-r2p-worked-in-libya-20110918-1wqqb.html&gt;.</w:t>
      </w:r>
    </w:p>
  </w:footnote>
  <w:footnote w:id="3">
    <w:p w14:paraId="4814AD9F" w14:textId="77777777" w:rsidR="002E03C4" w:rsidRPr="000B3483" w:rsidRDefault="002E03C4">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Ibid.</w:t>
      </w:r>
    </w:p>
  </w:footnote>
  <w:footnote w:id="4">
    <w:p w14:paraId="5C558B65" w14:textId="77777777" w:rsidR="002E03C4" w:rsidRPr="000B3483" w:rsidRDefault="002E03C4">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Ibid.</w:t>
      </w:r>
    </w:p>
  </w:footnote>
  <w:footnote w:id="5">
    <w:p w14:paraId="58D18B57" w14:textId="511DB8E5" w:rsidR="002E03C4" w:rsidRPr="000B3483" w:rsidRDefault="002E03C4" w:rsidP="0056029F">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David Rieff, ‘As Syrians Suffer, Do We Stand by or Send in the Troops?’, </w:t>
      </w:r>
      <w:r w:rsidRPr="000B3483">
        <w:rPr>
          <w:rFonts w:ascii="Times New Roman" w:hAnsi="Times New Roman" w:cs="Times New Roman"/>
          <w:i/>
          <w:iCs/>
        </w:rPr>
        <w:t>The Sydney Morning Herald</w:t>
      </w:r>
      <w:r w:rsidRPr="000B3483">
        <w:rPr>
          <w:rFonts w:ascii="Times New Roman" w:hAnsi="Times New Roman" w:cs="Times New Roman"/>
        </w:rPr>
        <w:t xml:space="preserve"> (Web Page, 4 March 2012)</w:t>
      </w:r>
    </w:p>
    <w:p w14:paraId="79DB66CA" w14:textId="77777777" w:rsidR="002E03C4" w:rsidRPr="000B3483" w:rsidRDefault="002E03C4" w:rsidP="0056029F">
      <w:pPr>
        <w:pStyle w:val="FootnoteText"/>
        <w:rPr>
          <w:rFonts w:ascii="Times New Roman" w:hAnsi="Times New Roman" w:cs="Times New Roman"/>
        </w:rPr>
      </w:pPr>
      <w:r w:rsidRPr="000B3483">
        <w:rPr>
          <w:rFonts w:ascii="Times New Roman" w:hAnsi="Times New Roman" w:cs="Times New Roman"/>
        </w:rPr>
        <w:t>&lt;https://www.smh.com.au/politics/federal/as-syrians-suffer-do-we-stand-by-or-send-in-the-troops-20120304-1ub06.html&gt;.</w:t>
      </w:r>
    </w:p>
  </w:footnote>
  <w:footnote w:id="6">
    <w:p w14:paraId="71033995" w14:textId="058B6E93" w:rsidR="002E03C4" w:rsidRPr="000B3483" w:rsidRDefault="002E03C4" w:rsidP="00CC1F12">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‘Treaty on the Non-Proliferation of Nuclear Weapons (NPT)’, </w:t>
      </w:r>
      <w:r w:rsidRPr="000B3483">
        <w:rPr>
          <w:rFonts w:ascii="Times New Roman" w:hAnsi="Times New Roman" w:cs="Times New Roman"/>
          <w:i/>
          <w:iCs/>
        </w:rPr>
        <w:t>United Nations Office for Disarmament Affairs</w:t>
      </w:r>
      <w:r w:rsidRPr="000B3483">
        <w:rPr>
          <w:rFonts w:ascii="Times New Roman" w:hAnsi="Times New Roman" w:cs="Times New Roman"/>
        </w:rPr>
        <w:t xml:space="preserve"> (Web Page, 2025)</w:t>
      </w:r>
    </w:p>
    <w:p w14:paraId="23C5000B" w14:textId="77777777" w:rsidR="002E03C4" w:rsidRPr="000B3483" w:rsidRDefault="002E03C4" w:rsidP="00CC1F12">
      <w:pPr>
        <w:pStyle w:val="FootnoteText"/>
        <w:rPr>
          <w:rFonts w:ascii="Times New Roman" w:hAnsi="Times New Roman" w:cs="Times New Roman"/>
        </w:rPr>
      </w:pPr>
      <w:r w:rsidRPr="000B3483">
        <w:rPr>
          <w:rFonts w:ascii="Times New Roman" w:hAnsi="Times New Roman" w:cs="Times New Roman"/>
        </w:rPr>
        <w:t>&lt;https://disarmament.unoda.org/en/our-work/weapons-mass-destruction/nuclear-weapons/treaty-non-proliferation-nuclear-weapons#:~:text=The%20NPT%20is%20a%20landmark,the%20five%20nuclear%2Dweapon%20States.&gt;.</w:t>
      </w:r>
    </w:p>
  </w:footnote>
  <w:footnote w:id="7">
    <w:p w14:paraId="579F63A9" w14:textId="77777777" w:rsidR="002E03C4" w:rsidRPr="000B3483" w:rsidRDefault="002E03C4">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Ibid.</w:t>
      </w:r>
    </w:p>
  </w:footnote>
  <w:footnote w:id="8">
    <w:p w14:paraId="18BF370B" w14:textId="77777777" w:rsidR="002E03C4" w:rsidRPr="000B3483" w:rsidRDefault="002E03C4" w:rsidP="00CC1F12">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‘Non-Proliferation and Disarmament Initiative (NPDI)’, The Nuclear Threat Initiative (Web Page, 11 September 2025)</w:t>
      </w:r>
    </w:p>
    <w:p w14:paraId="7AAF6301" w14:textId="77777777" w:rsidR="002E03C4" w:rsidRPr="000B3483" w:rsidRDefault="002E03C4" w:rsidP="00CC1F12">
      <w:pPr>
        <w:pStyle w:val="FootnoteText"/>
        <w:rPr>
          <w:rFonts w:ascii="Times New Roman" w:hAnsi="Times New Roman" w:cs="Times New Roman"/>
        </w:rPr>
      </w:pPr>
      <w:r w:rsidRPr="000B3483">
        <w:rPr>
          <w:rFonts w:ascii="Times New Roman" w:hAnsi="Times New Roman" w:cs="Times New Roman"/>
        </w:rPr>
        <w:t>&lt;https://www.nti.org/education-center/treaties-and-regimes/non-proliferation-and-disarmament-initiative-npdi/&gt;.</w:t>
      </w:r>
    </w:p>
  </w:footnote>
  <w:footnote w:id="9">
    <w:p w14:paraId="35761E8A" w14:textId="77777777" w:rsidR="002E03C4" w:rsidRPr="000B3483" w:rsidRDefault="002E03C4">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Ibid.</w:t>
      </w:r>
    </w:p>
  </w:footnote>
  <w:footnote w:id="10">
    <w:p w14:paraId="0F7E73AB" w14:textId="77777777" w:rsidR="002E03C4" w:rsidRPr="000B3483" w:rsidRDefault="002E03C4" w:rsidP="00583CE5">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‘Response to the Questionnaire on the Topic “Settlement of International Disputes to Which International Organizations Are Parties”’, </w:t>
      </w:r>
      <w:r w:rsidRPr="000B3483">
        <w:rPr>
          <w:rFonts w:ascii="Times New Roman" w:hAnsi="Times New Roman" w:cs="Times New Roman"/>
          <w:i/>
          <w:iCs/>
        </w:rPr>
        <w:t>United Nations</w:t>
      </w:r>
      <w:r w:rsidRPr="000B3483">
        <w:rPr>
          <w:rFonts w:ascii="Times New Roman" w:hAnsi="Times New Roman" w:cs="Times New Roman"/>
        </w:rPr>
        <w:t xml:space="preserve"> (Web Page, 2025) &lt;https://legal.un.org/ilc/sessions/75/pdfs/english/sdio_pca.pdf&gt;.</w:t>
      </w:r>
    </w:p>
  </w:footnote>
  <w:footnote w:id="11">
    <w:p w14:paraId="0128314E" w14:textId="77777777" w:rsidR="002E03C4" w:rsidRPr="000B3483" w:rsidRDefault="002E03C4" w:rsidP="00D36093">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Donald Rothwell, ‘Australia and Timor-Leste: The 2018 Timor Sea Treaty’, </w:t>
      </w:r>
      <w:r w:rsidRPr="000B3483">
        <w:rPr>
          <w:rFonts w:ascii="Times New Roman" w:hAnsi="Times New Roman" w:cs="Times New Roman"/>
          <w:i/>
          <w:iCs/>
        </w:rPr>
        <w:t>The Strategist</w:t>
      </w:r>
      <w:r w:rsidRPr="000B3483">
        <w:rPr>
          <w:rFonts w:ascii="Times New Roman" w:hAnsi="Times New Roman" w:cs="Times New Roman"/>
        </w:rPr>
        <w:t xml:space="preserve"> (Web Page, 14 March 2018)</w:t>
      </w:r>
    </w:p>
    <w:p w14:paraId="7DF82A11" w14:textId="77777777" w:rsidR="002E03C4" w:rsidRPr="000B3483" w:rsidRDefault="002E03C4" w:rsidP="00D36093">
      <w:pPr>
        <w:pStyle w:val="FootnoteText"/>
        <w:rPr>
          <w:rFonts w:ascii="Times New Roman" w:hAnsi="Times New Roman" w:cs="Times New Roman"/>
        </w:rPr>
      </w:pPr>
      <w:r w:rsidRPr="000B3483">
        <w:rPr>
          <w:rFonts w:ascii="Times New Roman" w:hAnsi="Times New Roman" w:cs="Times New Roman"/>
        </w:rPr>
        <w:t>&lt;https://www.aspistrategist.org.au/australia-timor-leste-2018-timor-sea-treaty/#:~:text=The%202018%20Timor%20Sea%20Treaty%20was%20signed,there's%20an%20onshore%20LNG%20plant%20in%20Australia&gt;.</w:t>
      </w:r>
    </w:p>
  </w:footnote>
  <w:footnote w:id="12">
    <w:p w14:paraId="3472B8E0" w14:textId="77777777" w:rsidR="002E03C4" w:rsidRPr="000B3483" w:rsidRDefault="002E03C4">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Ibid.</w:t>
      </w:r>
    </w:p>
  </w:footnote>
  <w:footnote w:id="13">
    <w:p w14:paraId="302B4191" w14:textId="0B3F9E47" w:rsidR="002E03C4" w:rsidRPr="000B3483" w:rsidRDefault="002E03C4" w:rsidP="00D36093">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Centre of Preventative Action, ‘Territorial Disputes in the South China Sea | Global Conflict Tracker’, </w:t>
      </w:r>
      <w:r w:rsidRPr="000B3483">
        <w:rPr>
          <w:rFonts w:ascii="Times New Roman" w:hAnsi="Times New Roman" w:cs="Times New Roman"/>
          <w:i/>
          <w:iCs/>
        </w:rPr>
        <w:t xml:space="preserve">Global Conflict Tracker </w:t>
      </w:r>
      <w:r w:rsidRPr="000B3483">
        <w:rPr>
          <w:rFonts w:ascii="Times New Roman" w:hAnsi="Times New Roman" w:cs="Times New Roman"/>
        </w:rPr>
        <w:t>(Web Page, 2024)</w:t>
      </w:r>
    </w:p>
    <w:p w14:paraId="067F2980" w14:textId="77777777" w:rsidR="002E03C4" w:rsidRPr="000B3483" w:rsidRDefault="002E03C4" w:rsidP="00D36093">
      <w:pPr>
        <w:pStyle w:val="FootnoteText"/>
        <w:rPr>
          <w:rFonts w:ascii="Times New Roman" w:hAnsi="Times New Roman" w:cs="Times New Roman"/>
        </w:rPr>
      </w:pPr>
      <w:r w:rsidRPr="000B3483">
        <w:rPr>
          <w:rFonts w:ascii="Times New Roman" w:hAnsi="Times New Roman" w:cs="Times New Roman"/>
        </w:rPr>
        <w:t>&lt;https://www.cfr.org/global-conflict-tracker/conflict/territorial-disputes-south-china-sea&gt;.</w:t>
      </w:r>
    </w:p>
  </w:footnote>
  <w:footnote w:id="14">
    <w:p w14:paraId="5767D476" w14:textId="77777777" w:rsidR="002E03C4" w:rsidRPr="000B3483" w:rsidRDefault="002E03C4" w:rsidP="00D36093">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Susannah Patton, ‘What Should Australia Be Doing about the South China Sea?’, </w:t>
      </w:r>
      <w:r w:rsidRPr="000B3483">
        <w:rPr>
          <w:rFonts w:ascii="Times New Roman" w:hAnsi="Times New Roman" w:cs="Times New Roman"/>
          <w:i/>
          <w:iCs/>
        </w:rPr>
        <w:t>Lowy Institute</w:t>
      </w:r>
      <w:r w:rsidRPr="000B3483">
        <w:rPr>
          <w:rFonts w:ascii="Times New Roman" w:hAnsi="Times New Roman" w:cs="Times New Roman"/>
        </w:rPr>
        <w:t xml:space="preserve"> (Web Page, 2025)</w:t>
      </w:r>
    </w:p>
    <w:p w14:paraId="454E9F37" w14:textId="77777777" w:rsidR="002E03C4" w:rsidRPr="000B3483" w:rsidRDefault="002E03C4">
      <w:pPr>
        <w:pStyle w:val="FootnoteText"/>
        <w:rPr>
          <w:rFonts w:ascii="Times New Roman" w:hAnsi="Times New Roman" w:cs="Times New Roman"/>
        </w:rPr>
      </w:pPr>
      <w:r w:rsidRPr="000B3483">
        <w:rPr>
          <w:rFonts w:ascii="Times New Roman" w:hAnsi="Times New Roman" w:cs="Times New Roman"/>
        </w:rPr>
        <w:t>&lt;https://www.lowyinstitute.org/the-interpreter/what-should-australia-be-doing-about-south-china-sea&gt;.</w:t>
      </w:r>
    </w:p>
  </w:footnote>
  <w:footnote w:id="15">
    <w:p w14:paraId="743ECD7B" w14:textId="0EC3DE9B" w:rsidR="002E03C4" w:rsidRPr="000B3483" w:rsidRDefault="002E03C4" w:rsidP="00070814">
      <w:pPr>
        <w:pStyle w:val="FootnoteText"/>
        <w:rPr>
          <w:rFonts w:ascii="Times New Roman" w:hAnsi="Times New Roman" w:cs="Times New Roman"/>
        </w:rPr>
      </w:pPr>
      <w:r w:rsidRPr="000B3483">
        <w:rPr>
          <w:rStyle w:val="FootnoteReference"/>
          <w:rFonts w:ascii="Times New Roman" w:hAnsi="Times New Roman" w:cs="Times New Roman"/>
        </w:rPr>
        <w:footnoteRef/>
      </w:r>
      <w:r w:rsidRPr="000B3483">
        <w:rPr>
          <w:rFonts w:ascii="Times New Roman" w:hAnsi="Times New Roman" w:cs="Times New Roman"/>
        </w:rPr>
        <w:t xml:space="preserve"> Priscilla A </w:t>
      </w:r>
      <w:proofErr w:type="spellStart"/>
      <w:r w:rsidRPr="000B3483">
        <w:rPr>
          <w:rFonts w:ascii="Times New Roman" w:hAnsi="Times New Roman" w:cs="Times New Roman"/>
        </w:rPr>
        <w:t>Tacujan</w:t>
      </w:r>
      <w:proofErr w:type="spellEnd"/>
      <w:r w:rsidRPr="000B3483">
        <w:rPr>
          <w:rFonts w:ascii="Times New Roman" w:hAnsi="Times New Roman" w:cs="Times New Roman"/>
        </w:rPr>
        <w:t>, ‘Revisiting China’s Rationale for Its South China Sea Claims’, U.S. Naval Institute (Web Page, 6 August 2024)</w:t>
      </w:r>
    </w:p>
    <w:p w14:paraId="285DD2FC" w14:textId="77777777" w:rsidR="002E03C4" w:rsidRDefault="002E03C4" w:rsidP="00070814">
      <w:pPr>
        <w:pStyle w:val="FootnoteText"/>
      </w:pPr>
      <w:r w:rsidRPr="000B3483">
        <w:rPr>
          <w:rFonts w:ascii="Times New Roman" w:hAnsi="Times New Roman" w:cs="Times New Roman"/>
        </w:rPr>
        <w:t>&lt;https://www.usni.org/magazines/proceedings/2024/august/revisiting-chinas-rationale-its-south-china-sea-claims&gt;.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C3484"/>
    <w:multiLevelType w:val="hybridMultilevel"/>
    <w:tmpl w:val="9BBC003C"/>
    <w:lvl w:ilvl="0" w:tplc="FFFFFFFF">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FAC5D54"/>
    <w:multiLevelType w:val="hybridMultilevel"/>
    <w:tmpl w:val="826CD43A"/>
    <w:lvl w:ilvl="0" w:tplc="2E18C77C">
      <w:start w:val="1"/>
      <w:numFmt w:val="upperRoman"/>
      <w:lvlText w:val="%1."/>
      <w:lvlJc w:val="left"/>
      <w:pPr>
        <w:ind w:left="1080" w:hanging="72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3B0346"/>
    <w:multiLevelType w:val="hybridMultilevel"/>
    <w:tmpl w:val="7DB881E2"/>
    <w:lvl w:ilvl="0" w:tplc="FFFFFFFF">
      <w:start w:val="1"/>
      <w:numFmt w:val="upperRoman"/>
      <w:lvlText w:val="%1."/>
      <w:lvlJc w:val="left"/>
      <w:pPr>
        <w:ind w:left="1080" w:hanging="720"/>
      </w:pPr>
      <w:rPr>
        <w:rFonts w:ascii="Times New Roman" w:hAnsi="Times New Roman" w:cs="Times New Roman"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6A4376"/>
    <w:multiLevelType w:val="hybridMultilevel"/>
    <w:tmpl w:val="6CB82C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1907494577">
    <w:abstractNumId w:val="1"/>
  </w:num>
  <w:num w:numId="2" w16cid:durableId="908882389">
    <w:abstractNumId w:val="2"/>
  </w:num>
  <w:num w:numId="3" w16cid:durableId="734283582">
    <w:abstractNumId w:val="3"/>
  </w:num>
  <w:num w:numId="4" w16cid:durableId="1754743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7301A"/>
    <w:rsid w:val="0008172E"/>
    <w:rsid w:val="000A4193"/>
    <w:rsid w:val="000A7F76"/>
    <w:rsid w:val="000B2023"/>
    <w:rsid w:val="000B3483"/>
    <w:rsid w:val="000D128E"/>
    <w:rsid w:val="000D3208"/>
    <w:rsid w:val="000F108B"/>
    <w:rsid w:val="00111C95"/>
    <w:rsid w:val="00115971"/>
    <w:rsid w:val="00134090"/>
    <w:rsid w:val="00147DC9"/>
    <w:rsid w:val="00170EC0"/>
    <w:rsid w:val="00172F12"/>
    <w:rsid w:val="00175486"/>
    <w:rsid w:val="001876ED"/>
    <w:rsid w:val="001A3BD0"/>
    <w:rsid w:val="001B7DFD"/>
    <w:rsid w:val="001F059D"/>
    <w:rsid w:val="001F7F8C"/>
    <w:rsid w:val="0021596B"/>
    <w:rsid w:val="00220042"/>
    <w:rsid w:val="0023078B"/>
    <w:rsid w:val="00240E95"/>
    <w:rsid w:val="00266A19"/>
    <w:rsid w:val="00285268"/>
    <w:rsid w:val="0028563F"/>
    <w:rsid w:val="00294CA4"/>
    <w:rsid w:val="002E03C4"/>
    <w:rsid w:val="002F23C0"/>
    <w:rsid w:val="00300E0C"/>
    <w:rsid w:val="0032017D"/>
    <w:rsid w:val="00334ADB"/>
    <w:rsid w:val="00341B1E"/>
    <w:rsid w:val="00344A17"/>
    <w:rsid w:val="00352F14"/>
    <w:rsid w:val="00356093"/>
    <w:rsid w:val="003A02E1"/>
    <w:rsid w:val="003A1CFB"/>
    <w:rsid w:val="003A7AA4"/>
    <w:rsid w:val="003A7F84"/>
    <w:rsid w:val="003B7C76"/>
    <w:rsid w:val="003C2E5F"/>
    <w:rsid w:val="003D1D07"/>
    <w:rsid w:val="003E43B4"/>
    <w:rsid w:val="003E7BC4"/>
    <w:rsid w:val="00405FCE"/>
    <w:rsid w:val="004428B7"/>
    <w:rsid w:val="00454AE5"/>
    <w:rsid w:val="0046317F"/>
    <w:rsid w:val="00464656"/>
    <w:rsid w:val="0046610A"/>
    <w:rsid w:val="0047260B"/>
    <w:rsid w:val="00480B5D"/>
    <w:rsid w:val="00482078"/>
    <w:rsid w:val="00483774"/>
    <w:rsid w:val="00483FDC"/>
    <w:rsid w:val="004874FC"/>
    <w:rsid w:val="004D2AC4"/>
    <w:rsid w:val="004D4240"/>
    <w:rsid w:val="004E3D64"/>
    <w:rsid w:val="004E66C5"/>
    <w:rsid w:val="004F7F88"/>
    <w:rsid w:val="00500959"/>
    <w:rsid w:val="00531BB6"/>
    <w:rsid w:val="00553DD0"/>
    <w:rsid w:val="00564DFA"/>
    <w:rsid w:val="00571DCD"/>
    <w:rsid w:val="00580005"/>
    <w:rsid w:val="00580B86"/>
    <w:rsid w:val="0058496E"/>
    <w:rsid w:val="0058507A"/>
    <w:rsid w:val="00596E11"/>
    <w:rsid w:val="005A6F4D"/>
    <w:rsid w:val="005D092F"/>
    <w:rsid w:val="005E1FFE"/>
    <w:rsid w:val="00601F4E"/>
    <w:rsid w:val="00602F53"/>
    <w:rsid w:val="006059CA"/>
    <w:rsid w:val="00610B82"/>
    <w:rsid w:val="00610E85"/>
    <w:rsid w:val="006137B4"/>
    <w:rsid w:val="00614F15"/>
    <w:rsid w:val="00621706"/>
    <w:rsid w:val="00627E32"/>
    <w:rsid w:val="00630EB4"/>
    <w:rsid w:val="00634D86"/>
    <w:rsid w:val="00691C4F"/>
    <w:rsid w:val="006B0791"/>
    <w:rsid w:val="006B3EE3"/>
    <w:rsid w:val="006B7BEF"/>
    <w:rsid w:val="006C41F2"/>
    <w:rsid w:val="006C458F"/>
    <w:rsid w:val="006C7E45"/>
    <w:rsid w:val="006F60E7"/>
    <w:rsid w:val="006F651C"/>
    <w:rsid w:val="00714231"/>
    <w:rsid w:val="00727A61"/>
    <w:rsid w:val="0076135F"/>
    <w:rsid w:val="00763647"/>
    <w:rsid w:val="0076785F"/>
    <w:rsid w:val="007769FF"/>
    <w:rsid w:val="007969BD"/>
    <w:rsid w:val="007B1D20"/>
    <w:rsid w:val="007B71B0"/>
    <w:rsid w:val="007C238A"/>
    <w:rsid w:val="007C4F96"/>
    <w:rsid w:val="007D2217"/>
    <w:rsid w:val="007F17E8"/>
    <w:rsid w:val="007F384E"/>
    <w:rsid w:val="00806120"/>
    <w:rsid w:val="0080654C"/>
    <w:rsid w:val="008132C3"/>
    <w:rsid w:val="008215DC"/>
    <w:rsid w:val="0083614B"/>
    <w:rsid w:val="00840943"/>
    <w:rsid w:val="00843BE6"/>
    <w:rsid w:val="008446D5"/>
    <w:rsid w:val="0085433B"/>
    <w:rsid w:val="00893441"/>
    <w:rsid w:val="008B7194"/>
    <w:rsid w:val="008B7902"/>
    <w:rsid w:val="008C7E45"/>
    <w:rsid w:val="008F57CF"/>
    <w:rsid w:val="009035F2"/>
    <w:rsid w:val="009142C9"/>
    <w:rsid w:val="00924A66"/>
    <w:rsid w:val="00930211"/>
    <w:rsid w:val="0093046D"/>
    <w:rsid w:val="00944B71"/>
    <w:rsid w:val="00962EBB"/>
    <w:rsid w:val="009929D2"/>
    <w:rsid w:val="00997C34"/>
    <w:rsid w:val="009C531C"/>
    <w:rsid w:val="009D06C6"/>
    <w:rsid w:val="009E1A7D"/>
    <w:rsid w:val="009E2A29"/>
    <w:rsid w:val="009F0480"/>
    <w:rsid w:val="00A01517"/>
    <w:rsid w:val="00A03A12"/>
    <w:rsid w:val="00A0493A"/>
    <w:rsid w:val="00A0638E"/>
    <w:rsid w:val="00A239C8"/>
    <w:rsid w:val="00A502FB"/>
    <w:rsid w:val="00A540EA"/>
    <w:rsid w:val="00A748A0"/>
    <w:rsid w:val="00A830C0"/>
    <w:rsid w:val="00A97FC9"/>
    <w:rsid w:val="00AA3760"/>
    <w:rsid w:val="00AA67FB"/>
    <w:rsid w:val="00AD2504"/>
    <w:rsid w:val="00B02D14"/>
    <w:rsid w:val="00B15DDE"/>
    <w:rsid w:val="00B33213"/>
    <w:rsid w:val="00B46C49"/>
    <w:rsid w:val="00B832BA"/>
    <w:rsid w:val="00B85935"/>
    <w:rsid w:val="00B868C3"/>
    <w:rsid w:val="00B97C02"/>
    <w:rsid w:val="00BA00F7"/>
    <w:rsid w:val="00BB5602"/>
    <w:rsid w:val="00BB66EB"/>
    <w:rsid w:val="00BC443F"/>
    <w:rsid w:val="00BC6547"/>
    <w:rsid w:val="00BD62C4"/>
    <w:rsid w:val="00BE5553"/>
    <w:rsid w:val="00BF138C"/>
    <w:rsid w:val="00C00C1E"/>
    <w:rsid w:val="00C41993"/>
    <w:rsid w:val="00C65049"/>
    <w:rsid w:val="00C8782D"/>
    <w:rsid w:val="00CB7B0F"/>
    <w:rsid w:val="00CE2659"/>
    <w:rsid w:val="00D1061C"/>
    <w:rsid w:val="00D30760"/>
    <w:rsid w:val="00D5782C"/>
    <w:rsid w:val="00D67988"/>
    <w:rsid w:val="00D75D0F"/>
    <w:rsid w:val="00D774EF"/>
    <w:rsid w:val="00D94C07"/>
    <w:rsid w:val="00DC1F28"/>
    <w:rsid w:val="00DC78AE"/>
    <w:rsid w:val="00DE365C"/>
    <w:rsid w:val="00DE7698"/>
    <w:rsid w:val="00DF314C"/>
    <w:rsid w:val="00E00CF1"/>
    <w:rsid w:val="00E030D6"/>
    <w:rsid w:val="00E12126"/>
    <w:rsid w:val="00E160C6"/>
    <w:rsid w:val="00E179B4"/>
    <w:rsid w:val="00E35F81"/>
    <w:rsid w:val="00E45958"/>
    <w:rsid w:val="00E6116E"/>
    <w:rsid w:val="00E6236F"/>
    <w:rsid w:val="00E660C7"/>
    <w:rsid w:val="00E95486"/>
    <w:rsid w:val="00EC40F3"/>
    <w:rsid w:val="00EF7F99"/>
    <w:rsid w:val="00F05EA0"/>
    <w:rsid w:val="00F1081F"/>
    <w:rsid w:val="00F166DC"/>
    <w:rsid w:val="00F220C5"/>
    <w:rsid w:val="00F22977"/>
    <w:rsid w:val="00F30BEA"/>
    <w:rsid w:val="00F3602A"/>
    <w:rsid w:val="00F52A96"/>
    <w:rsid w:val="00F6794E"/>
    <w:rsid w:val="00F74AD5"/>
    <w:rsid w:val="00F772BB"/>
    <w:rsid w:val="00F81255"/>
    <w:rsid w:val="00F94823"/>
    <w:rsid w:val="00F972AD"/>
    <w:rsid w:val="00FA4E12"/>
    <w:rsid w:val="00FB2581"/>
    <w:rsid w:val="00FB5B18"/>
    <w:rsid w:val="00FD42E0"/>
    <w:rsid w:val="00FD531E"/>
    <w:rsid w:val="00FE034A"/>
    <w:rsid w:val="00FE6217"/>
    <w:rsid w:val="203F3282"/>
    <w:rsid w:val="6BF1EA69"/>
    <w:rsid w:val="71F20D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D4D594F8-4F9C-934C-B172-178E3F6F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semiHidden/>
    <w:unhideWhenUsed/>
    <w:rsid w:val="002E03C4"/>
    <w:pPr>
      <w:spacing w:after="0" w:line="240" w:lineRule="auto"/>
    </w:pPr>
    <w:rPr>
      <w:rFonts w:ascii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2E03C4"/>
    <w:rPr>
      <w:kern w:val="2"/>
      <w:sz w:val="20"/>
      <w:szCs w:val="20"/>
      <w14:ligatures w14:val="standardContextual"/>
    </w:rPr>
  </w:style>
  <w:style w:type="character" w:styleId="FootnoteReference">
    <w:name w:val="footnote reference"/>
    <w:basedOn w:val="DefaultParagraphFont"/>
    <w:uiPriority w:val="99"/>
    <w:semiHidden/>
    <w:unhideWhenUsed/>
    <w:rsid w:val="002E03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1041</Words>
  <Characters>6552</Characters>
  <Application>Microsoft Office Word</Application>
  <DocSecurity>0</DocSecurity>
  <Lines>102</Lines>
  <Paragraphs>15</Paragraphs>
  <ScaleCrop>false</ScaleCrop>
  <Company/>
  <LinksUpToDate>false</LinksUpToDate>
  <CharactersWithSpaces>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Benjamin Macvean</cp:lastModifiedBy>
  <cp:revision>5</cp:revision>
  <dcterms:created xsi:type="dcterms:W3CDTF">2026-02-25T14:09:00Z</dcterms:created>
  <dcterms:modified xsi:type="dcterms:W3CDTF">2026-03-14T13:34:00Z</dcterms:modified>
</cp:coreProperties>
</file>