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C56382" w14:textId="0DBE32B6" w:rsidR="000F108B" w:rsidRDefault="006A57EB" w:rsidP="003F4439">
      <w:pPr>
        <w:spacing w:line="480" w:lineRule="auto"/>
      </w:pPr>
      <w:r>
        <w:rPr>
          <w:noProof/>
        </w:rPr>
        <mc:AlternateContent>
          <mc:Choice Requires="wpg">
            <w:drawing>
              <wp:anchor distT="0" distB="0" distL="114300" distR="114300" simplePos="0" relativeHeight="251659264" behindDoc="0" locked="0" layoutInCell="1" allowOverlap="1" wp14:anchorId="2B6E4E9D" wp14:editId="4FA7C6CA">
                <wp:simplePos x="0" y="0"/>
                <wp:positionH relativeFrom="column">
                  <wp:posOffset>-801370</wp:posOffset>
                </wp:positionH>
                <wp:positionV relativeFrom="paragraph">
                  <wp:posOffset>-912007</wp:posOffset>
                </wp:positionV>
                <wp:extent cx="7769860" cy="10878938"/>
                <wp:effectExtent l="0" t="0" r="15240" b="17780"/>
                <wp:wrapNone/>
                <wp:docPr id="1521003895" name="Group 23"/>
                <wp:cNvGraphicFramePr/>
                <a:graphic xmlns:a="http://schemas.openxmlformats.org/drawingml/2006/main">
                  <a:graphicData uri="http://schemas.microsoft.com/office/word/2010/wordprocessingGroup">
                    <wpg:wgp>
                      <wpg:cNvGrpSpPr/>
                      <wpg:grpSpPr>
                        <a:xfrm>
                          <a:off x="0" y="0"/>
                          <a:ext cx="7769860" cy="10878938"/>
                          <a:chOff x="0" y="0"/>
                          <a:chExt cx="7769915" cy="10684828"/>
                        </a:xfrm>
                      </wpg:grpSpPr>
                      <wps:wsp>
                        <wps:cNvPr id="1402973178" name="Triangle 16"/>
                        <wps:cNvSpPr/>
                        <wps:spPr>
                          <a:xfrm>
                            <a:off x="2642755" y="6120246"/>
                            <a:ext cx="4998615" cy="4564582"/>
                          </a:xfrm>
                          <a:prstGeom prst="triangle">
                            <a:avLst>
                              <a:gd name="adj" fmla="val 50334"/>
                            </a:avLst>
                          </a:prstGeom>
                          <a:gradFill>
                            <a:gsLst>
                              <a:gs pos="6000">
                                <a:schemeClr val="bg1">
                                  <a:lumMod val="85000"/>
                                  <a:alpha val="11000"/>
                                </a:schemeClr>
                              </a:gs>
                              <a:gs pos="100000">
                                <a:schemeClr val="bg1">
                                  <a:lumMod val="95000"/>
                                  <a:alpha val="29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7121778" name="Straight Connector 17"/>
                        <wps:cNvCnPr/>
                        <wps:spPr>
                          <a:xfrm flipH="1">
                            <a:off x="2246746" y="12700"/>
                            <a:ext cx="5523089" cy="10665332"/>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433690939" name="Straight Connector 18"/>
                        <wps:cNvCnPr/>
                        <wps:spPr>
                          <a:xfrm>
                            <a:off x="5104246" y="5135418"/>
                            <a:ext cx="2665669" cy="4934965"/>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1491343105" name="Triangle 16"/>
                        <wps:cNvSpPr/>
                        <wps:spPr>
                          <a:xfrm>
                            <a:off x="3497119" y="7491846"/>
                            <a:ext cx="3360593" cy="3121143"/>
                          </a:xfrm>
                          <a:prstGeom prst="triangle">
                            <a:avLst/>
                          </a:prstGeom>
                          <a:gradFill>
                            <a:gsLst>
                              <a:gs pos="6000">
                                <a:schemeClr val="bg1">
                                  <a:lumMod val="85000"/>
                                  <a:alpha val="11000"/>
                                </a:schemeClr>
                              </a:gs>
                              <a:gs pos="100000">
                                <a:schemeClr val="bg1">
                                  <a:lumMod val="95000"/>
                                  <a:alpha val="54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1679544" name="Triangle 16"/>
                        <wps:cNvSpPr/>
                        <wps:spPr>
                          <a:xfrm flipV="1">
                            <a:off x="1273464" y="10391"/>
                            <a:ext cx="5957918" cy="5875809"/>
                          </a:xfrm>
                          <a:prstGeom prst="triangle">
                            <a:avLst>
                              <a:gd name="adj" fmla="val 50334"/>
                            </a:avLst>
                          </a:prstGeom>
                          <a:gradFill>
                            <a:gsLst>
                              <a:gs pos="6000">
                                <a:schemeClr val="bg1">
                                  <a:lumMod val="85000"/>
                                  <a:alpha val="11000"/>
                                </a:schemeClr>
                              </a:gs>
                              <a:gs pos="100000">
                                <a:schemeClr val="bg1">
                                  <a:lumMod val="95000"/>
                                  <a:alpha val="29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8685113" name="Straight Connector 19"/>
                        <wps:cNvCnPr/>
                        <wps:spPr>
                          <a:xfrm flipH="1" flipV="1">
                            <a:off x="615369" y="12698"/>
                            <a:ext cx="3620995" cy="6779909"/>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265009982" name="Triangle 16"/>
                        <wps:cNvSpPr/>
                        <wps:spPr>
                          <a:xfrm flipV="1">
                            <a:off x="2086264" y="0"/>
                            <a:ext cx="4297657" cy="4174251"/>
                          </a:xfrm>
                          <a:prstGeom prst="triangle">
                            <a:avLst/>
                          </a:prstGeom>
                          <a:gradFill>
                            <a:gsLst>
                              <a:gs pos="6000">
                                <a:schemeClr val="bg1">
                                  <a:lumMod val="95000"/>
                                  <a:alpha val="18000"/>
                                </a:schemeClr>
                              </a:gs>
                              <a:gs pos="100000">
                                <a:schemeClr val="bg1">
                                  <a:alpha val="42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1816057" name="Triangle 16"/>
                        <wps:cNvSpPr/>
                        <wps:spPr>
                          <a:xfrm rot="5400000" flipV="1">
                            <a:off x="4391150" y="4537365"/>
                            <a:ext cx="5406279" cy="1239289"/>
                          </a:xfrm>
                          <a:prstGeom prst="triangle">
                            <a:avLst/>
                          </a:prstGeom>
                          <a:gradFill>
                            <a:gsLst>
                              <a:gs pos="6000">
                                <a:schemeClr val="bg1">
                                  <a:lumMod val="95000"/>
                                  <a:alpha val="18000"/>
                                </a:schemeClr>
                              </a:gs>
                              <a:gs pos="100000">
                                <a:schemeClr val="bg1">
                                  <a:alpha val="42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9811183" name="Straight Connector 20"/>
                        <wps:cNvCnPr/>
                        <wps:spPr>
                          <a:xfrm flipH="1" flipV="1">
                            <a:off x="0" y="7857837"/>
                            <a:ext cx="3689928" cy="1842"/>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1801F7A" id="Group 23" o:spid="_x0000_s1026" style="position:absolute;margin-left:-63.1pt;margin-top:-71.8pt;width:611.8pt;height:856.6pt;z-index:251659264;mso-width-relative:margin;mso-height-relative:margin" coordsize="77699,1068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&#13;&#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16" o:spid="_x0000_s1027" type="#_x0000_t5" style="position:absolute;left:26427;top:61202;width:49986;height:456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" adj="10872" fillcolor="#d8d8d8 [2732]" stroked="f" strokeweight=".5pt">
                  <v:fill opacity="19005f" color2="#f2f2f2 [3052]" o:opacity2="7208f" rotate="t" colors="0 #d9d9d9;3932f #d9d9d9" focus="100%" type="gradient">
                    <o:fill v:ext="view" type="gradientUnscaled"/>
                  </v:fill>
                </v:shape>
                <v:line id="Straight Connector 17" o:spid="_x0000_s1028" style="position:absolute;flip:x;visibility:visible;mso-wrap-style:square" from="22467,127" to="77698,1067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" strokecolor="white [3212]" strokeweight="1pt">
                  <v:stroke joinstyle="miter"/>
                </v:line>
                <v:line id="Straight Connector 18" o:spid="_x0000_s1029" style="position:absolute;visibility:visible;mso-wrap-style:square" from="51042,51354" to="77699,1007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" strokecolor="white [3212]" strokeweight="1pt">
                  <v:stroke joinstyle="miter"/>
                </v:line>
                <v:shape id="Triangle 16" o:spid="_x0000_s1030" type="#_x0000_t5" style="position:absolute;left:34971;top:74918;width:33606;height:3121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" fillcolor="#d8d8d8 [2732]" stroked="f" strokeweight=".5pt">
                  <v:fill opacity="35389f" color2="#f2f2f2 [3052]" o:opacity2="7208f" rotate="t" colors="0 #d9d9d9;3932f #d9d9d9" focus="100%" type="gradient">
                    <o:fill v:ext="view" type="gradientUnscaled"/>
                  </v:fill>
                </v:shape>
                <v:shape id="Triangle 16" o:spid="_x0000_s1031" type="#_x0000_t5" style="position:absolute;left:12734;top:103;width:59579;height:5875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" adj="10872" fillcolor="#d8d8d8 [2732]" stroked="f" strokeweight=".5pt">
                  <v:fill opacity="19005f" color2="#f2f2f2 [3052]" o:opacity2="7208f" rotate="t" colors="0 #d9d9d9;3932f #d9d9d9" focus="100%" type="gradient">
                    <o:fill v:ext="view" type="gradientUnscaled"/>
                  </v:fill>
                </v:shape>
                <v:line id="Straight Connector 19" o:spid="_x0000_s1032" style="position:absolute;flip:x y;visibility:visible;mso-wrap-style:square" from="6153,126" to="42363,679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" strokecolor="white [3212]" strokeweight="1pt">
                  <v:stroke joinstyle="miter"/>
                </v:line>
                <v:shape id="Triangle 16" o:spid="_x0000_s1033" type="#_x0000_t5" style="position:absolute;left:20862;width:42977;height:41742;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" fillcolor="#f2f2f2 [3052]" stroked="f" strokeweight=".5pt">
                  <v:fill opacity="27525f" color2="white [3212]" o:opacity2="11796f" rotate="t" colors="0 #f2f2f2;3932f #f2f2f2" focus="100%" type="gradient">
                    <o:fill v:ext="view" type="gradientUnscaled"/>
                  </v:fill>
                </v:shape>
                <v:shape id="Triangle 16" o:spid="_x0000_s1034" type="#_x0000_t5" style="position:absolute;left:43911;top:45373;width:54063;height:12393;rotation:-90;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" fillcolor="#f2f2f2 [3052]" stroked="f" strokeweight=".5pt">
                  <v:fill opacity="27525f" color2="white [3212]" o:opacity2="11796f" rotate="t" colors="0 #f2f2f2;3932f #f2f2f2" focus="100%" type="gradient">
                    <o:fill v:ext="view" type="gradientUnscaled"/>
                  </v:fill>
                </v:shape>
                <v:line id="Straight Connector 20" o:spid="_x0000_s1035" style="position:absolute;flip:x y;visibility:visible;mso-wrap-style:square" from="0,78578" to="36899,785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" strokecolor="white [3212]" strokeweight="1pt">
                  <v:stroke joinstyle="miter"/>
                </v:line>
              </v:group>
            </w:pict>
          </mc:Fallback>
        </mc:AlternateContent>
      </w:r>
      <w:r>
        <w:rPr>
          <w:noProof/>
        </w:rPr>
        <w:drawing>
          <wp:anchor distT="0" distB="0" distL="114300" distR="114300" simplePos="0" relativeHeight="251658239" behindDoc="1" locked="0" layoutInCell="1" allowOverlap="1" wp14:anchorId="0DB904F3" wp14:editId="6C1311C3">
            <wp:simplePos x="0" y="0"/>
            <wp:positionH relativeFrom="column">
              <wp:posOffset>-683895</wp:posOffset>
            </wp:positionH>
            <wp:positionV relativeFrom="page">
              <wp:posOffset>0</wp:posOffset>
            </wp:positionV>
            <wp:extent cx="9021445" cy="13726795"/>
            <wp:effectExtent l="0" t="0" r="0" b="1905"/>
            <wp:wrapTight wrapText="bothSides">
              <wp:wrapPolygon edited="0">
                <wp:start x="0" y="0"/>
                <wp:lineTo x="0" y="21583"/>
                <wp:lineTo x="21559" y="21583"/>
                <wp:lineTo x="21559" y="0"/>
                <wp:lineTo x="0" y="0"/>
              </wp:wrapPolygon>
            </wp:wrapTight>
            <wp:docPr id="149483593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835935" name="Picture 22"/>
                    <pic:cNvPicPr/>
                  </pic:nvPicPr>
                  <pic:blipFill>
                    <a:blip r:embed="rId7">
                      <a:extLst>
                        <a:ext uri="{28A0092B-C50C-407E-A947-70E740481C1C}">
                          <a14:useLocalDpi xmlns:a14="http://schemas.microsoft.com/office/drawing/2010/main" val="0"/>
                        </a:ext>
                      </a:extLst>
                    </a:blip>
                    <a:stretch>
                      <a:fillRect/>
                    </a:stretch>
                  </pic:blipFill>
                  <pic:spPr>
                    <a:xfrm>
                      <a:off x="0" y="0"/>
                      <a:ext cx="9021445" cy="13726795"/>
                    </a:xfrm>
                    <a:prstGeom prst="rect">
                      <a:avLst/>
                    </a:prstGeom>
                  </pic:spPr>
                </pic:pic>
              </a:graphicData>
            </a:graphic>
            <wp14:sizeRelH relativeFrom="page">
              <wp14:pctWidth>0</wp14:pctWidth>
            </wp14:sizeRelH>
            <wp14:sizeRelV relativeFrom="page">
              <wp14:pctHeight>0</wp14:pctHeight>
            </wp14:sizeRelV>
          </wp:anchor>
        </w:drawing>
      </w:r>
      <w:r w:rsidR="00422484">
        <w:rPr>
          <w:noProof/>
        </w:rPr>
        <mc:AlternateContent>
          <mc:Choice Requires="wps">
            <w:drawing>
              <wp:anchor distT="0" distB="0" distL="114300" distR="114300" simplePos="0" relativeHeight="251662336" behindDoc="0" locked="0" layoutInCell="1" allowOverlap="1" wp14:anchorId="6666B828" wp14:editId="63EFC7BA">
                <wp:simplePos x="0" y="0"/>
                <wp:positionH relativeFrom="column">
                  <wp:posOffset>-498231</wp:posOffset>
                </wp:positionH>
                <wp:positionV relativeFrom="paragraph">
                  <wp:posOffset>7268308</wp:posOffset>
                </wp:positionV>
                <wp:extent cx="2433955" cy="422030"/>
                <wp:effectExtent l="0" t="0" r="0" b="0"/>
                <wp:wrapNone/>
                <wp:docPr id="1296982619" name="Text Box 21"/>
                <wp:cNvGraphicFramePr/>
                <a:graphic xmlns:a="http://schemas.openxmlformats.org/drawingml/2006/main">
                  <a:graphicData uri="http://schemas.microsoft.com/office/word/2010/wordprocessingShape">
                    <wps:wsp>
                      <wps:cNvSpPr txBox="1"/>
                      <wps:spPr>
                        <a:xfrm>
                          <a:off x="0" y="0"/>
                          <a:ext cx="2433955" cy="422030"/>
                        </a:xfrm>
                        <a:prstGeom prst="rect">
                          <a:avLst/>
                        </a:prstGeom>
                        <a:noFill/>
                        <a:ln w="6350">
                          <a:noFill/>
                        </a:ln>
                      </wps:spPr>
                      <wps:txbx>
                        <w:txbxContent>
                          <w:p w14:paraId="34E472DF" w14:textId="71049A6D" w:rsidR="000F108B" w:rsidRPr="001F059D" w:rsidRDefault="000F108B" w:rsidP="001F059D">
                            <w:pPr>
                              <w:rPr>
                                <w:color w:val="FFFFFF" w:themeColor="background1"/>
                                <w:sz w:val="32"/>
                                <w:szCs w:val="32"/>
                              </w:rPr>
                            </w:pPr>
                            <w:r w:rsidRPr="001F059D">
                              <w:rPr>
                                <w:color w:val="FFFFFF" w:themeColor="background1"/>
                                <w:sz w:val="32"/>
                                <w:szCs w:val="32"/>
                              </w:rPr>
                              <w:t xml:space="preserve">By </w:t>
                            </w:r>
                            <w:r w:rsidR="00303B2B">
                              <w:rPr>
                                <w:color w:val="FFFFFF" w:themeColor="background1"/>
                                <w:sz w:val="32"/>
                                <w:szCs w:val="32"/>
                              </w:rPr>
                              <w:t>Agam Kaur</w:t>
                            </w:r>
                          </w:p>
                          <w:p w14:paraId="3B17B765" w14:textId="77777777" w:rsidR="000F108B" w:rsidRDefault="000F108B" w:rsidP="001F05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666B828" id="_x0000_t202" coordsize="21600,21600" o:spt="202" path="m,l,21600r21600,l21600,xe">
                <v:stroke joinstyle="miter"/>
                <v:path gradientshapeok="t" o:connecttype="rect"/>
              </v:shapetype>
              <v:shape id="Text Box 21" o:spid="_x0000_s1026" type="#_x0000_t202" style="position:absolute;margin-left:-39.25pt;margin-top:572.3pt;width:191.65pt;height:33.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" filled="f" stroked="f" strokeweight=".5pt">
                <v:textbox>
                  <w:txbxContent>
                    <w:p w14:paraId="34E472DF" w14:textId="71049A6D" w:rsidR="000F108B" w:rsidRPr="001F059D" w:rsidRDefault="000F108B" w:rsidP="001F059D">
                      <w:pPr>
                        <w:rPr>
                          <w:color w:val="FFFFFF" w:themeColor="background1"/>
                          <w:sz w:val="32"/>
                          <w:szCs w:val="32"/>
                        </w:rPr>
                      </w:pPr>
                      <w:r w:rsidRPr="001F059D">
                        <w:rPr>
                          <w:color w:val="FFFFFF" w:themeColor="background1"/>
                          <w:sz w:val="32"/>
                          <w:szCs w:val="32"/>
                        </w:rPr>
                        <w:t xml:space="preserve">By </w:t>
                      </w:r>
                      <w:r w:rsidR="00303B2B">
                        <w:rPr>
                          <w:color w:val="FFFFFF" w:themeColor="background1"/>
                          <w:sz w:val="32"/>
                          <w:szCs w:val="32"/>
                        </w:rPr>
                        <w:t>Agam Kaur</w:t>
                      </w:r>
                    </w:p>
                    <w:p w14:paraId="3B17B765" w14:textId="77777777" w:rsidR="000F108B" w:rsidRDefault="000F108B" w:rsidP="001F059D"/>
                  </w:txbxContent>
                </v:textbox>
              </v:shape>
            </w:pict>
          </mc:Fallback>
        </mc:AlternateContent>
      </w:r>
      <w:r w:rsidR="00422484">
        <w:rPr>
          <w:noProof/>
        </w:rPr>
        <mc:AlternateContent>
          <mc:Choice Requires="wps">
            <w:drawing>
              <wp:anchor distT="0" distB="0" distL="114300" distR="114300" simplePos="0" relativeHeight="251661312" behindDoc="0" locked="0" layoutInCell="1" allowOverlap="1" wp14:anchorId="4BE7ACF9" wp14:editId="770508AF">
                <wp:simplePos x="0" y="0"/>
                <wp:positionH relativeFrom="column">
                  <wp:posOffset>-500380</wp:posOffset>
                </wp:positionH>
                <wp:positionV relativeFrom="paragraph">
                  <wp:posOffset>5557227</wp:posOffset>
                </wp:positionV>
                <wp:extent cx="3615690" cy="1495722"/>
                <wp:effectExtent l="0" t="0" r="0" b="0"/>
                <wp:wrapNone/>
                <wp:docPr id="1263893123" name="Text Box 27"/>
                <wp:cNvGraphicFramePr/>
                <a:graphic xmlns:a="http://schemas.openxmlformats.org/drawingml/2006/main">
                  <a:graphicData uri="http://schemas.microsoft.com/office/word/2010/wordprocessingShape">
                    <wps:wsp>
                      <wps:cNvSpPr txBox="1"/>
                      <wps:spPr>
                        <a:xfrm>
                          <a:off x="0" y="0"/>
                          <a:ext cx="3615690" cy="1495722"/>
                        </a:xfrm>
                        <a:prstGeom prst="rect">
                          <a:avLst/>
                        </a:prstGeom>
                        <a:noFill/>
                        <a:ln w="6350">
                          <a:noFill/>
                        </a:ln>
                      </wps:spPr>
                      <wps:txbx>
                        <w:txbxContent>
                          <w:p w14:paraId="0489C074" w14:textId="612B521D" w:rsidR="000F108B" w:rsidRPr="001F059D" w:rsidRDefault="00303B2B" w:rsidP="001F059D">
                            <w:pPr>
                              <w:pStyle w:val="Title"/>
                            </w:pPr>
                            <w:r>
                              <w:t>Excused or Accountable?</w:t>
                            </w:r>
                          </w:p>
                          <w:p w14:paraId="33A8E14E" w14:textId="75AA9F9D" w:rsidR="000F108B" w:rsidRPr="001F059D" w:rsidRDefault="00DC560D" w:rsidP="001F059D">
                            <w:pPr>
                              <w:pStyle w:val="Subtitle"/>
                            </w:pPr>
                            <w:r>
                              <w:t>Defences and the Limits of Criminal Liability</w:t>
                            </w:r>
                          </w:p>
                          <w:p w14:paraId="0923727F" w14:textId="77777777" w:rsidR="001F059D" w:rsidRDefault="001F05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7ACF9" id="Text Box 27" o:spid="_x0000_s1027" type="#_x0000_t202" style="position:absolute;margin-left:-39.4pt;margin-top:437.6pt;width:284.7pt;height:11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" filled="f" stroked="f" strokeweight=".5pt">
                <v:textbox>
                  <w:txbxContent>
                    <w:p w14:paraId="0489C074" w14:textId="612B521D" w:rsidR="000F108B" w:rsidRPr="001F059D" w:rsidRDefault="00303B2B" w:rsidP="001F059D">
                      <w:pPr>
                        <w:pStyle w:val="Title"/>
                      </w:pPr>
                      <w:r>
                        <w:t>Excused or Accountable?</w:t>
                      </w:r>
                    </w:p>
                    <w:p w14:paraId="33A8E14E" w14:textId="75AA9F9D" w:rsidR="000F108B" w:rsidRPr="001F059D" w:rsidRDefault="00DC560D" w:rsidP="001F059D">
                      <w:pPr>
                        <w:pStyle w:val="Subtitle"/>
                      </w:pPr>
                      <w:r>
                        <w:t>Defences and the Limits of Criminal Liability</w:t>
                      </w:r>
                    </w:p>
                    <w:p w14:paraId="0923727F" w14:textId="77777777" w:rsidR="001F059D" w:rsidRDefault="001F059D"/>
                  </w:txbxContent>
                </v:textbox>
              </v:shape>
            </w:pict>
          </mc:Fallback>
        </mc:AlternateContent>
      </w:r>
      <w:r w:rsidR="000F108B">
        <w:br w:type="page"/>
      </w:r>
    </w:p>
    <w:p w14:paraId="6695B61E" w14:textId="6A522942" w:rsidR="00FD42E0" w:rsidRDefault="001F059D" w:rsidP="003F4439">
      <w:pPr>
        <w:pStyle w:val="Heading1"/>
        <w:spacing w:line="480" w:lineRule="auto"/>
      </w:pPr>
      <w:r>
        <w:lastRenderedPageBreak/>
        <w:t xml:space="preserve">I </w:t>
      </w:r>
      <w:r w:rsidR="00303B2B">
        <w:t>DEFENCES IN AUSTRALIAN CRIMINAL LAW: JUDICIAL BOUNDARIES, REFORM, AND MORAL BLAMEWORTHINESS</w:t>
      </w:r>
    </w:p>
    <w:p w14:paraId="1A56D25B" w14:textId="77777777" w:rsidR="00303B2B" w:rsidRDefault="00303B2B" w:rsidP="003F4439">
      <w:pPr>
        <w:spacing w:line="480" w:lineRule="auto"/>
      </w:pPr>
      <w:r>
        <w:t>In Australian criminal law, criminal defences are crucial in determining the allocation of responsibility. Liability does not always follow when a recognised defence is used, even though the prosecution must prove both the physical and fault components of an offence beyond a reasonable doubt. This illustrates a more fundamental idea in criminal law: punishment ought to be commensurate with moral responsibility rather than just the occurrence of harm.</w:t>
      </w:r>
    </w:p>
    <w:p w14:paraId="2FDEA4D9" w14:textId="39648ECE" w:rsidR="00303B2B" w:rsidRDefault="00303B2B" w:rsidP="003F4439">
      <w:pPr>
        <w:spacing w:line="480" w:lineRule="auto"/>
      </w:pPr>
      <w:r>
        <w:t xml:space="preserve">It is a well-established presumption that criminal responsibility typically necessitates evidence of fault. Gibbs CJ said in </w:t>
      </w:r>
      <w:r w:rsidRPr="003F4439">
        <w:rPr>
          <w:i/>
          <w:iCs/>
        </w:rPr>
        <w:t>He Kaw Teh v. The Queen</w:t>
      </w:r>
      <w:r>
        <w:t xml:space="preserve"> that it is unlikely that the Parliament intended the consequences of committing an offence so serious should be visited on a person who had no intention of doing anything wrong and no knowledge that he or she was doing so.</w:t>
      </w:r>
      <w:r w:rsidR="003F4439">
        <w:rPr>
          <w:rStyle w:val="FootnoteReference"/>
        </w:rPr>
        <w:footnoteReference w:id="1"/>
      </w:r>
      <w:r w:rsidR="003F4439">
        <w:t xml:space="preserve"> </w:t>
      </w:r>
      <w:r>
        <w:t>Therefore, defences serve as a safeguard, guaranteeing that criminal liability reflects culpability rather than just causation.</w:t>
      </w:r>
    </w:p>
    <w:p w14:paraId="305EAEB6" w14:textId="0200EB1C" w:rsidR="00303B2B" w:rsidRDefault="00303B2B" w:rsidP="003F4439">
      <w:pPr>
        <w:pStyle w:val="Heading1"/>
        <w:spacing w:line="480" w:lineRule="auto"/>
      </w:pPr>
      <w:r>
        <w:t xml:space="preserve">II SELF DEFENCE: PROPORTIONALITY AND CONTEXTUAL REASONABILITY </w:t>
      </w:r>
    </w:p>
    <w:p w14:paraId="357CA65D" w14:textId="66707C65" w:rsidR="00303B2B" w:rsidRDefault="00303B2B" w:rsidP="003F4439">
      <w:pPr>
        <w:spacing w:line="480" w:lineRule="auto"/>
      </w:pPr>
      <w:r>
        <w:t xml:space="preserve">Self-defence is a justifiable defence that acknowledges that using force to thwart illegal violence may be acceptable. A person is not criminally liable under sections 418 - 423 of the </w:t>
      </w:r>
      <w:r w:rsidRPr="003F4439">
        <w:rPr>
          <w:i/>
          <w:iCs/>
        </w:rPr>
        <w:t>Crimes Act 1900</w:t>
      </w:r>
      <w:r>
        <w:t xml:space="preserve"> (NSW) if they felt their actions were necessary to protect themselves or another person and they were reasonable under the circumstances as they were perceived.</w:t>
      </w:r>
      <w:r w:rsidR="003F4439">
        <w:rPr>
          <w:rStyle w:val="FootnoteReference"/>
        </w:rPr>
        <w:footnoteReference w:id="2"/>
      </w:r>
    </w:p>
    <w:p w14:paraId="0A071694" w14:textId="14C33716" w:rsidR="00303B2B" w:rsidRDefault="00303B2B" w:rsidP="003F4439">
      <w:pPr>
        <w:spacing w:line="480" w:lineRule="auto"/>
      </w:pPr>
      <w:r>
        <w:t xml:space="preserve"> In </w:t>
      </w:r>
      <w:r w:rsidRPr="003F4439">
        <w:rPr>
          <w:i/>
          <w:iCs/>
        </w:rPr>
        <w:t>Zecevic v. Director of Public Prosecutions</w:t>
      </w:r>
      <w:r>
        <w:t xml:space="preserve">, the High Court emphasised that the issue of self-defence should be handled practically and without undue nicety, giving proper consideration to the predicament of the </w:t>
      </w:r>
      <w:r>
        <w:lastRenderedPageBreak/>
        <w:t>accused.</w:t>
      </w:r>
      <w:r w:rsidR="003F4439">
        <w:rPr>
          <w:rStyle w:val="FootnoteReference"/>
        </w:rPr>
        <w:footnoteReference w:id="3"/>
      </w:r>
      <w:r>
        <w:t xml:space="preserve"> This focused on whether the accused thought their actions were necessary and reasonable, rejecting strict doctrinal categories.</w:t>
      </w:r>
    </w:p>
    <w:p w14:paraId="238803EA" w14:textId="61C734F9" w:rsidR="00303B2B" w:rsidRDefault="00303B2B" w:rsidP="003F4439">
      <w:pPr>
        <w:spacing w:line="480" w:lineRule="auto"/>
      </w:pPr>
      <w:r>
        <w:t xml:space="preserve"> The circumstances of the accused must be considered when determining reasonableness. In </w:t>
      </w:r>
      <w:r w:rsidRPr="003F4439">
        <w:rPr>
          <w:i/>
          <w:iCs/>
        </w:rPr>
        <w:t>Osland v. The Queen</w:t>
      </w:r>
      <w:r>
        <w:t>, the court acknowledged the impact of cumulative abuse and acknowledged that expert testimony on battered woman syndrome may help the jury determine whether the accused's perception of danger was reasonable.</w:t>
      </w:r>
      <w:r w:rsidR="003F4439">
        <w:rPr>
          <w:rStyle w:val="FootnoteReference"/>
        </w:rPr>
        <w:footnoteReference w:id="4"/>
      </w:r>
    </w:p>
    <w:p w14:paraId="1E4E6754" w14:textId="4EDD0C78" w:rsidR="00303B2B" w:rsidRDefault="00303B2B" w:rsidP="003F4439">
      <w:pPr>
        <w:pStyle w:val="Heading1"/>
        <w:spacing w:line="480" w:lineRule="auto"/>
      </w:pPr>
      <w:r>
        <w:t>III MENTAL ILLNESS: FORENSIC REPURCUSSIONS AND RATIONAL INCAPACITY</w:t>
      </w:r>
    </w:p>
    <w:p w14:paraId="13C498CD" w14:textId="4811B78A" w:rsidR="00303B2B" w:rsidRDefault="00303B2B" w:rsidP="003F4439">
      <w:pPr>
        <w:spacing w:line="480" w:lineRule="auto"/>
      </w:pPr>
      <w:r>
        <w:t xml:space="preserve">In situations where the accused lacked rational capacity, the defence of mental illness serves as a total justification. The guidelines are derived from </w:t>
      </w:r>
      <w:r w:rsidRPr="003F4439">
        <w:rPr>
          <w:i/>
          <w:iCs/>
        </w:rPr>
        <w:t>M'Naghten's Case,</w:t>
      </w:r>
      <w:r>
        <w:t xml:space="preserve"> which established that a defendant is not criminally liable if, as a result of a mental illness, they were unaware of the nature and quality of the act or that it was wrong.</w:t>
      </w:r>
      <w:r w:rsidR="003F4439">
        <w:rPr>
          <w:rStyle w:val="FootnoteReference"/>
        </w:rPr>
        <w:footnoteReference w:id="5"/>
      </w:r>
    </w:p>
    <w:p w14:paraId="7826AB37" w14:textId="0FD207B0" w:rsidR="00303B2B" w:rsidRDefault="00303B2B" w:rsidP="003F4439">
      <w:pPr>
        <w:spacing w:line="480" w:lineRule="auto"/>
      </w:pPr>
      <w:r>
        <w:t xml:space="preserve"> In </w:t>
      </w:r>
      <w:r w:rsidRPr="003F4439">
        <w:rPr>
          <w:i/>
          <w:iCs/>
        </w:rPr>
        <w:t>R v. Porter</w:t>
      </w:r>
      <w:r>
        <w:t>, Australian courts adopted this definition, with Dixon J. defining "disease of the mind" as a malfunctioning of the faculties of reason, memory, and understanding.</w:t>
      </w:r>
      <w:r w:rsidR="003F4439">
        <w:rPr>
          <w:rStyle w:val="FootnoteReference"/>
        </w:rPr>
        <w:footnoteReference w:id="6"/>
      </w:r>
      <w:r>
        <w:t xml:space="preserve"> The focus is functional rather than medical: the court evaluates impairment of reasoning capacity rather than diagnostic labels. </w:t>
      </w:r>
    </w:p>
    <w:p w14:paraId="7C0444FC" w14:textId="324820E1" w:rsidR="00303B2B" w:rsidRPr="00303B2B" w:rsidRDefault="00303B2B" w:rsidP="003F4439">
      <w:pPr>
        <w:spacing w:line="480" w:lineRule="auto"/>
      </w:pPr>
      <w:r>
        <w:t xml:space="preserve">Procedural consequences in New South Wales are regulated by the </w:t>
      </w:r>
      <w:r w:rsidRPr="003F4439">
        <w:rPr>
          <w:i/>
          <w:iCs/>
        </w:rPr>
        <w:t xml:space="preserve">Mental Health and Cognitive Impairment Forensic Provisions Act 2020 </w:t>
      </w:r>
      <w:r>
        <w:t>(NSW).</w:t>
      </w:r>
      <w:r w:rsidR="003F4439">
        <w:rPr>
          <w:rStyle w:val="FootnoteReference"/>
        </w:rPr>
        <w:footnoteReference w:id="7"/>
      </w:r>
      <w:r>
        <w:t xml:space="preserve"> A forensic disposition hearing is held after a not criminally responsible verdict, during which the court decides whether to conditionally release the individual or place them in a mental health facility. The defence thus strikes a balance between public safety and individual incapacity, reflecting both compassion and community protection.</w:t>
      </w:r>
    </w:p>
    <w:p w14:paraId="62D52B90" w14:textId="0A3720E6" w:rsidR="00303B2B" w:rsidRDefault="00303B2B" w:rsidP="003F4439">
      <w:pPr>
        <w:pStyle w:val="Heading1"/>
        <w:spacing w:line="480" w:lineRule="auto"/>
      </w:pPr>
      <w:r>
        <w:lastRenderedPageBreak/>
        <w:t>IV SUBSTANTIAL IMPAIRMENT: LEVELS OF CULPABILITY</w:t>
      </w:r>
    </w:p>
    <w:p w14:paraId="5B81BFBB" w14:textId="44B7FF23" w:rsidR="003F4439" w:rsidRDefault="003F4439" w:rsidP="003F4439">
      <w:pPr>
        <w:spacing w:line="480" w:lineRule="auto"/>
      </w:pPr>
      <w:r>
        <w:t>In cases where mental functioning was severely compromised, murder is reduced to manslaughter under substantial impairment (formerly diminished responsibility). In accordance with Section 23A of the Crimes Act 1900 (NSW), an individual is not guilty of murder if an abnormality of mind resulting from a recognised condition significantly impairs their ability to comprehend events, distinguish between right and wrong, or regulate themselves.</w:t>
      </w:r>
      <w:r>
        <w:rPr>
          <w:rStyle w:val="FootnoteReference"/>
        </w:rPr>
        <w:footnoteReference w:id="8"/>
      </w:r>
    </w:p>
    <w:p w14:paraId="1BA5422D" w14:textId="77777777" w:rsidR="003F4439" w:rsidRDefault="003F4439" w:rsidP="003F4439">
      <w:pPr>
        <w:spacing w:line="480" w:lineRule="auto"/>
      </w:pPr>
      <w:r>
        <w:t xml:space="preserve"> This partial defence recognises the spectrum of culpability. In contrast with mental illness, the accused maintains some awareness or control, albeit to a significantly reduced extent. Psychiatric evidence is crucial, but the jury will ultimately decide whether it is substantial. </w:t>
      </w:r>
    </w:p>
    <w:p w14:paraId="18D49F8C" w14:textId="5A1053F9" w:rsidR="001D074F" w:rsidRDefault="003F4439" w:rsidP="00DC560D">
      <w:pPr>
        <w:spacing w:line="480" w:lineRule="auto"/>
      </w:pPr>
      <w:r>
        <w:t xml:space="preserve">Tensions between objective standards and subjective experience have frequently led to judicial and legislative reconsiderations of homicide defences. Even though provocation was a factor in </w:t>
      </w:r>
      <w:r w:rsidRPr="003F4439">
        <w:rPr>
          <w:i/>
          <w:iCs/>
        </w:rPr>
        <w:t>Green v.</w:t>
      </w:r>
      <w:r>
        <w:rPr>
          <w:i/>
          <w:iCs/>
        </w:rPr>
        <w:t xml:space="preserve"> The Queen</w:t>
      </w:r>
      <w:r>
        <w:t>, the High Court emphasised how difficult it is to apply community standards without giving enough consideration to individual characteristics.</w:t>
      </w:r>
      <w:r w:rsidR="008A7E07">
        <w:rPr>
          <w:rStyle w:val="FootnoteReference"/>
        </w:rPr>
        <w:footnoteReference w:id="9"/>
      </w:r>
      <w:r>
        <w:t xml:space="preserve"> This line of thinking impacted more general discussions regarding the composition and equity of homicide defences in Australia.</w:t>
      </w:r>
    </w:p>
    <w:p w14:paraId="5B14EEBF" w14:textId="13CC1F2C" w:rsidR="003F4439" w:rsidRPr="003F4439" w:rsidRDefault="003F4439" w:rsidP="003F4439">
      <w:pPr>
        <w:pStyle w:val="Heading1"/>
        <w:spacing w:line="480" w:lineRule="auto"/>
      </w:pPr>
      <w:r>
        <w:t>V PROVOCATION REFORM: FROM ORDINARY TO EXTREME PROVOCATION</w:t>
      </w:r>
    </w:p>
    <w:p w14:paraId="750F998D" w14:textId="7D2D2226" w:rsidR="003F4439" w:rsidRDefault="003F4439" w:rsidP="003F4439">
      <w:pPr>
        <w:spacing w:line="480" w:lineRule="auto"/>
      </w:pPr>
      <w:r>
        <w:t xml:space="preserve">Provocation has historically reduced murder to manslaughter when the accused lacked self-control in reaction to provocative behaviour. However, the defence came under constant fire for condoning jealous or possessive violence, especially in domestic settings. </w:t>
      </w:r>
    </w:p>
    <w:p w14:paraId="7282BFA3" w14:textId="01C5D729" w:rsidR="003F4439" w:rsidRDefault="003F4439" w:rsidP="003F4439">
      <w:pPr>
        <w:spacing w:line="480" w:lineRule="auto"/>
      </w:pPr>
      <w:r>
        <w:lastRenderedPageBreak/>
        <w:t xml:space="preserve"> Although no single case led to reform, cases like </w:t>
      </w:r>
      <w:r w:rsidRPr="008A7E07">
        <w:rPr>
          <w:i/>
          <w:iCs/>
        </w:rPr>
        <w:t>R v Singh</w:t>
      </w:r>
      <w:r>
        <w:t xml:space="preserve"> (2012), in which the accused killed his wife and successfully used provocation during the trial, garnered more public attention.</w:t>
      </w:r>
      <w:r w:rsidR="008A7E07">
        <w:rPr>
          <w:rStyle w:val="FootnoteReference"/>
        </w:rPr>
        <w:footnoteReference w:id="10"/>
      </w:r>
      <w:r>
        <w:t xml:space="preserve"> Concerns that the defence was being used to partially excuse intimate partner homicide were heightened by the case. </w:t>
      </w:r>
    </w:p>
    <w:p w14:paraId="1CFED55D" w14:textId="181C44CD" w:rsidR="003F4439" w:rsidRDefault="003F4439" w:rsidP="003F4439">
      <w:pPr>
        <w:spacing w:line="480" w:lineRule="auto"/>
      </w:pPr>
      <w:r>
        <w:t>In Report 138: Partial Defences to Murder (2013), the NSW Law Reform Commission provided important information that influenced the reform process.</w:t>
      </w:r>
      <w:r w:rsidR="008A7E07">
        <w:rPr>
          <w:rStyle w:val="FootnoteReference"/>
        </w:rPr>
        <w:footnoteReference w:id="11"/>
      </w:r>
      <w:r>
        <w:t xml:space="preserve"> According to the Commission, the current defence was too expansive, applied inconsistently, and incompatible with the values of the modern community. Abolition or significant narrowing was suggested, especially to avoid dependence on non-violent sexual advances and other morally insignificant triggers. </w:t>
      </w:r>
    </w:p>
    <w:p w14:paraId="774C2214" w14:textId="4986A2A2" w:rsidR="003F4439" w:rsidRDefault="003F4439" w:rsidP="003F4439">
      <w:pPr>
        <w:spacing w:line="480" w:lineRule="auto"/>
      </w:pPr>
      <w:r>
        <w:t xml:space="preserve"> In response, Parliament passed the </w:t>
      </w:r>
      <w:r w:rsidRPr="001D074F">
        <w:rPr>
          <w:i/>
          <w:iCs/>
        </w:rPr>
        <w:t>Crimes Amendment (Provocation) Act 2014</w:t>
      </w:r>
      <w:r>
        <w:t xml:space="preserve"> (NSW), which substituted "extreme provocation" for provocation</w:t>
      </w:r>
      <w:r w:rsidR="001D074F">
        <w:t>.</w:t>
      </w:r>
      <w:r w:rsidR="001D074F">
        <w:rPr>
          <w:rStyle w:val="FootnoteReference"/>
        </w:rPr>
        <w:footnoteReference w:id="12"/>
      </w:r>
      <w:r>
        <w:t xml:space="preserve"> Section 23 of the </w:t>
      </w:r>
      <w:r w:rsidRPr="001D074F">
        <w:rPr>
          <w:i/>
          <w:iCs/>
        </w:rPr>
        <w:t>Crimes Act 1900</w:t>
      </w:r>
      <w:r>
        <w:t xml:space="preserve"> (NSW) now calls for the deceased's actions to be a serious indictable offence, specifically excluding nonviolent sexual advances. The change reflects a change in norms: unless the victim's actions constituted grave criminal misconduct, a lack of self-control is no longer sufficient to absolve murder. </w:t>
      </w:r>
    </w:p>
    <w:p w14:paraId="5D794EE3" w14:textId="44D9A223" w:rsidR="00303B2B" w:rsidRPr="00303B2B" w:rsidRDefault="003F4439" w:rsidP="003F4439">
      <w:pPr>
        <w:spacing w:line="480" w:lineRule="auto"/>
      </w:pPr>
      <w:r>
        <w:t xml:space="preserve">This legislative change demonstrates the dynamic interaction between Parliament, courts, and law reform organisations. Ultimately, judicial rulings expose doctrinal conflicts, law reform commissions evaluate the coherence of policies, and Parliament reassesses moral boundaries. The narrowing of provocation shows a deliberate rejection of the outdated patriarchal assumptions embedded in earlier doctrine.  </w:t>
      </w:r>
    </w:p>
    <w:p w14:paraId="47CE1F69" w14:textId="1CAFE031" w:rsidR="003F4439" w:rsidRDefault="003F4439" w:rsidP="003F4439">
      <w:pPr>
        <w:pStyle w:val="Heading1"/>
        <w:spacing w:line="480" w:lineRule="auto"/>
      </w:pPr>
      <w:r>
        <w:t>VI DURESS AND NECESSITY: HUMAN WEAKNESS WITHIN BOUNDARIES</w:t>
      </w:r>
    </w:p>
    <w:p w14:paraId="19B22410" w14:textId="6FAEEE1F" w:rsidR="003F4439" w:rsidRDefault="003F4439" w:rsidP="003F4439">
      <w:pPr>
        <w:spacing w:line="480" w:lineRule="auto"/>
      </w:pPr>
      <w:r>
        <w:t xml:space="preserve">Crimes committed in response to threats of death or severe injury are excused by duress. The defence is codified at the federal level in Section 10.2 of the </w:t>
      </w:r>
      <w:r w:rsidRPr="001D074F">
        <w:rPr>
          <w:i/>
          <w:iCs/>
        </w:rPr>
        <w:t>Criminal Code Act 1995</w:t>
      </w:r>
      <w:r>
        <w:t xml:space="preserve"> (Cth), which calls for a serious threat, no reasonable alternative, and a reasonable response under the circumstances.</w:t>
      </w:r>
      <w:r w:rsidR="001D074F">
        <w:rPr>
          <w:rStyle w:val="FootnoteReference"/>
        </w:rPr>
        <w:footnoteReference w:id="13"/>
      </w:r>
      <w:r>
        <w:t xml:space="preserve"> Because the law </w:t>
      </w:r>
      <w:r>
        <w:lastRenderedPageBreak/>
        <w:t xml:space="preserve">maintains that coercion alone cannot justify intentional killing, the defence does not apply to murder at common law. </w:t>
      </w:r>
    </w:p>
    <w:p w14:paraId="621E408B" w14:textId="73B628B1" w:rsidR="003F4439" w:rsidRDefault="003F4439" w:rsidP="003F4439">
      <w:pPr>
        <w:spacing w:line="480" w:lineRule="auto"/>
      </w:pPr>
      <w:r>
        <w:t xml:space="preserve"> Necessity is still limited and seldom effective. The Victorian Supreme Court outlined three requirements in </w:t>
      </w:r>
      <w:r w:rsidRPr="001D074F">
        <w:rPr>
          <w:i/>
          <w:iCs/>
        </w:rPr>
        <w:t>R v. Loughnan</w:t>
      </w:r>
      <w:r>
        <w:t>: proportionality, lack of a reasonable alternative, and imminent peril.</w:t>
      </w:r>
      <w:r w:rsidR="001D074F">
        <w:rPr>
          <w:rStyle w:val="FootnoteReference"/>
        </w:rPr>
        <w:footnoteReference w:id="14"/>
      </w:r>
      <w:r>
        <w:t xml:space="preserve"> In order to maintain parliamentary supremacy and legal certainty, courts have continuously opposed extending necessity into a general moral balancing test. </w:t>
      </w:r>
    </w:p>
    <w:p w14:paraId="10A5D499" w14:textId="777C2D94" w:rsidR="001D074F" w:rsidRDefault="003F4439" w:rsidP="00DC560D">
      <w:pPr>
        <w:spacing w:line="480" w:lineRule="auto"/>
      </w:pPr>
      <w:r>
        <w:t>Collectively, these defences uphold moral boundaries while acknowledging human vulnerability. They only pardon misconduct when autonomy was seriously jeopardised.</w:t>
      </w:r>
    </w:p>
    <w:p w14:paraId="102053B8" w14:textId="2FF9790E" w:rsidR="003F4439" w:rsidRDefault="003F4439" w:rsidP="003F4439">
      <w:pPr>
        <w:pStyle w:val="Heading1"/>
        <w:spacing w:line="480" w:lineRule="auto"/>
      </w:pPr>
      <w:r>
        <w:t>VII CONCLUSION: FAIR LABELLING AND MORAL LEGITIMACY</w:t>
      </w:r>
    </w:p>
    <w:p w14:paraId="23A14E1C" w14:textId="1F067859" w:rsidR="003F4439" w:rsidRDefault="003F4439" w:rsidP="003F4439">
      <w:pPr>
        <w:spacing w:line="480" w:lineRule="auto"/>
      </w:pPr>
      <w:r>
        <w:t xml:space="preserve">Australian criminal defences improve accountability rather than diminish it. The law shows a continuous attempt to match criminal liability with moral blameworthiness, as evidenced by the High Court's emphasis on fault in He Kaw Teh and the 2014 statutory recalibration of provocation. Extreme provocation reflects changing community standards about lethal violence; duress and necessity acknowledge constrained choice; mental illness and significant impairment recognise impaired rationality; and self-defence protects necessary resistance to violence. </w:t>
      </w:r>
    </w:p>
    <w:p w14:paraId="6FC07227" w14:textId="7E3E55A5" w:rsidR="003F4439" w:rsidRDefault="003F4439" w:rsidP="003F4439">
      <w:pPr>
        <w:spacing w:line="480" w:lineRule="auto"/>
      </w:pPr>
      <w:r>
        <w:t>The trajectory of reform, particularly in New South Wales, illustrates that defences are not static relics but living doctrines shaped by judicial reasoning, empirical research, and legislative judgment. By ensuring that punishment corresponds to genuine culpability, Australian criminal law preserves both fairness to the accused and public confidence in the administration of justice.</w:t>
      </w:r>
    </w:p>
    <w:p w14:paraId="0AFE45B4" w14:textId="77777777" w:rsidR="00303B2B" w:rsidRPr="00303B2B" w:rsidRDefault="00303B2B" w:rsidP="003F4439">
      <w:pPr>
        <w:spacing w:line="480" w:lineRule="auto"/>
      </w:pPr>
    </w:p>
    <w:p w14:paraId="21B70BA4" w14:textId="77777777" w:rsidR="001F059D" w:rsidRPr="001F059D" w:rsidRDefault="001F059D" w:rsidP="003F4439">
      <w:pPr>
        <w:spacing w:line="480" w:lineRule="auto"/>
      </w:pPr>
    </w:p>
    <w:p w14:paraId="54B204E1" w14:textId="439C9867" w:rsidR="000F108B" w:rsidRDefault="000F108B" w:rsidP="003F4439">
      <w:pPr>
        <w:spacing w:line="480" w:lineRule="auto"/>
      </w:pPr>
      <w:r>
        <w:br w:type="page"/>
      </w:r>
    </w:p>
    <w:p w14:paraId="698F75F1" w14:textId="43415FF4" w:rsidR="000F108B" w:rsidRDefault="0008172E" w:rsidP="003F4439">
      <w:pPr>
        <w:spacing w:line="480" w:lineRule="auto"/>
      </w:pPr>
      <w:r>
        <w:rPr>
          <w:noProof/>
        </w:rPr>
        <w:lastRenderedPageBreak/>
        <mc:AlternateContent>
          <mc:Choice Requires="wpg">
            <w:drawing>
              <wp:anchor distT="0" distB="0" distL="114300" distR="114300" simplePos="0" relativeHeight="251666432" behindDoc="0" locked="0" layoutInCell="1" allowOverlap="1" wp14:anchorId="3E0AF44C" wp14:editId="2BB7B122">
                <wp:simplePos x="0" y="0"/>
                <wp:positionH relativeFrom="column">
                  <wp:posOffset>-696191</wp:posOffset>
                </wp:positionH>
                <wp:positionV relativeFrom="paragraph">
                  <wp:posOffset>-914400</wp:posOffset>
                </wp:positionV>
                <wp:extent cx="7769915" cy="10879281"/>
                <wp:effectExtent l="0" t="0" r="15240" b="17780"/>
                <wp:wrapNone/>
                <wp:docPr id="797760558" name="Group 23"/>
                <wp:cNvGraphicFramePr/>
                <a:graphic xmlns:a="http://schemas.openxmlformats.org/drawingml/2006/main">
                  <a:graphicData uri="http://schemas.microsoft.com/office/word/2010/wordprocessingGroup">
                    <wpg:wgp>
                      <wpg:cNvGrpSpPr/>
                      <wpg:grpSpPr>
                        <a:xfrm>
                          <a:off x="0" y="0"/>
                          <a:ext cx="7769915" cy="10879281"/>
                          <a:chOff x="0" y="0"/>
                          <a:chExt cx="7769915" cy="10684828"/>
                        </a:xfrm>
                      </wpg:grpSpPr>
                      <wps:wsp>
                        <wps:cNvPr id="1226929101" name="Rectangle 15"/>
                        <wps:cNvSpPr/>
                        <wps:spPr>
                          <a:xfrm>
                            <a:off x="0" y="0"/>
                            <a:ext cx="7766235" cy="10681708"/>
                          </a:xfrm>
                          <a:prstGeom prst="rect">
                            <a:avLst/>
                          </a:prstGeom>
                          <a:gradFill>
                            <a:gsLst>
                              <a:gs pos="0">
                                <a:schemeClr val="tx1">
                                  <a:alpha val="12000"/>
                                </a:schemeClr>
                              </a:gs>
                              <a:gs pos="100000">
                                <a:schemeClr val="tx1">
                                  <a:alpha val="7000"/>
                                </a:schemeClr>
                              </a:gs>
                            </a:gsLst>
                          </a:gradFill>
                          <a:ln>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139155" name="Triangle 16"/>
                        <wps:cNvSpPr/>
                        <wps:spPr>
                          <a:xfrm>
                            <a:off x="2642755" y="6120246"/>
                            <a:ext cx="4998615" cy="4564582"/>
                          </a:xfrm>
                          <a:prstGeom prst="triangle">
                            <a:avLst>
                              <a:gd name="adj" fmla="val 50334"/>
                            </a:avLst>
                          </a:prstGeom>
                          <a:gradFill>
                            <a:gsLst>
                              <a:gs pos="6000">
                                <a:schemeClr val="bg1">
                                  <a:lumMod val="85000"/>
                                  <a:alpha val="11000"/>
                                </a:schemeClr>
                              </a:gs>
                              <a:gs pos="100000">
                                <a:schemeClr val="bg1">
                                  <a:lumMod val="95000"/>
                                  <a:alpha val="29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0089391" name="Straight Connector 17"/>
                        <wps:cNvCnPr/>
                        <wps:spPr>
                          <a:xfrm flipH="1">
                            <a:off x="2246746" y="12700"/>
                            <a:ext cx="5523089" cy="10665332"/>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1417546258" name="Straight Connector 18"/>
                        <wps:cNvCnPr/>
                        <wps:spPr>
                          <a:xfrm>
                            <a:off x="5104246" y="5135418"/>
                            <a:ext cx="2665669" cy="4934965"/>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1496416382" name="Triangle 16"/>
                        <wps:cNvSpPr/>
                        <wps:spPr>
                          <a:xfrm>
                            <a:off x="3497119" y="7491846"/>
                            <a:ext cx="3360593" cy="3121143"/>
                          </a:xfrm>
                          <a:prstGeom prst="triangle">
                            <a:avLst/>
                          </a:prstGeom>
                          <a:gradFill>
                            <a:gsLst>
                              <a:gs pos="6000">
                                <a:schemeClr val="bg1">
                                  <a:lumMod val="85000"/>
                                  <a:alpha val="11000"/>
                                </a:schemeClr>
                              </a:gs>
                              <a:gs pos="100000">
                                <a:schemeClr val="bg1">
                                  <a:lumMod val="95000"/>
                                  <a:alpha val="40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265562" name="Triangle 16"/>
                        <wps:cNvSpPr/>
                        <wps:spPr>
                          <a:xfrm flipV="1">
                            <a:off x="1273464" y="10391"/>
                            <a:ext cx="5957918" cy="5875809"/>
                          </a:xfrm>
                          <a:prstGeom prst="triangle">
                            <a:avLst>
                              <a:gd name="adj" fmla="val 50334"/>
                            </a:avLst>
                          </a:prstGeom>
                          <a:gradFill>
                            <a:gsLst>
                              <a:gs pos="6000">
                                <a:schemeClr val="bg1">
                                  <a:lumMod val="85000"/>
                                  <a:alpha val="11000"/>
                                </a:schemeClr>
                              </a:gs>
                              <a:gs pos="100000">
                                <a:schemeClr val="bg1">
                                  <a:lumMod val="95000"/>
                                  <a:alpha val="29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5343781" name="Straight Connector 19"/>
                        <wps:cNvCnPr/>
                        <wps:spPr>
                          <a:xfrm flipH="1" flipV="1">
                            <a:off x="615373" y="12700"/>
                            <a:ext cx="3630966" cy="6690116"/>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1236648978" name="Triangle 16"/>
                        <wps:cNvSpPr/>
                        <wps:spPr>
                          <a:xfrm flipV="1">
                            <a:off x="2086264" y="0"/>
                            <a:ext cx="4297657" cy="4174251"/>
                          </a:xfrm>
                          <a:prstGeom prst="triangle">
                            <a:avLst/>
                          </a:prstGeom>
                          <a:gradFill>
                            <a:gsLst>
                              <a:gs pos="6000">
                                <a:schemeClr val="bg1">
                                  <a:lumMod val="95000"/>
                                  <a:alpha val="6000"/>
                                </a:schemeClr>
                              </a:gs>
                              <a:gs pos="100000">
                                <a:schemeClr val="bg1">
                                  <a:alpha val="34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3476942" name="Triangle 16"/>
                        <wps:cNvSpPr/>
                        <wps:spPr>
                          <a:xfrm rot="5400000" flipV="1">
                            <a:off x="4381500" y="4537364"/>
                            <a:ext cx="5406279" cy="1239289"/>
                          </a:xfrm>
                          <a:prstGeom prst="triangle">
                            <a:avLst/>
                          </a:prstGeom>
                          <a:gradFill>
                            <a:gsLst>
                              <a:gs pos="6000">
                                <a:schemeClr val="bg1">
                                  <a:lumMod val="95000"/>
                                  <a:alpha val="18000"/>
                                </a:schemeClr>
                              </a:gs>
                              <a:gs pos="100000">
                                <a:schemeClr val="bg1">
                                  <a:alpha val="42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1AC7065" id="Group 23" o:spid="_x0000_s1026" style="position:absolute;margin-left:-54.8pt;margin-top:-1in;width:611.8pt;height:856.65pt;z-index:251666432;mso-height-relative:margin" coordsize="77699,1068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">
                <v:rect id="Rectangle 15" o:spid="_x0000_s1027" style="position:absolute;width:77662;height:1068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" fillcolor="black [3213]" strokecolor="white [3212]" strokeweight=".5pt">
                  <v:fill opacity="7864f" color2="black [3213]" o:opacity2="4587f" rotate="t" focus="100%" type="gradient">
                    <o:fill v:ext="view" type="gradientUnscaled"/>
                  </v:fill>
                </v:rect>
                <v:shape id="Triangle 16" o:spid="_x0000_s1028" type="#_x0000_t5" style="position:absolute;left:26427;top:61202;width:49986;height:456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" adj="10872" fillcolor="#d8d8d8 [2732]" stroked="f" strokeweight=".5pt">
                  <v:fill opacity="19005f" color2="#f2f2f2 [3052]" o:opacity2="7208f" rotate="t" colors="0 #d9d9d9;3932f #d9d9d9" focus="100%" type="gradient">
                    <o:fill v:ext="view" type="gradientUnscaled"/>
                  </v:fill>
                </v:shape>
                <v:line id="Straight Connector 17" o:spid="_x0000_s1029" style="position:absolute;flip:x;visibility:visible;mso-wrap-style:square" from="22467,127" to="77698,1067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" strokecolor="white [3212]" strokeweight="1pt">
                  <v:stroke joinstyle="miter"/>
                </v:line>
                <v:line id="Straight Connector 18" o:spid="_x0000_s1030" style="position:absolute;visibility:visible;mso-wrap-style:square" from="51042,51354" to="77699,1007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" strokecolor="white [3212]" strokeweight="1pt">
                  <v:stroke joinstyle="miter"/>
                </v:line>
                <v:shape id="Triangle 16" o:spid="_x0000_s1031" type="#_x0000_t5" style="position:absolute;left:34971;top:74918;width:33606;height:3121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" fillcolor="#d8d8d8 [2732]" stroked="f" strokeweight=".5pt">
                  <v:fill opacity="26214f" color2="#f2f2f2 [3052]" o:opacity2="7208f" rotate="t" colors="0 #d9d9d9;3932f #d9d9d9" focus="100%" type="gradient">
                    <o:fill v:ext="view" type="gradientUnscaled"/>
                  </v:fill>
                </v:shape>
                <v:shape id="Triangle 16" o:spid="_x0000_s1032" type="#_x0000_t5" style="position:absolute;left:12734;top:103;width:59579;height:5875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" adj="10872" fillcolor="#d8d8d8 [2732]" stroked="f" strokeweight=".5pt">
                  <v:fill opacity="19005f" color2="#f2f2f2 [3052]" o:opacity2="7208f" rotate="t" colors="0 #d9d9d9;3932f #d9d9d9" focus="100%" type="gradient">
                    <o:fill v:ext="view" type="gradientUnscaled"/>
                  </v:fill>
                </v:shape>
                <v:line id="Straight Connector 19" o:spid="_x0000_s1033" style="position:absolute;flip:x y;visibility:visible;mso-wrap-style:square" from="6153,127" to="42463,670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" strokecolor="white [3212]" strokeweight="1pt">
                  <v:stroke joinstyle="miter"/>
                </v:line>
                <v:shape id="Triangle 16" o:spid="_x0000_s1034" type="#_x0000_t5" style="position:absolute;left:20862;width:42977;height:41742;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" fillcolor="#f2f2f2 [3052]" stroked="f" strokeweight=".5pt">
                  <v:fill opacity="22282f" color2="white [3212]" o:opacity2="3932f" rotate="t" colors="0 #f2f2f2;3932f #f2f2f2" focus="100%" type="gradient">
                    <o:fill v:ext="view" type="gradientUnscaled"/>
                  </v:fill>
                </v:shape>
                <v:shape id="Triangle 16" o:spid="_x0000_s1035" type="#_x0000_t5" style="position:absolute;left:43814;top:45373;width:54063;height:12393;rotation:-90;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" fillcolor="#f2f2f2 [3052]" stroked="f" strokeweight=".5pt">
                  <v:fill opacity="27525f" color2="white [3212]" o:opacity2="11796f" rotate="t" colors="0 #f2f2f2;3932f #f2f2f2" focus="100%" type="gradient">
                    <o:fill v:ext="view" type="gradientUnscaled"/>
                  </v:fill>
                </v:shape>
              </v:group>
            </w:pict>
          </mc:Fallback>
        </mc:AlternateContent>
      </w:r>
      <w:r>
        <w:rPr>
          <w:noProof/>
        </w:rPr>
        <w:drawing>
          <wp:anchor distT="0" distB="0" distL="114300" distR="114300" simplePos="0" relativeHeight="251664384" behindDoc="0" locked="0" layoutInCell="1" allowOverlap="1" wp14:anchorId="0BC63395" wp14:editId="34135428">
            <wp:simplePos x="0" y="0"/>
            <wp:positionH relativeFrom="column">
              <wp:posOffset>-696191</wp:posOffset>
            </wp:positionH>
            <wp:positionV relativeFrom="paragraph">
              <wp:posOffset>-914400</wp:posOffset>
            </wp:positionV>
            <wp:extent cx="7585364" cy="10881126"/>
            <wp:effectExtent l="0" t="0" r="0" b="3175"/>
            <wp:wrapNone/>
            <wp:docPr id="1041205037" name="Picture 13" descr="A gavel and books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205037" name="Picture 13" descr="A gavel and books on a table&#10;&#10;AI-generated content may be incorrect."/>
                    <pic:cNvPicPr/>
                  </pic:nvPicPr>
                  <pic:blipFill rotWithShape="1">
                    <a:blip r:embed="rId8">
                      <a:extLst>
                        <a:ext uri="{28A0092B-C50C-407E-A947-70E740481C1C}">
                          <a14:useLocalDpi xmlns:a14="http://schemas.microsoft.com/office/drawing/2010/main" val="0"/>
                        </a:ext>
                      </a:extLst>
                    </a:blip>
                    <a:srcRect l="15605" r="13844" b="2422"/>
                    <a:stretch>
                      <a:fillRect/>
                    </a:stretch>
                  </pic:blipFill>
                  <pic:spPr bwMode="auto">
                    <a:xfrm>
                      <a:off x="0" y="0"/>
                      <a:ext cx="7594767" cy="10894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0F108B" w:rsidSect="00334ADB">
      <w:footerReference w:type="even" r:id="rId9"/>
      <w:footerReference w:type="default" r:id="rId10"/>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FEE564" w14:textId="77777777" w:rsidR="00807641" w:rsidRDefault="00807641" w:rsidP="00334ADB">
      <w:pPr>
        <w:spacing w:after="0" w:line="240" w:lineRule="auto"/>
      </w:pPr>
      <w:r>
        <w:separator/>
      </w:r>
    </w:p>
  </w:endnote>
  <w:endnote w:type="continuationSeparator" w:id="0">
    <w:p w14:paraId="4CA04DE7" w14:textId="77777777" w:rsidR="00807641" w:rsidRDefault="00807641" w:rsidP="00334A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roman"/>
    <w:notTrueType/>
    <w:pitch w:val="default"/>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31162930"/>
      <w:docPartObj>
        <w:docPartGallery w:val="Page Numbers (Bottom of Page)"/>
        <w:docPartUnique/>
      </w:docPartObj>
    </w:sdtPr>
    <w:sdtEndPr>
      <w:rPr>
        <w:rStyle w:val="PageNumber"/>
      </w:rPr>
    </w:sdtEndPr>
    <w:sdtContent>
      <w:p w14:paraId="4E6ABFC8" w14:textId="3653FED2" w:rsidR="00334ADB" w:rsidRDefault="00334ADB" w:rsidP="00334AD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7D0A742B" w14:textId="77777777" w:rsidR="00334ADB" w:rsidRDefault="00334ADB" w:rsidP="00334AD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63142190"/>
      <w:docPartObj>
        <w:docPartGallery w:val="Page Numbers (Bottom of Page)"/>
        <w:docPartUnique/>
      </w:docPartObj>
    </w:sdtPr>
    <w:sdtEndPr>
      <w:rPr>
        <w:rStyle w:val="PageNumber"/>
      </w:rPr>
    </w:sdtEndPr>
    <w:sdtContent>
      <w:p w14:paraId="4F10805D" w14:textId="47D4AD6A" w:rsidR="00334ADB" w:rsidRDefault="00334ADB" w:rsidP="00334ADB">
        <w:pPr>
          <w:pStyle w:val="Footer"/>
          <w:framePr w:wrap="none" w:vAnchor="text" w:hAnchor="page" w:x="9623" w:y="-3"/>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41B0F5DF" w14:textId="3B5C3048" w:rsidR="00334ADB" w:rsidRDefault="00334ADB" w:rsidP="00334ADB">
    <w:pPr>
      <w:pStyle w:val="Footer"/>
      <w:ind w:right="360"/>
      <w:jc w:val="right"/>
    </w:pPr>
    <w:r>
      <w:t>| 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A682EB" w14:textId="77777777" w:rsidR="00807641" w:rsidRDefault="00807641" w:rsidP="00334ADB">
      <w:pPr>
        <w:spacing w:after="0" w:line="240" w:lineRule="auto"/>
      </w:pPr>
      <w:r>
        <w:separator/>
      </w:r>
    </w:p>
  </w:footnote>
  <w:footnote w:type="continuationSeparator" w:id="0">
    <w:p w14:paraId="4C30A9F4" w14:textId="77777777" w:rsidR="00807641" w:rsidRDefault="00807641" w:rsidP="00334ADB">
      <w:pPr>
        <w:spacing w:after="0" w:line="240" w:lineRule="auto"/>
      </w:pPr>
      <w:r>
        <w:continuationSeparator/>
      </w:r>
    </w:p>
  </w:footnote>
  <w:footnote w:id="1">
    <w:p w14:paraId="04ABD69A" w14:textId="0DF6BE76" w:rsidR="003F4439" w:rsidRDefault="003F4439">
      <w:pPr>
        <w:pStyle w:val="FootnoteText"/>
      </w:pPr>
      <w:r>
        <w:rPr>
          <w:rStyle w:val="FootnoteReference"/>
        </w:rPr>
        <w:footnoteRef/>
      </w:r>
      <w:r>
        <w:t xml:space="preserve"> </w:t>
      </w:r>
      <w:r w:rsidRPr="003F4439">
        <w:rPr>
          <w:i/>
          <w:iCs/>
        </w:rPr>
        <w:t>He Kaw Teh v The Queen</w:t>
      </w:r>
      <w:r w:rsidRPr="003F4439">
        <w:t xml:space="preserve"> (1985) 157 CLR 523.</w:t>
      </w:r>
    </w:p>
  </w:footnote>
  <w:footnote w:id="2">
    <w:p w14:paraId="0461199E" w14:textId="7A161558" w:rsidR="003F4439" w:rsidRDefault="003F4439">
      <w:pPr>
        <w:pStyle w:val="FootnoteText"/>
      </w:pPr>
      <w:r>
        <w:rPr>
          <w:rStyle w:val="FootnoteReference"/>
        </w:rPr>
        <w:footnoteRef/>
      </w:r>
      <w:r>
        <w:t xml:space="preserve"> </w:t>
      </w:r>
      <w:r w:rsidRPr="003F4439">
        <w:rPr>
          <w:i/>
          <w:iCs/>
        </w:rPr>
        <w:t>Crimes Act 1900</w:t>
      </w:r>
      <w:r w:rsidRPr="003F4439">
        <w:t xml:space="preserve"> (NSW) ss 418- 423.</w:t>
      </w:r>
    </w:p>
  </w:footnote>
  <w:footnote w:id="3">
    <w:p w14:paraId="2024F380" w14:textId="4B8158F3" w:rsidR="003F4439" w:rsidRDefault="003F4439">
      <w:pPr>
        <w:pStyle w:val="FootnoteText"/>
      </w:pPr>
      <w:r>
        <w:rPr>
          <w:rStyle w:val="FootnoteReference"/>
        </w:rPr>
        <w:footnoteRef/>
      </w:r>
      <w:r>
        <w:t xml:space="preserve"> </w:t>
      </w:r>
      <w:r w:rsidRPr="003F4439">
        <w:rPr>
          <w:i/>
          <w:iCs/>
        </w:rPr>
        <w:t>Zecevic v Director of Public Prosecutions</w:t>
      </w:r>
      <w:r w:rsidRPr="003F4439">
        <w:t xml:space="preserve"> (1987) 162 CLR 645.</w:t>
      </w:r>
    </w:p>
  </w:footnote>
  <w:footnote w:id="4">
    <w:p w14:paraId="5B935F60" w14:textId="4ACF075E" w:rsidR="003F4439" w:rsidRDefault="003F4439">
      <w:pPr>
        <w:pStyle w:val="FootnoteText"/>
      </w:pPr>
      <w:r>
        <w:rPr>
          <w:rStyle w:val="FootnoteReference"/>
        </w:rPr>
        <w:footnoteRef/>
      </w:r>
      <w:r>
        <w:t xml:space="preserve"> </w:t>
      </w:r>
      <w:r w:rsidRPr="003F4439">
        <w:rPr>
          <w:i/>
          <w:iCs/>
        </w:rPr>
        <w:t>Osland v The Queen</w:t>
      </w:r>
      <w:r w:rsidRPr="003F4439">
        <w:t xml:space="preserve"> (1998) 197 CLR 316.</w:t>
      </w:r>
    </w:p>
  </w:footnote>
  <w:footnote w:id="5">
    <w:p w14:paraId="6ABB04EB" w14:textId="09F16FF4" w:rsidR="003F4439" w:rsidRDefault="003F4439">
      <w:pPr>
        <w:pStyle w:val="FootnoteText"/>
      </w:pPr>
      <w:r>
        <w:rPr>
          <w:rStyle w:val="FootnoteReference"/>
        </w:rPr>
        <w:footnoteRef/>
      </w:r>
      <w:r>
        <w:t xml:space="preserve"> </w:t>
      </w:r>
      <w:r w:rsidRPr="003F4439">
        <w:rPr>
          <w:i/>
          <w:iCs/>
        </w:rPr>
        <w:t>M’Naghten’s Case</w:t>
      </w:r>
      <w:r w:rsidRPr="003F4439">
        <w:t xml:space="preserve"> (1843) 10 Cl &amp; Fin 200; 8 ER 718.</w:t>
      </w:r>
    </w:p>
  </w:footnote>
  <w:footnote w:id="6">
    <w:p w14:paraId="077D9F8A" w14:textId="56F89AE9" w:rsidR="003F4439" w:rsidRDefault="003F4439">
      <w:pPr>
        <w:pStyle w:val="FootnoteText"/>
      </w:pPr>
      <w:r>
        <w:rPr>
          <w:rStyle w:val="FootnoteReference"/>
        </w:rPr>
        <w:footnoteRef/>
      </w:r>
      <w:r>
        <w:t xml:space="preserve"> </w:t>
      </w:r>
      <w:r w:rsidRPr="003F4439">
        <w:rPr>
          <w:i/>
          <w:iCs/>
        </w:rPr>
        <w:t>R v Porter</w:t>
      </w:r>
      <w:r w:rsidRPr="003F4439">
        <w:t xml:space="preserve"> (1933) 55 CLR 182.</w:t>
      </w:r>
    </w:p>
  </w:footnote>
  <w:footnote w:id="7">
    <w:p w14:paraId="18460B34" w14:textId="77675554" w:rsidR="003F4439" w:rsidRDefault="003F4439">
      <w:pPr>
        <w:pStyle w:val="FootnoteText"/>
      </w:pPr>
      <w:r>
        <w:rPr>
          <w:rStyle w:val="FootnoteReference"/>
        </w:rPr>
        <w:footnoteRef/>
      </w:r>
      <w:r>
        <w:t xml:space="preserve"> </w:t>
      </w:r>
      <w:r w:rsidRPr="003F4439">
        <w:rPr>
          <w:i/>
          <w:iCs/>
        </w:rPr>
        <w:t>Mental Health and Cognitive Impairment Forensic Provisions Act 2020</w:t>
      </w:r>
      <w:r w:rsidRPr="003F4439">
        <w:t xml:space="preserve"> (NSW).</w:t>
      </w:r>
    </w:p>
  </w:footnote>
  <w:footnote w:id="8">
    <w:p w14:paraId="61C3AA78" w14:textId="454DC3A3" w:rsidR="003F4439" w:rsidRDefault="003F4439">
      <w:pPr>
        <w:pStyle w:val="FootnoteText"/>
      </w:pPr>
      <w:r>
        <w:rPr>
          <w:rStyle w:val="FootnoteReference"/>
        </w:rPr>
        <w:footnoteRef/>
      </w:r>
      <w:r>
        <w:t xml:space="preserve"> </w:t>
      </w:r>
      <w:r w:rsidRPr="003F4439">
        <w:rPr>
          <w:i/>
          <w:iCs/>
        </w:rPr>
        <w:t>Crimes Act 1900</w:t>
      </w:r>
      <w:r w:rsidRPr="003F4439">
        <w:t xml:space="preserve"> (NSW) s 23A.</w:t>
      </w:r>
    </w:p>
  </w:footnote>
  <w:footnote w:id="9">
    <w:p w14:paraId="21489C9E" w14:textId="2A7ABD32" w:rsidR="008A7E07" w:rsidRDefault="008A7E07">
      <w:pPr>
        <w:pStyle w:val="FootnoteText"/>
      </w:pPr>
      <w:r>
        <w:rPr>
          <w:rStyle w:val="FootnoteReference"/>
        </w:rPr>
        <w:footnoteRef/>
      </w:r>
      <w:r>
        <w:t xml:space="preserve"> </w:t>
      </w:r>
      <w:r w:rsidRPr="008A7E07">
        <w:rPr>
          <w:i/>
          <w:iCs/>
        </w:rPr>
        <w:t>Green v The Queen</w:t>
      </w:r>
      <w:r w:rsidRPr="008A7E07">
        <w:t xml:space="preserve"> (1997) 191 CLR 334.</w:t>
      </w:r>
    </w:p>
  </w:footnote>
  <w:footnote w:id="10">
    <w:p w14:paraId="1DDC0235" w14:textId="41702AB9" w:rsidR="008A7E07" w:rsidRDefault="008A7E07">
      <w:pPr>
        <w:pStyle w:val="FootnoteText"/>
      </w:pPr>
      <w:r>
        <w:rPr>
          <w:rStyle w:val="FootnoteReference"/>
        </w:rPr>
        <w:footnoteRef/>
      </w:r>
      <w:r>
        <w:t xml:space="preserve"> </w:t>
      </w:r>
      <w:r w:rsidRPr="008A7E07">
        <w:rPr>
          <w:i/>
          <w:iCs/>
        </w:rPr>
        <w:t>R v Singh</w:t>
      </w:r>
      <w:r w:rsidRPr="008A7E07">
        <w:t xml:space="preserve"> [2012] NSWSC 637.</w:t>
      </w:r>
    </w:p>
  </w:footnote>
  <w:footnote w:id="11">
    <w:p w14:paraId="0F883C32" w14:textId="7CF79923" w:rsidR="008A7E07" w:rsidRDefault="008A7E07">
      <w:pPr>
        <w:pStyle w:val="FootnoteText"/>
      </w:pPr>
      <w:r>
        <w:rPr>
          <w:rStyle w:val="FootnoteReference"/>
        </w:rPr>
        <w:footnoteRef/>
      </w:r>
      <w:r>
        <w:t xml:space="preserve"> </w:t>
      </w:r>
      <w:r w:rsidRPr="008A7E07">
        <w:t xml:space="preserve">NSW Law Reform Commission, </w:t>
      </w:r>
      <w:r w:rsidRPr="008A7E07">
        <w:rPr>
          <w:i/>
          <w:iCs/>
        </w:rPr>
        <w:t>Partial Defences to Murder</w:t>
      </w:r>
      <w:r w:rsidRPr="008A7E07">
        <w:t>, Report 138 (2013).</w:t>
      </w:r>
      <w:r>
        <w:t xml:space="preserve"> </w:t>
      </w:r>
      <w:hyperlink r:id="rId1" w:history="1">
        <w:r w:rsidRPr="00015F99">
          <w:rPr>
            <w:rStyle w:val="Hyperlink"/>
          </w:rPr>
          <w:t>https://lawreform.nsw.gov.au/documents/Publications/Reports/Report-138.pdf</w:t>
        </w:r>
      </w:hyperlink>
      <w:r>
        <w:t xml:space="preserve"> </w:t>
      </w:r>
    </w:p>
  </w:footnote>
  <w:footnote w:id="12">
    <w:p w14:paraId="4D19FEA9" w14:textId="303B5168" w:rsidR="001D074F" w:rsidRDefault="001D074F">
      <w:pPr>
        <w:pStyle w:val="FootnoteText"/>
      </w:pPr>
      <w:r>
        <w:rPr>
          <w:rStyle w:val="FootnoteReference"/>
        </w:rPr>
        <w:footnoteRef/>
      </w:r>
      <w:r>
        <w:t xml:space="preserve"> </w:t>
      </w:r>
      <w:r w:rsidRPr="001D074F">
        <w:rPr>
          <w:i/>
          <w:iCs/>
        </w:rPr>
        <w:t>Crimes Amendment (Provocation) Act 2014</w:t>
      </w:r>
      <w:r w:rsidRPr="001D074F">
        <w:t xml:space="preserve"> (NSW).</w:t>
      </w:r>
    </w:p>
  </w:footnote>
  <w:footnote w:id="13">
    <w:p w14:paraId="24F1FF11" w14:textId="25CAF06C" w:rsidR="001D074F" w:rsidRDefault="001D074F">
      <w:pPr>
        <w:pStyle w:val="FootnoteText"/>
      </w:pPr>
      <w:r>
        <w:rPr>
          <w:rStyle w:val="FootnoteReference"/>
        </w:rPr>
        <w:footnoteRef/>
      </w:r>
      <w:r>
        <w:t xml:space="preserve"> </w:t>
      </w:r>
      <w:r w:rsidRPr="001D074F">
        <w:rPr>
          <w:i/>
          <w:iCs/>
        </w:rPr>
        <w:t>Criminal Code Act 1995</w:t>
      </w:r>
      <w:r w:rsidRPr="001D074F">
        <w:t xml:space="preserve"> (Cth) s 10.2.</w:t>
      </w:r>
    </w:p>
  </w:footnote>
  <w:footnote w:id="14">
    <w:p w14:paraId="2E43F57A" w14:textId="4AC26736" w:rsidR="001D074F" w:rsidRDefault="001D074F">
      <w:pPr>
        <w:pStyle w:val="FootnoteText"/>
      </w:pPr>
      <w:r>
        <w:rPr>
          <w:rStyle w:val="FootnoteReference"/>
        </w:rPr>
        <w:footnoteRef/>
      </w:r>
      <w:r>
        <w:t xml:space="preserve"> </w:t>
      </w:r>
      <w:r w:rsidRPr="001D074F">
        <w:rPr>
          <w:i/>
          <w:iCs/>
        </w:rPr>
        <w:t>R v Loughnan</w:t>
      </w:r>
      <w:r w:rsidRPr="001D074F">
        <w:t xml:space="preserve"> [1981] VR 443.</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08B"/>
    <w:rsid w:val="000537FD"/>
    <w:rsid w:val="0007301A"/>
    <w:rsid w:val="0008172E"/>
    <w:rsid w:val="000A4193"/>
    <w:rsid w:val="000A7F76"/>
    <w:rsid w:val="000B2023"/>
    <w:rsid w:val="000D128E"/>
    <w:rsid w:val="000F108B"/>
    <w:rsid w:val="00111C95"/>
    <w:rsid w:val="00134090"/>
    <w:rsid w:val="00147DC9"/>
    <w:rsid w:val="00175486"/>
    <w:rsid w:val="001A3BD0"/>
    <w:rsid w:val="001B7DFD"/>
    <w:rsid w:val="001D074F"/>
    <w:rsid w:val="001F059D"/>
    <w:rsid w:val="001F7F8C"/>
    <w:rsid w:val="0021596B"/>
    <w:rsid w:val="00220042"/>
    <w:rsid w:val="0023078B"/>
    <w:rsid w:val="00240E95"/>
    <w:rsid w:val="00285268"/>
    <w:rsid w:val="00294CA4"/>
    <w:rsid w:val="002F23C0"/>
    <w:rsid w:val="00300E0C"/>
    <w:rsid w:val="00303B2B"/>
    <w:rsid w:val="0032017D"/>
    <w:rsid w:val="00334ADB"/>
    <w:rsid w:val="00341B1E"/>
    <w:rsid w:val="00344A17"/>
    <w:rsid w:val="00356093"/>
    <w:rsid w:val="00384913"/>
    <w:rsid w:val="003A02E1"/>
    <w:rsid w:val="003A1CFB"/>
    <w:rsid w:val="003B7C76"/>
    <w:rsid w:val="003C2E5F"/>
    <w:rsid w:val="003E43B4"/>
    <w:rsid w:val="003E5165"/>
    <w:rsid w:val="003E7BC4"/>
    <w:rsid w:val="003F4439"/>
    <w:rsid w:val="00405FCE"/>
    <w:rsid w:val="00420020"/>
    <w:rsid w:val="00422484"/>
    <w:rsid w:val="00441D9A"/>
    <w:rsid w:val="004428B7"/>
    <w:rsid w:val="00454AE5"/>
    <w:rsid w:val="0046317F"/>
    <w:rsid w:val="00464656"/>
    <w:rsid w:val="0046610A"/>
    <w:rsid w:val="00480B5D"/>
    <w:rsid w:val="00482078"/>
    <w:rsid w:val="00483774"/>
    <w:rsid w:val="00483FDC"/>
    <w:rsid w:val="004D2AC4"/>
    <w:rsid w:val="004D4240"/>
    <w:rsid w:val="004E3D64"/>
    <w:rsid w:val="004E66C5"/>
    <w:rsid w:val="00531BB6"/>
    <w:rsid w:val="00537858"/>
    <w:rsid w:val="00553DD0"/>
    <w:rsid w:val="00564DFA"/>
    <w:rsid w:val="00571DCD"/>
    <w:rsid w:val="00580005"/>
    <w:rsid w:val="00580B86"/>
    <w:rsid w:val="0058507A"/>
    <w:rsid w:val="00596E11"/>
    <w:rsid w:val="005A6F4D"/>
    <w:rsid w:val="005D092F"/>
    <w:rsid w:val="005E1FFE"/>
    <w:rsid w:val="00601F4E"/>
    <w:rsid w:val="00602F53"/>
    <w:rsid w:val="006059CA"/>
    <w:rsid w:val="00610E85"/>
    <w:rsid w:val="006137B4"/>
    <w:rsid w:val="00617F15"/>
    <w:rsid w:val="00621706"/>
    <w:rsid w:val="00630EB4"/>
    <w:rsid w:val="00634D86"/>
    <w:rsid w:val="00691C4F"/>
    <w:rsid w:val="006A57EB"/>
    <w:rsid w:val="006B0791"/>
    <w:rsid w:val="006B7BEF"/>
    <w:rsid w:val="006C458F"/>
    <w:rsid w:val="006C6C4C"/>
    <w:rsid w:val="006F60E7"/>
    <w:rsid w:val="006F651C"/>
    <w:rsid w:val="00714231"/>
    <w:rsid w:val="00727A61"/>
    <w:rsid w:val="0076135F"/>
    <w:rsid w:val="0076785F"/>
    <w:rsid w:val="007769FF"/>
    <w:rsid w:val="007969BD"/>
    <w:rsid w:val="007A7FDF"/>
    <w:rsid w:val="007B1D20"/>
    <w:rsid w:val="007B71B0"/>
    <w:rsid w:val="007C4F96"/>
    <w:rsid w:val="007D2217"/>
    <w:rsid w:val="007F17E8"/>
    <w:rsid w:val="00806120"/>
    <w:rsid w:val="0080654C"/>
    <w:rsid w:val="00807641"/>
    <w:rsid w:val="008132C3"/>
    <w:rsid w:val="008215DC"/>
    <w:rsid w:val="00840943"/>
    <w:rsid w:val="00843BE6"/>
    <w:rsid w:val="0085433B"/>
    <w:rsid w:val="00893441"/>
    <w:rsid w:val="008A7E07"/>
    <w:rsid w:val="008B7194"/>
    <w:rsid w:val="008B7902"/>
    <w:rsid w:val="008F57CF"/>
    <w:rsid w:val="00901A2C"/>
    <w:rsid w:val="009035F2"/>
    <w:rsid w:val="009142C9"/>
    <w:rsid w:val="00924A66"/>
    <w:rsid w:val="00930211"/>
    <w:rsid w:val="0093046D"/>
    <w:rsid w:val="00944B71"/>
    <w:rsid w:val="00962EBB"/>
    <w:rsid w:val="009633FB"/>
    <w:rsid w:val="00967867"/>
    <w:rsid w:val="009929D2"/>
    <w:rsid w:val="00997C34"/>
    <w:rsid w:val="009C531C"/>
    <w:rsid w:val="009D06C6"/>
    <w:rsid w:val="009E1A7D"/>
    <w:rsid w:val="00A01517"/>
    <w:rsid w:val="00A036FD"/>
    <w:rsid w:val="00A03A12"/>
    <w:rsid w:val="00A0638E"/>
    <w:rsid w:val="00A502FB"/>
    <w:rsid w:val="00A540EA"/>
    <w:rsid w:val="00A830C0"/>
    <w:rsid w:val="00A97FC9"/>
    <w:rsid w:val="00AA3760"/>
    <w:rsid w:val="00AA67FB"/>
    <w:rsid w:val="00AD2504"/>
    <w:rsid w:val="00B02D14"/>
    <w:rsid w:val="00B15DDE"/>
    <w:rsid w:val="00B33213"/>
    <w:rsid w:val="00B46C49"/>
    <w:rsid w:val="00B832BA"/>
    <w:rsid w:val="00B868C3"/>
    <w:rsid w:val="00B97C02"/>
    <w:rsid w:val="00BA00F7"/>
    <w:rsid w:val="00BB66EB"/>
    <w:rsid w:val="00BC443F"/>
    <w:rsid w:val="00BC6547"/>
    <w:rsid w:val="00BD62C4"/>
    <w:rsid w:val="00BE5553"/>
    <w:rsid w:val="00C00C1E"/>
    <w:rsid w:val="00C41993"/>
    <w:rsid w:val="00C65049"/>
    <w:rsid w:val="00C8782D"/>
    <w:rsid w:val="00CB7B0F"/>
    <w:rsid w:val="00CE2659"/>
    <w:rsid w:val="00D1061C"/>
    <w:rsid w:val="00D30760"/>
    <w:rsid w:val="00D5782C"/>
    <w:rsid w:val="00D67988"/>
    <w:rsid w:val="00D75D0F"/>
    <w:rsid w:val="00D774EF"/>
    <w:rsid w:val="00D94C07"/>
    <w:rsid w:val="00DC1F28"/>
    <w:rsid w:val="00DC560D"/>
    <w:rsid w:val="00DE365C"/>
    <w:rsid w:val="00DE7698"/>
    <w:rsid w:val="00DF314C"/>
    <w:rsid w:val="00E00CF1"/>
    <w:rsid w:val="00E030D6"/>
    <w:rsid w:val="00E160C6"/>
    <w:rsid w:val="00E179B4"/>
    <w:rsid w:val="00E35F81"/>
    <w:rsid w:val="00E45958"/>
    <w:rsid w:val="00E6116E"/>
    <w:rsid w:val="00E6236F"/>
    <w:rsid w:val="00E660C7"/>
    <w:rsid w:val="00E95486"/>
    <w:rsid w:val="00EC40F3"/>
    <w:rsid w:val="00EE66F5"/>
    <w:rsid w:val="00EF7F99"/>
    <w:rsid w:val="00F05EA0"/>
    <w:rsid w:val="00F1081F"/>
    <w:rsid w:val="00F166DC"/>
    <w:rsid w:val="00F22977"/>
    <w:rsid w:val="00F310EE"/>
    <w:rsid w:val="00F3602A"/>
    <w:rsid w:val="00F52A96"/>
    <w:rsid w:val="00F6794E"/>
    <w:rsid w:val="00F74AD5"/>
    <w:rsid w:val="00F772BB"/>
    <w:rsid w:val="00F81255"/>
    <w:rsid w:val="00F972AD"/>
    <w:rsid w:val="00FA4E12"/>
    <w:rsid w:val="00FB2581"/>
    <w:rsid w:val="00FB5B18"/>
    <w:rsid w:val="00FD42E0"/>
    <w:rsid w:val="00FD531E"/>
    <w:rsid w:val="00FE034A"/>
    <w:rsid w:val="00FE6217"/>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F47C0F"/>
  <w15:chartTrackingRefBased/>
  <w15:docId w15:val="{5B7C685B-599E-F249-9F2E-FA1E023E8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59D"/>
    <w:pPr>
      <w:spacing w:after="240" w:line="360" w:lineRule="auto"/>
    </w:pPr>
    <w:rPr>
      <w:rFonts w:ascii="Times New Roman" w:hAnsi="Times New Roman" w:cs="Times New Roman"/>
      <w:sz w:val="22"/>
      <w:szCs w:val="22"/>
    </w:rPr>
  </w:style>
  <w:style w:type="paragraph" w:styleId="Heading1">
    <w:name w:val="heading 1"/>
    <w:basedOn w:val="Normal"/>
    <w:next w:val="Normal"/>
    <w:link w:val="Heading1Char"/>
    <w:uiPriority w:val="9"/>
    <w:qFormat/>
    <w:rsid w:val="001F059D"/>
    <w:pPr>
      <w:jc w:val="center"/>
      <w:outlineLvl w:val="0"/>
    </w:pPr>
    <w:rPr>
      <w:color w:val="215E99" w:themeColor="text2" w:themeTint="BF"/>
      <w:sz w:val="28"/>
      <w:szCs w:val="28"/>
    </w:rPr>
  </w:style>
  <w:style w:type="paragraph" w:styleId="Heading2">
    <w:name w:val="heading 2"/>
    <w:basedOn w:val="Normal"/>
    <w:next w:val="Normal"/>
    <w:link w:val="Heading2Char"/>
    <w:uiPriority w:val="9"/>
    <w:unhideWhenUsed/>
    <w:qFormat/>
    <w:rsid w:val="001F059D"/>
    <w:pPr>
      <w:outlineLvl w:val="1"/>
    </w:pPr>
    <w:rPr>
      <w:i/>
      <w:iCs/>
      <w:u w:val="single"/>
    </w:rPr>
  </w:style>
  <w:style w:type="paragraph" w:styleId="Heading3">
    <w:name w:val="heading 3"/>
    <w:basedOn w:val="Normal"/>
    <w:next w:val="Normal"/>
    <w:link w:val="Heading3Char"/>
    <w:uiPriority w:val="9"/>
    <w:semiHidden/>
    <w:unhideWhenUsed/>
    <w:qFormat/>
    <w:rsid w:val="000F108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F108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F108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F108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F108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F108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F108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059D"/>
    <w:rPr>
      <w:rFonts w:ascii="Times New Roman" w:hAnsi="Times New Roman" w:cs="Times New Roman"/>
      <w:color w:val="215E99" w:themeColor="text2" w:themeTint="BF"/>
      <w:sz w:val="28"/>
      <w:szCs w:val="28"/>
    </w:rPr>
  </w:style>
  <w:style w:type="character" w:customStyle="1" w:styleId="Heading2Char">
    <w:name w:val="Heading 2 Char"/>
    <w:basedOn w:val="DefaultParagraphFont"/>
    <w:link w:val="Heading2"/>
    <w:uiPriority w:val="9"/>
    <w:rsid w:val="001F059D"/>
    <w:rPr>
      <w:rFonts w:ascii="Times New Roman" w:hAnsi="Times New Roman" w:cs="Times New Roman"/>
      <w:i/>
      <w:iCs/>
      <w:sz w:val="22"/>
      <w:szCs w:val="22"/>
      <w:u w:val="single"/>
    </w:rPr>
  </w:style>
  <w:style w:type="character" w:customStyle="1" w:styleId="Heading3Char">
    <w:name w:val="Heading 3 Char"/>
    <w:basedOn w:val="DefaultParagraphFont"/>
    <w:link w:val="Heading3"/>
    <w:uiPriority w:val="9"/>
    <w:semiHidden/>
    <w:rsid w:val="000F108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F108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F108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F108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F108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F108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F108B"/>
    <w:rPr>
      <w:rFonts w:eastAsiaTheme="majorEastAsia" w:cstheme="majorBidi"/>
      <w:color w:val="272727" w:themeColor="text1" w:themeTint="D8"/>
    </w:rPr>
  </w:style>
  <w:style w:type="paragraph" w:styleId="Title">
    <w:name w:val="Title"/>
    <w:basedOn w:val="Normal"/>
    <w:next w:val="Normal"/>
    <w:link w:val="TitleChar"/>
    <w:uiPriority w:val="10"/>
    <w:qFormat/>
    <w:rsid w:val="001F059D"/>
    <w:rPr>
      <w:color w:val="FFFFFF" w:themeColor="background1"/>
      <w:sz w:val="48"/>
      <w:szCs w:val="48"/>
    </w:rPr>
  </w:style>
  <w:style w:type="character" w:customStyle="1" w:styleId="TitleChar">
    <w:name w:val="Title Char"/>
    <w:basedOn w:val="DefaultParagraphFont"/>
    <w:link w:val="Title"/>
    <w:uiPriority w:val="10"/>
    <w:rsid w:val="001F059D"/>
    <w:rPr>
      <w:rFonts w:ascii="Times New Roman" w:hAnsi="Times New Roman" w:cs="Times New Roman"/>
      <w:color w:val="FFFFFF" w:themeColor="background1"/>
      <w:sz w:val="48"/>
      <w:szCs w:val="48"/>
    </w:rPr>
  </w:style>
  <w:style w:type="paragraph" w:styleId="Subtitle">
    <w:name w:val="Subtitle"/>
    <w:basedOn w:val="Normal"/>
    <w:next w:val="Normal"/>
    <w:link w:val="SubtitleChar"/>
    <w:uiPriority w:val="11"/>
    <w:qFormat/>
    <w:rsid w:val="001F059D"/>
    <w:rPr>
      <w:i/>
      <w:iCs/>
      <w:color w:val="FFFFFF" w:themeColor="background1"/>
      <w:sz w:val="36"/>
      <w:szCs w:val="36"/>
    </w:rPr>
  </w:style>
  <w:style w:type="character" w:customStyle="1" w:styleId="SubtitleChar">
    <w:name w:val="Subtitle Char"/>
    <w:basedOn w:val="DefaultParagraphFont"/>
    <w:link w:val="Subtitle"/>
    <w:uiPriority w:val="11"/>
    <w:rsid w:val="001F059D"/>
    <w:rPr>
      <w:rFonts w:ascii="Times New Roman" w:hAnsi="Times New Roman" w:cs="Times New Roman"/>
      <w:i/>
      <w:iCs/>
      <w:color w:val="FFFFFF" w:themeColor="background1"/>
      <w:sz w:val="36"/>
      <w:szCs w:val="36"/>
    </w:rPr>
  </w:style>
  <w:style w:type="paragraph" w:styleId="Quote">
    <w:name w:val="Quote"/>
    <w:basedOn w:val="Normal"/>
    <w:next w:val="Normal"/>
    <w:link w:val="QuoteChar"/>
    <w:uiPriority w:val="29"/>
    <w:qFormat/>
    <w:rsid w:val="000F108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F108B"/>
    <w:rPr>
      <w:i/>
      <w:iCs/>
      <w:color w:val="404040" w:themeColor="text1" w:themeTint="BF"/>
    </w:rPr>
  </w:style>
  <w:style w:type="paragraph" w:styleId="ListParagraph">
    <w:name w:val="List Paragraph"/>
    <w:basedOn w:val="Normal"/>
    <w:uiPriority w:val="34"/>
    <w:qFormat/>
    <w:rsid w:val="000F108B"/>
    <w:pPr>
      <w:ind w:left="720"/>
      <w:contextualSpacing/>
    </w:pPr>
  </w:style>
  <w:style w:type="character" w:styleId="IntenseEmphasis">
    <w:name w:val="Intense Emphasis"/>
    <w:basedOn w:val="DefaultParagraphFont"/>
    <w:uiPriority w:val="21"/>
    <w:qFormat/>
    <w:rsid w:val="000F108B"/>
    <w:rPr>
      <w:i/>
      <w:iCs/>
      <w:color w:val="0F4761" w:themeColor="accent1" w:themeShade="BF"/>
    </w:rPr>
  </w:style>
  <w:style w:type="paragraph" w:styleId="IntenseQuote">
    <w:name w:val="Intense Quote"/>
    <w:basedOn w:val="Normal"/>
    <w:next w:val="Normal"/>
    <w:link w:val="IntenseQuoteChar"/>
    <w:uiPriority w:val="30"/>
    <w:qFormat/>
    <w:rsid w:val="000F108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F108B"/>
    <w:rPr>
      <w:i/>
      <w:iCs/>
      <w:color w:val="0F4761" w:themeColor="accent1" w:themeShade="BF"/>
    </w:rPr>
  </w:style>
  <w:style w:type="character" w:styleId="IntenseReference">
    <w:name w:val="Intense Reference"/>
    <w:basedOn w:val="DefaultParagraphFont"/>
    <w:uiPriority w:val="32"/>
    <w:qFormat/>
    <w:rsid w:val="000F108B"/>
    <w:rPr>
      <w:b/>
      <w:bCs/>
      <w:smallCaps/>
      <w:color w:val="0F4761" w:themeColor="accent1" w:themeShade="BF"/>
      <w:spacing w:val="5"/>
    </w:rPr>
  </w:style>
  <w:style w:type="paragraph" w:styleId="Header">
    <w:name w:val="header"/>
    <w:basedOn w:val="Normal"/>
    <w:link w:val="HeaderChar"/>
    <w:uiPriority w:val="99"/>
    <w:unhideWhenUsed/>
    <w:rsid w:val="00334A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4ADB"/>
    <w:rPr>
      <w:rFonts w:ascii="Times New Roman" w:hAnsi="Times New Roman" w:cs="Times New Roman"/>
      <w:sz w:val="22"/>
      <w:szCs w:val="22"/>
    </w:rPr>
  </w:style>
  <w:style w:type="paragraph" w:styleId="Footer">
    <w:name w:val="footer"/>
    <w:basedOn w:val="Normal"/>
    <w:link w:val="FooterChar"/>
    <w:uiPriority w:val="99"/>
    <w:unhideWhenUsed/>
    <w:rsid w:val="00334A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4ADB"/>
    <w:rPr>
      <w:rFonts w:ascii="Times New Roman" w:hAnsi="Times New Roman" w:cs="Times New Roman"/>
      <w:sz w:val="22"/>
      <w:szCs w:val="22"/>
    </w:rPr>
  </w:style>
  <w:style w:type="character" w:styleId="PageNumber">
    <w:name w:val="page number"/>
    <w:basedOn w:val="DefaultParagraphFont"/>
    <w:uiPriority w:val="99"/>
    <w:semiHidden/>
    <w:unhideWhenUsed/>
    <w:rsid w:val="00334ADB"/>
  </w:style>
  <w:style w:type="paragraph" w:styleId="FootnoteText">
    <w:name w:val="footnote text"/>
    <w:basedOn w:val="Normal"/>
    <w:link w:val="FootnoteTextChar"/>
    <w:uiPriority w:val="99"/>
    <w:semiHidden/>
    <w:unhideWhenUsed/>
    <w:rsid w:val="003F443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F4439"/>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3F4439"/>
    <w:rPr>
      <w:vertAlign w:val="superscript"/>
    </w:rPr>
  </w:style>
  <w:style w:type="character" w:styleId="Hyperlink">
    <w:name w:val="Hyperlink"/>
    <w:basedOn w:val="DefaultParagraphFont"/>
    <w:uiPriority w:val="99"/>
    <w:unhideWhenUsed/>
    <w:rsid w:val="008A7E07"/>
    <w:rPr>
      <w:color w:val="467886" w:themeColor="hyperlink"/>
      <w:u w:val="single"/>
    </w:rPr>
  </w:style>
  <w:style w:type="character" w:styleId="UnresolvedMention">
    <w:name w:val="Unresolved Mention"/>
    <w:basedOn w:val="DefaultParagraphFont"/>
    <w:uiPriority w:val="99"/>
    <w:semiHidden/>
    <w:unhideWhenUsed/>
    <w:rsid w:val="008A7E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lawreform.nsw.gov.au/documents/Publications/Reports/Report-138.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57B25A-6561-814A-915B-F5F8A1DB2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7</Pages>
  <Words>1227</Words>
  <Characters>7367</Characters>
  <Application>Microsoft Office Word</Application>
  <DocSecurity>0</DocSecurity>
  <Lines>106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Macvean</dc:creator>
  <cp:keywords/>
  <dc:description/>
  <cp:lastModifiedBy>Benjamin Macvean</cp:lastModifiedBy>
  <cp:revision>7</cp:revision>
  <dcterms:created xsi:type="dcterms:W3CDTF">2026-02-20T09:58:00Z</dcterms:created>
  <dcterms:modified xsi:type="dcterms:W3CDTF">2026-03-14T04:24:00Z</dcterms:modified>
</cp:coreProperties>
</file>