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A16607" w14:textId="77777777" w:rsidR="00B80F80" w:rsidRDefault="00B80F80"/>
    <w:p w14:paraId="5CD3E578" w14:textId="77777777" w:rsidR="00B80F80" w:rsidRDefault="00B80F80"/>
    <w:p w14:paraId="48171F02" w14:textId="77777777" w:rsidR="00B80F80" w:rsidRDefault="00B80F80"/>
    <w:p w14:paraId="3A0D7794" w14:textId="77777777" w:rsidR="00B80F80" w:rsidRDefault="00000000">
      <w:pPr>
        <w:jc w:val="center"/>
      </w:pPr>
      <w:r>
        <w:rPr>
          <w:b/>
          <w:bCs/>
          <w:sz w:val="48"/>
          <w:szCs w:val="48"/>
        </w:rPr>
        <w:t>Retrieval-Augmented Generation Architectures:</w:t>
      </w:r>
    </w:p>
    <w:p w14:paraId="31B1392A" w14:textId="77777777" w:rsidR="00B80F80" w:rsidRDefault="00000000">
      <w:pPr>
        <w:jc w:val="center"/>
      </w:pPr>
      <w:r>
        <w:rPr>
          <w:b/>
          <w:bCs/>
          <w:sz w:val="40"/>
          <w:szCs w:val="40"/>
        </w:rPr>
        <w:t>A Comparative Analysis of Chunk-Based and</w:t>
      </w:r>
    </w:p>
    <w:p w14:paraId="76EAD646" w14:textId="77777777" w:rsidR="00B80F80" w:rsidRDefault="00000000">
      <w:pPr>
        <w:spacing w:after="400"/>
        <w:jc w:val="center"/>
      </w:pPr>
      <w:r>
        <w:rPr>
          <w:b/>
          <w:bCs/>
          <w:sz w:val="40"/>
          <w:szCs w:val="40"/>
        </w:rPr>
        <w:t>Knowledge Graph-Based Approaches</w:t>
      </w:r>
    </w:p>
    <w:p w14:paraId="2A2B295A" w14:textId="77777777" w:rsidR="00B80F80" w:rsidRDefault="00B80F80"/>
    <w:p w14:paraId="54DE2727" w14:textId="77777777" w:rsidR="00B80F80" w:rsidRDefault="00000000">
      <w:pPr>
        <w:jc w:val="center"/>
      </w:pPr>
      <w:r>
        <w:rPr>
          <w:i/>
          <w:iCs/>
          <w:color w:val="444444"/>
          <w:sz w:val="28"/>
          <w:szCs w:val="28"/>
        </w:rPr>
        <w:t>Technical White Paper</w:t>
      </w:r>
    </w:p>
    <w:p w14:paraId="6990EB9E" w14:textId="77777777" w:rsidR="00B80F80" w:rsidRDefault="00B80F80"/>
    <w:p w14:paraId="77ABEE2D" w14:textId="77777777" w:rsidR="00B80F80" w:rsidRDefault="00B80F80"/>
    <w:p w14:paraId="19DD3620" w14:textId="77777777" w:rsidR="00B80F80" w:rsidRDefault="00000000">
      <w:pPr>
        <w:jc w:val="center"/>
      </w:pPr>
      <w:r>
        <w:t>January 2026</w:t>
      </w:r>
    </w:p>
    <w:p w14:paraId="5672342D" w14:textId="77777777" w:rsidR="00B80F80" w:rsidRDefault="00B80F80"/>
    <w:p w14:paraId="76489848" w14:textId="77777777" w:rsidR="00B80F80" w:rsidRDefault="00B80F80"/>
    <w:p w14:paraId="5A06FE9C" w14:textId="77777777" w:rsidR="00B80F80" w:rsidRDefault="00B80F80"/>
    <w:p w14:paraId="59629BA2" w14:textId="77777777" w:rsidR="00B80F80" w:rsidRDefault="00000000">
      <w:pPr>
        <w:jc w:val="center"/>
      </w:pPr>
      <w:r>
        <w:rPr>
          <w:b/>
          <w:bCs/>
          <w:sz w:val="28"/>
          <w:szCs w:val="28"/>
        </w:rPr>
        <w:t>Abstract</w:t>
      </w:r>
    </w:p>
    <w:p w14:paraId="36F98472" w14:textId="77777777" w:rsidR="00B80F80" w:rsidRDefault="00000000">
      <w:pPr>
        <w:spacing w:before="200" w:after="200"/>
        <w:jc w:val="both"/>
      </w:pPr>
      <w:r>
        <w:rPr>
          <w:sz w:val="22"/>
          <w:szCs w:val="22"/>
        </w:rPr>
        <w:t xml:space="preserve">Retrieval-Augmented Generation (RAG) has emerged as a transformative paradigm for enhancing large language models (LLMs) by grounding their outputs in external knowledge sources. This technical white paper presents a comprehensive comparative analysis of two predominant RAG architectures: traditional chunk-based retrieval systems and knowledge graph-based approaches. We examine the theoretical foundations, architectural components, performance characteristics, and practical trade-offs of each methodology. Drawing upon seminal research including Lewis et al.'s foundational RAG framework (2020), </w:t>
      </w:r>
      <w:proofErr w:type="spellStart"/>
      <w:r>
        <w:rPr>
          <w:sz w:val="22"/>
          <w:szCs w:val="22"/>
        </w:rPr>
        <w:t>Karpukhin</w:t>
      </w:r>
      <w:proofErr w:type="spellEnd"/>
      <w:r>
        <w:rPr>
          <w:sz w:val="22"/>
          <w:szCs w:val="22"/>
        </w:rPr>
        <w:t xml:space="preserve"> et al.'s Dense Passage Retrieval (2020), and Microsoft Research's </w:t>
      </w:r>
      <w:proofErr w:type="spellStart"/>
      <w:r>
        <w:rPr>
          <w:sz w:val="22"/>
          <w:szCs w:val="22"/>
        </w:rPr>
        <w:t>GraphRAG</w:t>
      </w:r>
      <w:proofErr w:type="spellEnd"/>
      <w:r>
        <w:rPr>
          <w:sz w:val="22"/>
          <w:szCs w:val="22"/>
        </w:rPr>
        <w:t xml:space="preserve"> methodology (Edge et al., 2024), we provide evidence-based recommendations for architecture selection across diverse deployment scenarios. Our analysis reveals that while chunk-based RAG offers implementation simplicity and rapid deployment, knowledge graph-based approaches demonstrate superior performance for complex reasoning tasks requiring multi-hop inference and semantic relationship traversal. Hybrid architectures combining both methodologies emerge as particularly promising for enterprise applications requiring both breadth of coverage and depth of reasoning capability.</w:t>
      </w:r>
    </w:p>
    <w:p w14:paraId="1D5AE727" w14:textId="77777777" w:rsidR="00B80F80" w:rsidRDefault="00000000">
      <w:r>
        <w:br w:type="page"/>
      </w:r>
    </w:p>
    <w:p w14:paraId="43627F8F" w14:textId="77777777" w:rsidR="00B80F80" w:rsidRDefault="00000000">
      <w:pPr>
        <w:pStyle w:val="Heading1"/>
      </w:pPr>
      <w:r>
        <w:lastRenderedPageBreak/>
        <w:t>1. Introduction</w:t>
      </w:r>
    </w:p>
    <w:p w14:paraId="34C47A39" w14:textId="77777777" w:rsidR="00B80F80" w:rsidRDefault="00000000">
      <w:pPr>
        <w:spacing w:after="200"/>
      </w:pPr>
      <w:r>
        <w:t>Large language models have demonstrated remarkable capabilities in natural language understanding and generation tasks. However, their reliance on parametric knowledge encoded during training introduces significant limitations: knowledge becomes stale as the world evolves, factual accuracy cannot be guaranteed, and provenance for generated content remains opaque (Lewis et al., 2020). Retrieval-Augmented Generation addresses these fundamental constraints by dynamically incorporating external knowledge during inference, enabling models to access up-to-date information while providing traceable sources for their outputs.</w:t>
      </w:r>
    </w:p>
    <w:p w14:paraId="7091BE69" w14:textId="77777777" w:rsidR="00B80F80" w:rsidRDefault="00000000">
      <w:pPr>
        <w:spacing w:after="200"/>
      </w:pPr>
      <w:r>
        <w:t>The RAG paradigm, formally introduced by Lewis et al. (2020) at Facebook AI Research, established a general-purpose framework combining pre-trained parametric memory (the LLM) with non-parametric memory (external retrieval systems). This architecture demonstrated state-of-the-art performance across multiple knowledge-intensive NLP benchmarks, generating outputs that were more specific, diverse, and factually grounded than purely parametric alternatives (Lewis et al., 2020).</w:t>
      </w:r>
    </w:p>
    <w:p w14:paraId="2242BCF4" w14:textId="77777777" w:rsidR="00B80F80" w:rsidRDefault="00000000">
      <w:pPr>
        <w:spacing w:after="200"/>
      </w:pPr>
      <w:r>
        <w:t>As RAG systems have matured, two distinct architectural patterns have emerged as dominant approaches: chunk-based retrieval, which segments documents into discrete text units for vector similarity search, and knowledge graph-based retrieval, which structures information as interconnected entities and relationships enabling semantic traversal. This white paper provides a rigorous technical comparison of these approaches, examining their theoretical foundations, implementation architectures, performance characteristics, and suitability for various application domains.</w:t>
      </w:r>
    </w:p>
    <w:p w14:paraId="7557AB63" w14:textId="77777777" w:rsidR="00B80F80" w:rsidRDefault="00000000">
      <w:pPr>
        <w:pStyle w:val="Heading1"/>
      </w:pPr>
      <w:r>
        <w:t>2. Theoretical Foundations</w:t>
      </w:r>
    </w:p>
    <w:p w14:paraId="3F56F17F" w14:textId="77777777" w:rsidR="00B80F80" w:rsidRDefault="00000000">
      <w:pPr>
        <w:pStyle w:val="Heading2"/>
      </w:pPr>
      <w:r>
        <w:t>2.1 The RAG Framework</w:t>
      </w:r>
    </w:p>
    <w:p w14:paraId="057B6AC9" w14:textId="77777777" w:rsidR="00B80F80" w:rsidRDefault="00000000">
      <w:pPr>
        <w:spacing w:after="200"/>
      </w:pPr>
      <w:r>
        <w:t>The fundamental RAG architecture consists of two primary components: a retriever that identifies relevant documents from an external corpus, and a generator that produces outputs conditioned on both the query and retrieved context. Lewis et al. (2020) formalized this as models combining pre-trained seq2seq architectures with dense vector indices of document passages, trained end-to-end to optimize both retrieval and generation jointly.</w:t>
      </w:r>
    </w:p>
    <w:p w14:paraId="6ABC45BB" w14:textId="77777777" w:rsidR="00B80F80" w:rsidRDefault="00000000">
      <w:pPr>
        <w:spacing w:after="200"/>
      </w:pPr>
      <w:r>
        <w:t>The retrieval component transforms queries and documents into dense vector representations using learned encoders, enabling efficient similarity search through approximate nearest neighbor algorithms. The generation component then synthesizes responses by attending to retrieved passages, marginalizing over multiple documents to produce coherent outputs (Lewis et al., 2020).</w:t>
      </w:r>
    </w:p>
    <w:p w14:paraId="7EC22595" w14:textId="77777777" w:rsidR="001E2495" w:rsidRDefault="001E2495">
      <w:pPr>
        <w:spacing w:after="200"/>
      </w:pPr>
    </w:p>
    <w:p w14:paraId="2A557494" w14:textId="77777777" w:rsidR="001E2495" w:rsidRDefault="001E2495">
      <w:pPr>
        <w:spacing w:after="200"/>
      </w:pPr>
    </w:p>
    <w:p w14:paraId="53CC1749" w14:textId="77777777" w:rsidR="00B80F80" w:rsidRDefault="00000000">
      <w:pPr>
        <w:pStyle w:val="Heading2"/>
      </w:pPr>
      <w:r>
        <w:lastRenderedPageBreak/>
        <w:t>2.2 Dense Passage Retrieval</w:t>
      </w:r>
    </w:p>
    <w:p w14:paraId="57A62B20" w14:textId="77777777" w:rsidR="00B80F80" w:rsidRDefault="00000000">
      <w:pPr>
        <w:spacing w:after="200"/>
      </w:pPr>
      <w:r>
        <w:t xml:space="preserve">Dense Passage Retrieval (DPR), introduced by </w:t>
      </w:r>
      <w:proofErr w:type="spellStart"/>
      <w:r>
        <w:t>Karpukhin</w:t>
      </w:r>
      <w:proofErr w:type="spellEnd"/>
      <w:r>
        <w:t xml:space="preserve"> et al. (2020), established the foundation for modern chunk-based RAG systems. DPR employs </w:t>
      </w:r>
      <w:proofErr w:type="gramStart"/>
      <w:r>
        <w:t>a dual</w:t>
      </w:r>
      <w:proofErr w:type="gramEnd"/>
      <w:r>
        <w:t>-encoder architecture with independently parameterized BERT-based encoders for queries and passages, mapping inputs into a shared 768-dimensional vector space. Similarity is computed via inner product, enabling decomposable search where passage vectors are pre-computed and indexed for efficient runtime retrieval.</w:t>
      </w:r>
    </w:p>
    <w:p w14:paraId="1CD16223" w14:textId="77777777" w:rsidR="00B80F80" w:rsidRDefault="00000000">
      <w:pPr>
        <w:spacing w:after="200"/>
      </w:pPr>
      <w:proofErr w:type="spellStart"/>
      <w:r>
        <w:t>Karpukhin</w:t>
      </w:r>
      <w:proofErr w:type="spellEnd"/>
      <w:r>
        <w:t xml:space="preserve"> et al. (2020) demonstrated that DPR achieves 9-19% absolute improvement in </w:t>
      </w:r>
      <w:proofErr w:type="gramStart"/>
      <w:r>
        <w:t>top-20</w:t>
      </w:r>
      <w:proofErr w:type="gramEnd"/>
      <w:r>
        <w:t xml:space="preserve"> retrieval accuracy over sparse methods like BM25 across multiple open-domain question answering benchmarks. This performance advantage stems from dense representations capturing semantic relationships that lexical overlap-based methods cannot identify, such as matching 'bad guy' queries to passages containing 'villain' without explicit term matching.</w:t>
      </w:r>
    </w:p>
    <w:p w14:paraId="27AEA7B1" w14:textId="77777777" w:rsidR="00B80F80" w:rsidRDefault="00000000">
      <w:pPr>
        <w:pStyle w:val="Heading2"/>
      </w:pPr>
      <w:r>
        <w:t>2.3 Knowledge Graph Foundations</w:t>
      </w:r>
    </w:p>
    <w:p w14:paraId="7263F602" w14:textId="77777777" w:rsidR="00B80F80" w:rsidRDefault="00000000">
      <w:pPr>
        <w:spacing w:after="200"/>
      </w:pPr>
      <w:r>
        <w:t>Knowledge graphs represent information as directed multi-relational graphs where nodes correspond to entities and typed edges encode relationships between them. This structured representation enables explicit reasoning over semantic connections, supporting multi-hop inference pathways that traverse multiple relationships to answer complex queries (Pan et al., 2024).</w:t>
      </w:r>
    </w:p>
    <w:p w14:paraId="7FE19A37" w14:textId="77777777" w:rsidR="00B80F80" w:rsidRDefault="00000000">
      <w:pPr>
        <w:spacing w:after="200"/>
      </w:pPr>
      <w:r>
        <w:t>The integration of knowledge graphs with RAG systems addresses fundamental limitations of vector similarity-based retrieval: the inability to aggregate information across multiple documents and the lack of support for queries requiring global understanding of dataset themes (Edge et al., 2024). Graph-based approaches enable traversal of relationship paths, community detection for thematic summarization, and explicit entity resolution that grounds responses in verifiable knowledge structures.</w:t>
      </w:r>
    </w:p>
    <w:p w14:paraId="0CE63AFA" w14:textId="77777777" w:rsidR="00B80F80" w:rsidRDefault="00000000">
      <w:pPr>
        <w:pStyle w:val="Heading1"/>
      </w:pPr>
      <w:r>
        <w:t>3. Architectural Comparison</w:t>
      </w:r>
    </w:p>
    <w:p w14:paraId="77713A32" w14:textId="77777777" w:rsidR="00B80F80" w:rsidRDefault="00000000">
      <w:pPr>
        <w:pStyle w:val="Heading2"/>
      </w:pPr>
      <w:r>
        <w:t>3.1 Chunk-Based RAG Architecture</w:t>
      </w:r>
    </w:p>
    <w:p w14:paraId="4DD284E7" w14:textId="77777777" w:rsidR="00B80F80" w:rsidRDefault="00000000">
      <w:pPr>
        <w:spacing w:after="200"/>
      </w:pPr>
      <w:r>
        <w:t>Chunk-based RAG systems implement a multi-stage pipeline consisting of document ingestion, text segmentation, embedding generation, vector indexing, and retrieval-augmented generation. The chunking phase partitions source documents into discrete segments optimized for both embedding quality and context coherence (Yepes et al., 2024).</w:t>
      </w:r>
    </w:p>
    <w:p w14:paraId="20416BC2" w14:textId="77777777" w:rsidR="00B80F80" w:rsidRDefault="00000000">
      <w:pPr>
        <w:spacing w:after="120"/>
      </w:pPr>
      <w:r>
        <w:rPr>
          <w:b/>
          <w:bCs/>
        </w:rPr>
        <w:t>Key architectural components include:</w:t>
      </w:r>
    </w:p>
    <w:p w14:paraId="08CFC327" w14:textId="77777777" w:rsidR="00B80F80" w:rsidRDefault="00000000">
      <w:pPr>
        <w:pStyle w:val="ListParagraph"/>
        <w:numPr>
          <w:ilvl w:val="0"/>
          <w:numId w:val="2"/>
        </w:numPr>
      </w:pPr>
      <w:r>
        <w:t>Text Segmentation: Documents are divided using fixed-size windowing, semantic boundary detection, or hierarchical chunking strategies. Research indicates that chunk size significantly impacts retrieval quality, with optimal sizes varying by domain and query type (Smith &amp; Troynikov, 2024).</w:t>
      </w:r>
    </w:p>
    <w:p w14:paraId="257E6232" w14:textId="77777777" w:rsidR="00B80F80" w:rsidRDefault="00000000">
      <w:pPr>
        <w:pStyle w:val="ListParagraph"/>
        <w:numPr>
          <w:ilvl w:val="0"/>
          <w:numId w:val="2"/>
        </w:numPr>
      </w:pPr>
      <w:r>
        <w:lastRenderedPageBreak/>
        <w:t xml:space="preserve">Embedding Generation: Pre-trained transformer models encode text chunks into dense vectors. Common choices include Sentence-BERT, OpenAI embeddings, and domain-specific models fine-tuned for retrieval tasks (Reimers &amp; </w:t>
      </w:r>
      <w:proofErr w:type="spellStart"/>
      <w:r>
        <w:t>Gurevych</w:t>
      </w:r>
      <w:proofErr w:type="spellEnd"/>
      <w:r>
        <w:t>, 2019).</w:t>
      </w:r>
    </w:p>
    <w:p w14:paraId="7C89E663" w14:textId="77777777" w:rsidR="00B80F80" w:rsidRDefault="00000000">
      <w:pPr>
        <w:pStyle w:val="ListParagraph"/>
        <w:numPr>
          <w:ilvl w:val="0"/>
          <w:numId w:val="2"/>
        </w:numPr>
      </w:pPr>
      <w:r>
        <w:t>Vector Indexing: Libraries such as FAISS enable efficient similarity search over billions of vectors through approximate nearest neighbor algorithms including inverted file indexing and product quantization (</w:t>
      </w:r>
      <w:proofErr w:type="spellStart"/>
      <w:r>
        <w:t>Douze</w:t>
      </w:r>
      <w:proofErr w:type="spellEnd"/>
      <w:r>
        <w:t xml:space="preserve"> et al., 2024).</w:t>
      </w:r>
    </w:p>
    <w:p w14:paraId="51585614" w14:textId="77777777" w:rsidR="00B80F80" w:rsidRDefault="00000000">
      <w:pPr>
        <w:pStyle w:val="ListParagraph"/>
        <w:numPr>
          <w:ilvl w:val="0"/>
          <w:numId w:val="2"/>
        </w:numPr>
        <w:spacing w:after="200"/>
      </w:pPr>
      <w:r>
        <w:t>Retrieval and Generation: Top-k similar chunks are retrieved and concatenated into the LLM context window, which generates responses conditioned on this augmented prompt.</w:t>
      </w:r>
    </w:p>
    <w:p w14:paraId="44EB2FAE" w14:textId="77777777" w:rsidR="00B80F80" w:rsidRDefault="00000000">
      <w:pPr>
        <w:pStyle w:val="Heading2"/>
      </w:pPr>
      <w:r>
        <w:t>3.2 Knowledge Graph RAG Architecture</w:t>
      </w:r>
    </w:p>
    <w:p w14:paraId="0D910E11" w14:textId="77777777" w:rsidR="00B80F80" w:rsidRDefault="00000000">
      <w:pPr>
        <w:spacing w:after="200"/>
      </w:pPr>
      <w:r>
        <w:t xml:space="preserve">Microsoft Research's </w:t>
      </w:r>
      <w:proofErr w:type="spellStart"/>
      <w:r>
        <w:t>GraphRAG</w:t>
      </w:r>
      <w:proofErr w:type="spellEnd"/>
      <w:r>
        <w:t xml:space="preserve"> methodology (Edge et al., 2024) presents a structured, hierarchical approach that constructs knowledge graphs from source documents using LLM-guided extraction. The system identifies entities, relationships, and claims, organizing them into community structures that support both local entity-based queries and global thematic summarization.</w:t>
      </w:r>
    </w:p>
    <w:p w14:paraId="10D54C37" w14:textId="77777777" w:rsidR="00B80F80" w:rsidRDefault="00000000">
      <w:pPr>
        <w:spacing w:after="120"/>
      </w:pPr>
      <w:r>
        <w:rPr>
          <w:b/>
          <w:bCs/>
        </w:rPr>
        <w:t xml:space="preserve">The </w:t>
      </w:r>
      <w:proofErr w:type="spellStart"/>
      <w:r>
        <w:rPr>
          <w:b/>
          <w:bCs/>
        </w:rPr>
        <w:t>GraphRAG</w:t>
      </w:r>
      <w:proofErr w:type="spellEnd"/>
      <w:r>
        <w:rPr>
          <w:b/>
          <w:bCs/>
        </w:rPr>
        <w:t xml:space="preserve"> pipeline encompasses:</w:t>
      </w:r>
    </w:p>
    <w:p w14:paraId="61D989A2" w14:textId="77777777" w:rsidR="00B80F80" w:rsidRDefault="00000000">
      <w:pPr>
        <w:pStyle w:val="ListParagraph"/>
        <w:numPr>
          <w:ilvl w:val="0"/>
          <w:numId w:val="2"/>
        </w:numPr>
      </w:pPr>
      <w:r>
        <w:t>Entity and Relationship Extraction: LLMs process text units to identify entities, their attributes, and relationships between them, constructing a typed knowledge graph with explicit semantic connections.</w:t>
      </w:r>
    </w:p>
    <w:p w14:paraId="7181F9C5" w14:textId="77777777" w:rsidR="00B80F80" w:rsidRDefault="00000000">
      <w:pPr>
        <w:pStyle w:val="ListParagraph"/>
        <w:numPr>
          <w:ilvl w:val="0"/>
          <w:numId w:val="2"/>
        </w:numPr>
      </w:pPr>
      <w:r>
        <w:t>Community Detection: Graph clustering algorithms identify groups of closely related entities, creating hierarchical community structures that capture thematic organization at multiple granularities.</w:t>
      </w:r>
    </w:p>
    <w:p w14:paraId="2257E651" w14:textId="77777777" w:rsidR="00B80F80" w:rsidRDefault="00000000">
      <w:pPr>
        <w:pStyle w:val="ListParagraph"/>
        <w:numPr>
          <w:ilvl w:val="0"/>
          <w:numId w:val="2"/>
        </w:numPr>
      </w:pPr>
      <w:r>
        <w:t>Summary Generation: Pre-computed summaries for communities enable efficient responses to global queries without exhaustive traversal, providing map-reduce style aggregation of dataset themes.</w:t>
      </w:r>
    </w:p>
    <w:p w14:paraId="212B6CB2" w14:textId="77777777" w:rsidR="00B80F80" w:rsidRDefault="00000000">
      <w:pPr>
        <w:pStyle w:val="ListParagraph"/>
        <w:numPr>
          <w:ilvl w:val="0"/>
          <w:numId w:val="2"/>
        </w:numPr>
        <w:spacing w:after="200"/>
      </w:pPr>
      <w:r>
        <w:t>Query Processing: Local queries leverage entity-based subgraph retrieval, while global queries utilize community summaries for comprehensive thematic synthesis.</w:t>
      </w:r>
    </w:p>
    <w:p w14:paraId="19F5B624" w14:textId="77777777" w:rsidR="00B80F80" w:rsidRDefault="00000000">
      <w:r>
        <w:br w:type="page"/>
      </w:r>
    </w:p>
    <w:p w14:paraId="025955E1" w14:textId="77777777" w:rsidR="00B80F80" w:rsidRDefault="00000000">
      <w:pPr>
        <w:pStyle w:val="Heading2"/>
      </w:pPr>
      <w:r>
        <w:lastRenderedPageBreak/>
        <w:t>3.3 Architectural Comparison Matrix</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500"/>
        <w:gridCol w:w="3429"/>
        <w:gridCol w:w="3429"/>
      </w:tblGrid>
      <w:tr w:rsidR="00B80F80" w14:paraId="2EEF1B2B" w14:textId="77777777">
        <w:tblPrEx>
          <w:tblCellMar>
            <w:top w:w="0" w:type="dxa"/>
            <w:bottom w:w="0" w:type="dxa"/>
          </w:tblCellMar>
        </w:tblPrEx>
        <w:tc>
          <w:tcPr>
            <w:tcW w:w="2500" w:type="dxa"/>
            <w:tcBorders>
              <w:top w:val="single" w:sz="1" w:space="0" w:color="CCCCCC"/>
              <w:left w:val="single" w:sz="1" w:space="0" w:color="CCCCCC"/>
              <w:bottom w:val="single" w:sz="1" w:space="0" w:color="CCCCCC"/>
              <w:right w:val="single" w:sz="1" w:space="0" w:color="CCCCCC"/>
            </w:tcBorders>
            <w:shd w:val="clear" w:color="auto" w:fill="2C5282"/>
            <w:tcMar>
              <w:top w:w="100" w:type="dxa"/>
              <w:left w:w="120" w:type="dxa"/>
              <w:bottom w:w="100" w:type="dxa"/>
              <w:right w:w="120" w:type="dxa"/>
            </w:tcMar>
          </w:tcPr>
          <w:p w14:paraId="38404133" w14:textId="77777777" w:rsidR="00B80F80" w:rsidRDefault="00000000">
            <w:r>
              <w:rPr>
                <w:b/>
                <w:bCs/>
                <w:color w:val="FFFFFF"/>
                <w:sz w:val="22"/>
                <w:szCs w:val="22"/>
              </w:rPr>
              <w:t>Component</w:t>
            </w:r>
          </w:p>
        </w:tc>
        <w:tc>
          <w:tcPr>
            <w:tcW w:w="3430" w:type="dxa"/>
            <w:tcBorders>
              <w:top w:val="single" w:sz="1" w:space="0" w:color="CCCCCC"/>
              <w:left w:val="single" w:sz="1" w:space="0" w:color="CCCCCC"/>
              <w:bottom w:val="single" w:sz="1" w:space="0" w:color="CCCCCC"/>
              <w:right w:val="single" w:sz="1" w:space="0" w:color="CCCCCC"/>
            </w:tcBorders>
            <w:shd w:val="clear" w:color="auto" w:fill="2C5282"/>
            <w:tcMar>
              <w:top w:w="100" w:type="dxa"/>
              <w:left w:w="120" w:type="dxa"/>
              <w:bottom w:w="100" w:type="dxa"/>
              <w:right w:w="120" w:type="dxa"/>
            </w:tcMar>
          </w:tcPr>
          <w:p w14:paraId="14121EAB" w14:textId="77777777" w:rsidR="00B80F80" w:rsidRDefault="00000000">
            <w:r>
              <w:rPr>
                <w:b/>
                <w:bCs/>
                <w:color w:val="FFFFFF"/>
                <w:sz w:val="22"/>
                <w:szCs w:val="22"/>
              </w:rPr>
              <w:t>Chunk-Based RAG</w:t>
            </w:r>
          </w:p>
        </w:tc>
        <w:tc>
          <w:tcPr>
            <w:tcW w:w="3430" w:type="dxa"/>
            <w:tcBorders>
              <w:top w:val="single" w:sz="1" w:space="0" w:color="CCCCCC"/>
              <w:left w:val="single" w:sz="1" w:space="0" w:color="CCCCCC"/>
              <w:bottom w:val="single" w:sz="1" w:space="0" w:color="CCCCCC"/>
              <w:right w:val="single" w:sz="1" w:space="0" w:color="CCCCCC"/>
            </w:tcBorders>
            <w:shd w:val="clear" w:color="auto" w:fill="2C5282"/>
            <w:tcMar>
              <w:top w:w="100" w:type="dxa"/>
              <w:left w:w="120" w:type="dxa"/>
              <w:bottom w:w="100" w:type="dxa"/>
              <w:right w:w="120" w:type="dxa"/>
            </w:tcMar>
          </w:tcPr>
          <w:p w14:paraId="162F4823" w14:textId="77777777" w:rsidR="00B80F80" w:rsidRDefault="00000000">
            <w:r>
              <w:rPr>
                <w:b/>
                <w:bCs/>
                <w:color w:val="FFFFFF"/>
                <w:sz w:val="22"/>
                <w:szCs w:val="22"/>
              </w:rPr>
              <w:t>Knowledge Graph RAG</w:t>
            </w:r>
          </w:p>
        </w:tc>
      </w:tr>
      <w:tr w:rsidR="00B80F80" w14:paraId="71DD577F" w14:textId="77777777">
        <w:tblPrEx>
          <w:tblCellMar>
            <w:top w:w="0" w:type="dxa"/>
            <w:bottom w:w="0" w:type="dxa"/>
          </w:tblCellMar>
        </w:tblPrEx>
        <w:tc>
          <w:tcPr>
            <w:tcW w:w="2500" w:type="dxa"/>
            <w:tcBorders>
              <w:top w:val="single" w:sz="1" w:space="0" w:color="CCCCCC"/>
              <w:left w:val="single" w:sz="1" w:space="0" w:color="CCCCCC"/>
              <w:bottom w:val="single" w:sz="1" w:space="0" w:color="CCCCCC"/>
              <w:right w:val="single" w:sz="1" w:space="0" w:color="CCCCCC"/>
            </w:tcBorders>
            <w:shd w:val="clear" w:color="auto" w:fill="F7FAFC"/>
            <w:tcMar>
              <w:top w:w="80" w:type="dxa"/>
              <w:left w:w="120" w:type="dxa"/>
              <w:bottom w:w="80" w:type="dxa"/>
              <w:right w:w="120" w:type="dxa"/>
            </w:tcMar>
          </w:tcPr>
          <w:p w14:paraId="25F1F9CB" w14:textId="77777777" w:rsidR="00B80F80" w:rsidRDefault="00000000">
            <w:r>
              <w:rPr>
                <w:sz w:val="20"/>
                <w:szCs w:val="20"/>
              </w:rPr>
              <w:t>Data Structure</w:t>
            </w:r>
          </w:p>
        </w:tc>
        <w:tc>
          <w:tcPr>
            <w:tcW w:w="3430" w:type="dxa"/>
            <w:tcBorders>
              <w:top w:val="single" w:sz="1" w:space="0" w:color="CCCCCC"/>
              <w:left w:val="single" w:sz="1" w:space="0" w:color="CCCCCC"/>
              <w:bottom w:val="single" w:sz="1" w:space="0" w:color="CCCCCC"/>
              <w:right w:val="single" w:sz="1" w:space="0" w:color="CCCCCC"/>
            </w:tcBorders>
            <w:shd w:val="clear" w:color="auto" w:fill="F7FAFC"/>
            <w:tcMar>
              <w:top w:w="80" w:type="dxa"/>
              <w:left w:w="120" w:type="dxa"/>
              <w:bottom w:w="80" w:type="dxa"/>
              <w:right w:w="120" w:type="dxa"/>
            </w:tcMar>
          </w:tcPr>
          <w:p w14:paraId="4F08AAED" w14:textId="77777777" w:rsidR="00B80F80" w:rsidRDefault="00000000">
            <w:r>
              <w:rPr>
                <w:sz w:val="20"/>
                <w:szCs w:val="20"/>
              </w:rPr>
              <w:t>Unstructured text segments</w:t>
            </w:r>
          </w:p>
        </w:tc>
        <w:tc>
          <w:tcPr>
            <w:tcW w:w="3430" w:type="dxa"/>
            <w:tcBorders>
              <w:top w:val="single" w:sz="1" w:space="0" w:color="CCCCCC"/>
              <w:left w:val="single" w:sz="1" w:space="0" w:color="CCCCCC"/>
              <w:bottom w:val="single" w:sz="1" w:space="0" w:color="CCCCCC"/>
              <w:right w:val="single" w:sz="1" w:space="0" w:color="CCCCCC"/>
            </w:tcBorders>
            <w:shd w:val="clear" w:color="auto" w:fill="F7FAFC"/>
            <w:tcMar>
              <w:top w:w="80" w:type="dxa"/>
              <w:left w:w="120" w:type="dxa"/>
              <w:bottom w:w="80" w:type="dxa"/>
              <w:right w:w="120" w:type="dxa"/>
            </w:tcMar>
          </w:tcPr>
          <w:p w14:paraId="1A921932" w14:textId="77777777" w:rsidR="00B80F80" w:rsidRDefault="00000000">
            <w:r>
              <w:rPr>
                <w:sz w:val="20"/>
                <w:szCs w:val="20"/>
              </w:rPr>
              <w:t>Entity-relationship triples</w:t>
            </w:r>
          </w:p>
        </w:tc>
      </w:tr>
      <w:tr w:rsidR="00B80F80" w14:paraId="658AAAA7" w14:textId="77777777">
        <w:tblPrEx>
          <w:tblCellMar>
            <w:top w:w="0" w:type="dxa"/>
            <w:bottom w:w="0" w:type="dxa"/>
          </w:tblCellMar>
        </w:tblPrEx>
        <w:tc>
          <w:tcPr>
            <w:tcW w:w="25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53729627" w14:textId="77777777" w:rsidR="00B80F80" w:rsidRDefault="00000000">
            <w:r>
              <w:rPr>
                <w:sz w:val="20"/>
                <w:szCs w:val="20"/>
              </w:rPr>
              <w:t>Indexing</w:t>
            </w:r>
          </w:p>
        </w:tc>
        <w:tc>
          <w:tcPr>
            <w:tcW w:w="343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6DF7291C" w14:textId="77777777" w:rsidR="00B80F80" w:rsidRDefault="00000000">
            <w:r>
              <w:rPr>
                <w:sz w:val="20"/>
                <w:szCs w:val="20"/>
              </w:rPr>
              <w:t>Vector embeddings (FAISS, Pinecone)</w:t>
            </w:r>
          </w:p>
        </w:tc>
        <w:tc>
          <w:tcPr>
            <w:tcW w:w="343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3DF11A4C" w14:textId="77777777" w:rsidR="00B80F80" w:rsidRDefault="00000000">
            <w:r>
              <w:rPr>
                <w:sz w:val="20"/>
                <w:szCs w:val="20"/>
              </w:rPr>
              <w:t>Graph databases (Neo4j, Neptune)</w:t>
            </w:r>
          </w:p>
        </w:tc>
      </w:tr>
      <w:tr w:rsidR="00B80F80" w14:paraId="1ACEF8F9" w14:textId="77777777">
        <w:tblPrEx>
          <w:tblCellMar>
            <w:top w:w="0" w:type="dxa"/>
            <w:bottom w:w="0" w:type="dxa"/>
          </w:tblCellMar>
        </w:tblPrEx>
        <w:tc>
          <w:tcPr>
            <w:tcW w:w="2500" w:type="dxa"/>
            <w:tcBorders>
              <w:top w:val="single" w:sz="1" w:space="0" w:color="CCCCCC"/>
              <w:left w:val="single" w:sz="1" w:space="0" w:color="CCCCCC"/>
              <w:bottom w:val="single" w:sz="1" w:space="0" w:color="CCCCCC"/>
              <w:right w:val="single" w:sz="1" w:space="0" w:color="CCCCCC"/>
            </w:tcBorders>
            <w:shd w:val="clear" w:color="auto" w:fill="F7FAFC"/>
            <w:tcMar>
              <w:top w:w="80" w:type="dxa"/>
              <w:left w:w="120" w:type="dxa"/>
              <w:bottom w:w="80" w:type="dxa"/>
              <w:right w:w="120" w:type="dxa"/>
            </w:tcMar>
          </w:tcPr>
          <w:p w14:paraId="13C1A8BB" w14:textId="77777777" w:rsidR="00B80F80" w:rsidRDefault="00000000">
            <w:r>
              <w:rPr>
                <w:sz w:val="20"/>
                <w:szCs w:val="20"/>
              </w:rPr>
              <w:t>Retrieval Method</w:t>
            </w:r>
          </w:p>
        </w:tc>
        <w:tc>
          <w:tcPr>
            <w:tcW w:w="3430" w:type="dxa"/>
            <w:tcBorders>
              <w:top w:val="single" w:sz="1" w:space="0" w:color="CCCCCC"/>
              <w:left w:val="single" w:sz="1" w:space="0" w:color="CCCCCC"/>
              <w:bottom w:val="single" w:sz="1" w:space="0" w:color="CCCCCC"/>
              <w:right w:val="single" w:sz="1" w:space="0" w:color="CCCCCC"/>
            </w:tcBorders>
            <w:shd w:val="clear" w:color="auto" w:fill="F7FAFC"/>
            <w:tcMar>
              <w:top w:w="80" w:type="dxa"/>
              <w:left w:w="120" w:type="dxa"/>
              <w:bottom w:w="80" w:type="dxa"/>
              <w:right w:w="120" w:type="dxa"/>
            </w:tcMar>
          </w:tcPr>
          <w:p w14:paraId="0772BC2B" w14:textId="77777777" w:rsidR="00B80F80" w:rsidRDefault="00000000">
            <w:r>
              <w:rPr>
                <w:sz w:val="20"/>
                <w:szCs w:val="20"/>
              </w:rPr>
              <w:t>Top-k similarity search</w:t>
            </w:r>
          </w:p>
        </w:tc>
        <w:tc>
          <w:tcPr>
            <w:tcW w:w="3430" w:type="dxa"/>
            <w:tcBorders>
              <w:top w:val="single" w:sz="1" w:space="0" w:color="CCCCCC"/>
              <w:left w:val="single" w:sz="1" w:space="0" w:color="CCCCCC"/>
              <w:bottom w:val="single" w:sz="1" w:space="0" w:color="CCCCCC"/>
              <w:right w:val="single" w:sz="1" w:space="0" w:color="CCCCCC"/>
            </w:tcBorders>
            <w:shd w:val="clear" w:color="auto" w:fill="F7FAFC"/>
            <w:tcMar>
              <w:top w:w="80" w:type="dxa"/>
              <w:left w:w="120" w:type="dxa"/>
              <w:bottom w:w="80" w:type="dxa"/>
              <w:right w:w="120" w:type="dxa"/>
            </w:tcMar>
          </w:tcPr>
          <w:p w14:paraId="57A973DE" w14:textId="77777777" w:rsidR="00B80F80" w:rsidRDefault="00000000">
            <w:r>
              <w:rPr>
                <w:sz w:val="20"/>
                <w:szCs w:val="20"/>
              </w:rPr>
              <w:t>Subgraph extraction, traversal</w:t>
            </w:r>
          </w:p>
        </w:tc>
      </w:tr>
      <w:tr w:rsidR="00B80F80" w14:paraId="230DB0B1" w14:textId="77777777">
        <w:tblPrEx>
          <w:tblCellMar>
            <w:top w:w="0" w:type="dxa"/>
            <w:bottom w:w="0" w:type="dxa"/>
          </w:tblCellMar>
        </w:tblPrEx>
        <w:tc>
          <w:tcPr>
            <w:tcW w:w="25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11321C76" w14:textId="77777777" w:rsidR="00B80F80" w:rsidRDefault="00000000">
            <w:r>
              <w:rPr>
                <w:sz w:val="20"/>
                <w:szCs w:val="20"/>
              </w:rPr>
              <w:t>Reasoning Capability</w:t>
            </w:r>
          </w:p>
        </w:tc>
        <w:tc>
          <w:tcPr>
            <w:tcW w:w="343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4A7A9097" w14:textId="77777777" w:rsidR="00B80F80" w:rsidRDefault="00000000">
            <w:r>
              <w:rPr>
                <w:sz w:val="20"/>
                <w:szCs w:val="20"/>
              </w:rPr>
              <w:t>Implicit (in-context)</w:t>
            </w:r>
          </w:p>
        </w:tc>
        <w:tc>
          <w:tcPr>
            <w:tcW w:w="343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5B09D3C2" w14:textId="77777777" w:rsidR="00B80F80" w:rsidRDefault="00000000">
            <w:r>
              <w:rPr>
                <w:sz w:val="20"/>
                <w:szCs w:val="20"/>
              </w:rPr>
              <w:t>Explicit multi-hop inference</w:t>
            </w:r>
          </w:p>
        </w:tc>
      </w:tr>
      <w:tr w:rsidR="00B80F80" w14:paraId="0598F37A" w14:textId="77777777">
        <w:tblPrEx>
          <w:tblCellMar>
            <w:top w:w="0" w:type="dxa"/>
            <w:bottom w:w="0" w:type="dxa"/>
          </w:tblCellMar>
        </w:tblPrEx>
        <w:tc>
          <w:tcPr>
            <w:tcW w:w="2500" w:type="dxa"/>
            <w:tcBorders>
              <w:top w:val="single" w:sz="1" w:space="0" w:color="CCCCCC"/>
              <w:left w:val="single" w:sz="1" w:space="0" w:color="CCCCCC"/>
              <w:bottom w:val="single" w:sz="1" w:space="0" w:color="CCCCCC"/>
              <w:right w:val="single" w:sz="1" w:space="0" w:color="CCCCCC"/>
            </w:tcBorders>
            <w:shd w:val="clear" w:color="auto" w:fill="F7FAFC"/>
            <w:tcMar>
              <w:top w:w="80" w:type="dxa"/>
              <w:left w:w="120" w:type="dxa"/>
              <w:bottom w:w="80" w:type="dxa"/>
              <w:right w:w="120" w:type="dxa"/>
            </w:tcMar>
          </w:tcPr>
          <w:p w14:paraId="5F402966" w14:textId="77777777" w:rsidR="00B80F80" w:rsidRDefault="00000000">
            <w:r>
              <w:rPr>
                <w:sz w:val="20"/>
                <w:szCs w:val="20"/>
              </w:rPr>
              <w:t>Explainability</w:t>
            </w:r>
          </w:p>
        </w:tc>
        <w:tc>
          <w:tcPr>
            <w:tcW w:w="3430" w:type="dxa"/>
            <w:tcBorders>
              <w:top w:val="single" w:sz="1" w:space="0" w:color="CCCCCC"/>
              <w:left w:val="single" w:sz="1" w:space="0" w:color="CCCCCC"/>
              <w:bottom w:val="single" w:sz="1" w:space="0" w:color="CCCCCC"/>
              <w:right w:val="single" w:sz="1" w:space="0" w:color="CCCCCC"/>
            </w:tcBorders>
            <w:shd w:val="clear" w:color="auto" w:fill="F7FAFC"/>
            <w:tcMar>
              <w:top w:w="80" w:type="dxa"/>
              <w:left w:w="120" w:type="dxa"/>
              <w:bottom w:w="80" w:type="dxa"/>
              <w:right w:w="120" w:type="dxa"/>
            </w:tcMar>
          </w:tcPr>
          <w:p w14:paraId="3B81299D" w14:textId="77777777" w:rsidR="00B80F80" w:rsidRDefault="00000000">
            <w:r>
              <w:rPr>
                <w:sz w:val="20"/>
                <w:szCs w:val="20"/>
              </w:rPr>
              <w:t>Low - passage attribution only</w:t>
            </w:r>
          </w:p>
        </w:tc>
        <w:tc>
          <w:tcPr>
            <w:tcW w:w="3430" w:type="dxa"/>
            <w:tcBorders>
              <w:top w:val="single" w:sz="1" w:space="0" w:color="CCCCCC"/>
              <w:left w:val="single" w:sz="1" w:space="0" w:color="CCCCCC"/>
              <w:bottom w:val="single" w:sz="1" w:space="0" w:color="CCCCCC"/>
              <w:right w:val="single" w:sz="1" w:space="0" w:color="CCCCCC"/>
            </w:tcBorders>
            <w:shd w:val="clear" w:color="auto" w:fill="F7FAFC"/>
            <w:tcMar>
              <w:top w:w="80" w:type="dxa"/>
              <w:left w:w="120" w:type="dxa"/>
              <w:bottom w:w="80" w:type="dxa"/>
              <w:right w:w="120" w:type="dxa"/>
            </w:tcMar>
          </w:tcPr>
          <w:p w14:paraId="652633AA" w14:textId="77777777" w:rsidR="00B80F80" w:rsidRDefault="00000000">
            <w:r>
              <w:rPr>
                <w:sz w:val="20"/>
                <w:szCs w:val="20"/>
              </w:rPr>
              <w:t>High - traceable paths</w:t>
            </w:r>
          </w:p>
        </w:tc>
      </w:tr>
      <w:tr w:rsidR="00B80F80" w14:paraId="4249A31D" w14:textId="77777777">
        <w:tblPrEx>
          <w:tblCellMar>
            <w:top w:w="0" w:type="dxa"/>
            <w:bottom w:w="0" w:type="dxa"/>
          </w:tblCellMar>
        </w:tblPrEx>
        <w:tc>
          <w:tcPr>
            <w:tcW w:w="25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57C14651" w14:textId="77777777" w:rsidR="00B80F80" w:rsidRDefault="00000000">
            <w:r>
              <w:rPr>
                <w:sz w:val="20"/>
                <w:szCs w:val="20"/>
              </w:rPr>
              <w:t>Latency</w:t>
            </w:r>
          </w:p>
        </w:tc>
        <w:tc>
          <w:tcPr>
            <w:tcW w:w="343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2CB377B4" w14:textId="77777777" w:rsidR="00B80F80" w:rsidRDefault="00000000">
            <w:r>
              <w:rPr>
                <w:sz w:val="20"/>
                <w:szCs w:val="20"/>
              </w:rPr>
              <w:t>Low (milliseconds)</w:t>
            </w:r>
          </w:p>
        </w:tc>
        <w:tc>
          <w:tcPr>
            <w:tcW w:w="343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7C040BE7" w14:textId="77777777" w:rsidR="00B80F80" w:rsidRDefault="00000000">
            <w:r>
              <w:rPr>
                <w:sz w:val="20"/>
                <w:szCs w:val="20"/>
              </w:rPr>
              <w:t>Higher (graph traversal overhead)</w:t>
            </w:r>
          </w:p>
        </w:tc>
      </w:tr>
      <w:tr w:rsidR="00B80F80" w14:paraId="0D94ABBB" w14:textId="77777777">
        <w:tblPrEx>
          <w:tblCellMar>
            <w:top w:w="0" w:type="dxa"/>
            <w:bottom w:w="0" w:type="dxa"/>
          </w:tblCellMar>
        </w:tblPrEx>
        <w:tc>
          <w:tcPr>
            <w:tcW w:w="2500" w:type="dxa"/>
            <w:tcBorders>
              <w:top w:val="single" w:sz="1" w:space="0" w:color="CCCCCC"/>
              <w:left w:val="single" w:sz="1" w:space="0" w:color="CCCCCC"/>
              <w:bottom w:val="single" w:sz="1" w:space="0" w:color="CCCCCC"/>
              <w:right w:val="single" w:sz="1" w:space="0" w:color="CCCCCC"/>
            </w:tcBorders>
            <w:shd w:val="clear" w:color="auto" w:fill="F7FAFC"/>
            <w:tcMar>
              <w:top w:w="80" w:type="dxa"/>
              <w:left w:w="120" w:type="dxa"/>
              <w:bottom w:w="80" w:type="dxa"/>
              <w:right w:w="120" w:type="dxa"/>
            </w:tcMar>
          </w:tcPr>
          <w:p w14:paraId="1E0375AA" w14:textId="77777777" w:rsidR="00B80F80" w:rsidRDefault="00000000">
            <w:r>
              <w:rPr>
                <w:sz w:val="20"/>
                <w:szCs w:val="20"/>
              </w:rPr>
              <w:t>Setup Complexity</w:t>
            </w:r>
          </w:p>
        </w:tc>
        <w:tc>
          <w:tcPr>
            <w:tcW w:w="3430" w:type="dxa"/>
            <w:tcBorders>
              <w:top w:val="single" w:sz="1" w:space="0" w:color="CCCCCC"/>
              <w:left w:val="single" w:sz="1" w:space="0" w:color="CCCCCC"/>
              <w:bottom w:val="single" w:sz="1" w:space="0" w:color="CCCCCC"/>
              <w:right w:val="single" w:sz="1" w:space="0" w:color="CCCCCC"/>
            </w:tcBorders>
            <w:shd w:val="clear" w:color="auto" w:fill="F7FAFC"/>
            <w:tcMar>
              <w:top w:w="80" w:type="dxa"/>
              <w:left w:w="120" w:type="dxa"/>
              <w:bottom w:w="80" w:type="dxa"/>
              <w:right w:w="120" w:type="dxa"/>
            </w:tcMar>
          </w:tcPr>
          <w:p w14:paraId="05C5C457" w14:textId="77777777" w:rsidR="00B80F80" w:rsidRDefault="00000000">
            <w:r>
              <w:rPr>
                <w:sz w:val="20"/>
                <w:szCs w:val="20"/>
              </w:rPr>
              <w:t>Low - document ingestion</w:t>
            </w:r>
          </w:p>
        </w:tc>
        <w:tc>
          <w:tcPr>
            <w:tcW w:w="3430" w:type="dxa"/>
            <w:tcBorders>
              <w:top w:val="single" w:sz="1" w:space="0" w:color="CCCCCC"/>
              <w:left w:val="single" w:sz="1" w:space="0" w:color="CCCCCC"/>
              <w:bottom w:val="single" w:sz="1" w:space="0" w:color="CCCCCC"/>
              <w:right w:val="single" w:sz="1" w:space="0" w:color="CCCCCC"/>
            </w:tcBorders>
            <w:shd w:val="clear" w:color="auto" w:fill="F7FAFC"/>
            <w:tcMar>
              <w:top w:w="80" w:type="dxa"/>
              <w:left w:w="120" w:type="dxa"/>
              <w:bottom w:w="80" w:type="dxa"/>
              <w:right w:w="120" w:type="dxa"/>
            </w:tcMar>
          </w:tcPr>
          <w:p w14:paraId="0F09FF52" w14:textId="77777777" w:rsidR="00B80F80" w:rsidRDefault="00000000">
            <w:r>
              <w:rPr>
                <w:sz w:val="20"/>
                <w:szCs w:val="20"/>
              </w:rPr>
              <w:t>High - schema design, extraction</w:t>
            </w:r>
          </w:p>
        </w:tc>
      </w:tr>
      <w:tr w:rsidR="00B80F80" w14:paraId="03C739AC" w14:textId="77777777">
        <w:tblPrEx>
          <w:tblCellMar>
            <w:top w:w="0" w:type="dxa"/>
            <w:bottom w:w="0" w:type="dxa"/>
          </w:tblCellMar>
        </w:tblPrEx>
        <w:tc>
          <w:tcPr>
            <w:tcW w:w="25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1B8CEE97" w14:textId="77777777" w:rsidR="00B80F80" w:rsidRDefault="00000000">
            <w:r>
              <w:rPr>
                <w:sz w:val="20"/>
                <w:szCs w:val="20"/>
              </w:rPr>
              <w:t>Maintenance</w:t>
            </w:r>
          </w:p>
        </w:tc>
        <w:tc>
          <w:tcPr>
            <w:tcW w:w="343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08A9DF8A" w14:textId="77777777" w:rsidR="00B80F80" w:rsidRDefault="00000000">
            <w:r>
              <w:rPr>
                <w:sz w:val="20"/>
                <w:szCs w:val="20"/>
              </w:rPr>
              <w:t>Simple incremental updates</w:t>
            </w:r>
          </w:p>
        </w:tc>
        <w:tc>
          <w:tcPr>
            <w:tcW w:w="343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77F16BF3" w14:textId="77777777" w:rsidR="00B80F80" w:rsidRDefault="00000000">
            <w:r>
              <w:rPr>
                <w:sz w:val="20"/>
                <w:szCs w:val="20"/>
              </w:rPr>
              <w:t>Graph curation required</w:t>
            </w:r>
          </w:p>
        </w:tc>
      </w:tr>
    </w:tbl>
    <w:p w14:paraId="0CFC40A6" w14:textId="77777777" w:rsidR="00B80F80" w:rsidRDefault="00B80F80">
      <w:pPr>
        <w:spacing w:after="200"/>
      </w:pPr>
    </w:p>
    <w:p w14:paraId="4448C685" w14:textId="77777777" w:rsidR="00B80F80" w:rsidRDefault="00000000">
      <w:pPr>
        <w:pStyle w:val="Heading1"/>
      </w:pPr>
      <w:r>
        <w:t>4. Performance Analysis</w:t>
      </w:r>
    </w:p>
    <w:p w14:paraId="36F4A838" w14:textId="77777777" w:rsidR="00B80F80" w:rsidRDefault="00000000">
      <w:pPr>
        <w:pStyle w:val="Heading2"/>
      </w:pPr>
      <w:r>
        <w:t>4.1 Retrieval Quality Metrics</w:t>
      </w:r>
    </w:p>
    <w:p w14:paraId="62E64642" w14:textId="77777777" w:rsidR="00B80F80" w:rsidRDefault="00000000">
      <w:pPr>
        <w:spacing w:after="200"/>
      </w:pPr>
      <w:r>
        <w:t>Chunk-based systems excel at single-hop factual queries where relevant information is localized within individual passages. DPR achieves recall@20 exceeding 79% on Natural Questions (</w:t>
      </w:r>
      <w:proofErr w:type="spellStart"/>
      <w:r>
        <w:t>Karpukhin</w:t>
      </w:r>
      <w:proofErr w:type="spellEnd"/>
      <w:r>
        <w:t xml:space="preserve"> et al., 2020), demonstrating effective semantic matching for straightforward retrieval tasks. However, performance degrades significantly for queries requiring information synthesis across multiple sources.</w:t>
      </w:r>
    </w:p>
    <w:p w14:paraId="37222A9E" w14:textId="77777777" w:rsidR="00B80F80" w:rsidRDefault="00000000">
      <w:pPr>
        <w:spacing w:after="200"/>
      </w:pPr>
      <w:r>
        <w:t xml:space="preserve">Knowledge graph-based approaches demonstrate superior performance on complex reasoning tasks. Edge et al. (2024) </w:t>
      </w:r>
      <w:proofErr w:type="gramStart"/>
      <w:r>
        <w:t>report</w:t>
      </w:r>
      <w:proofErr w:type="gramEnd"/>
      <w:r>
        <w:t xml:space="preserve"> substantial improvements in comprehensiveness and diversity metrics for global sensemaking questions over million-token datasets. </w:t>
      </w:r>
      <w:proofErr w:type="spellStart"/>
      <w:r>
        <w:t>GraphRAG's</w:t>
      </w:r>
      <w:proofErr w:type="spellEnd"/>
      <w:r>
        <w:t xml:space="preserve"> structured retrieval enables traversal of multi-hop relationship paths that vector similarity search cannot discover, particularly for queries requiring aggregation of distributed information.</w:t>
      </w:r>
    </w:p>
    <w:p w14:paraId="34C9C4AB" w14:textId="77777777" w:rsidR="00B80F80" w:rsidRDefault="00000000">
      <w:pPr>
        <w:pStyle w:val="Heading2"/>
      </w:pPr>
      <w:r>
        <w:t>4.2 Generation Quality</w:t>
      </w:r>
    </w:p>
    <w:p w14:paraId="3B8AA2B9" w14:textId="77777777" w:rsidR="00B80F80" w:rsidRDefault="00000000">
      <w:pPr>
        <w:spacing w:after="200"/>
      </w:pPr>
      <w:r>
        <w:t>Chunk-based RAG produces responses that directly reflect retrieved passages, providing strong factual grounding for localized queries. However, chunking artifacts can introduce irrelevant context that confounds generation, particularly when semantic boundaries misalign with information structure (Singh &amp; Merola, 2025).</w:t>
      </w:r>
    </w:p>
    <w:p w14:paraId="50915B70" w14:textId="77777777" w:rsidR="00B80F80" w:rsidRDefault="00000000">
      <w:pPr>
        <w:spacing w:after="200"/>
      </w:pPr>
      <w:r>
        <w:t>Knowledge graph systems generate responses with explicit relationship provenance, enabling answer traces through entity-relationship paths. This structural grounding improves explainability and facilitates verification against source knowledge. Community-based summarization further enhances response quality for global queries by providing pre-synthesized thematic context (Edge et al., 2024).</w:t>
      </w:r>
    </w:p>
    <w:p w14:paraId="736DB56C" w14:textId="77777777" w:rsidR="00B80F80" w:rsidRDefault="00000000">
      <w:pPr>
        <w:pStyle w:val="Heading2"/>
      </w:pPr>
      <w:r>
        <w:lastRenderedPageBreak/>
        <w:t>4.3 Computational Efficiency</w:t>
      </w:r>
    </w:p>
    <w:p w14:paraId="52D5D2FD" w14:textId="77777777" w:rsidR="00B80F80" w:rsidRDefault="00000000">
      <w:pPr>
        <w:spacing w:after="200"/>
      </w:pPr>
      <w:r>
        <w:t>Vector similarity search achieves sub-linear query complexity through approximate nearest neighbor algorithms. FAISS enables millisecond-latency retrieval over billion-scale indices using GPU acceleration and product quantization (</w:t>
      </w:r>
      <w:proofErr w:type="spellStart"/>
      <w:r>
        <w:t>Douze</w:t>
      </w:r>
      <w:proofErr w:type="spellEnd"/>
      <w:r>
        <w:t xml:space="preserve"> et al., 2024). This efficiency makes chunk-based RAG suitable for latency-sensitive applications requiring real-time responses.</w:t>
      </w:r>
    </w:p>
    <w:p w14:paraId="700C1D55" w14:textId="77777777" w:rsidR="00B80F80" w:rsidRDefault="00000000">
      <w:pPr>
        <w:spacing w:after="200"/>
      </w:pPr>
      <w:r>
        <w:t>Graph-based retrieval introduces additional computational overhead from graph traversal, community detection, and multi-hop reasoning. Index construction requires significant LLM inference for entity extraction and relationship identification. Edge et al. (2024) note that upfront indexing costs must be weighed against query-time benefits, with graph approaches becoming cost-effective when amortized over many queries against stable datasets.</w:t>
      </w:r>
    </w:p>
    <w:p w14:paraId="1BCE3586" w14:textId="77777777" w:rsidR="00B80F80" w:rsidRDefault="00000000">
      <w:pPr>
        <w:pStyle w:val="Heading1"/>
      </w:pPr>
      <w:r>
        <w:t>5. Strengths and Limitations Analysis</w:t>
      </w:r>
    </w:p>
    <w:p w14:paraId="50E82208" w14:textId="77777777" w:rsidR="00B80F80" w:rsidRDefault="00000000">
      <w:pPr>
        <w:pStyle w:val="Heading2"/>
      </w:pPr>
      <w:r>
        <w:t>5.1 Chunk-Based RAG</w:t>
      </w:r>
    </w:p>
    <w:p w14:paraId="746E6A44" w14:textId="77777777" w:rsidR="00B80F80" w:rsidRDefault="00000000">
      <w:pPr>
        <w:spacing w:after="120"/>
      </w:pPr>
      <w:r>
        <w:rPr>
          <w:b/>
          <w:bCs/>
        </w:rPr>
        <w:t>Strengths:</w:t>
      </w:r>
    </w:p>
    <w:p w14:paraId="4AEF98FB" w14:textId="77777777" w:rsidR="00B80F80" w:rsidRDefault="00000000">
      <w:pPr>
        <w:pStyle w:val="ListParagraph"/>
        <w:numPr>
          <w:ilvl w:val="0"/>
          <w:numId w:val="2"/>
        </w:numPr>
      </w:pPr>
      <w:r>
        <w:t>Rapid implementation with minimal data preprocessing requirements</w:t>
      </w:r>
    </w:p>
    <w:p w14:paraId="64CCACC6" w14:textId="77777777" w:rsidR="00B80F80" w:rsidRDefault="00000000">
      <w:pPr>
        <w:pStyle w:val="ListParagraph"/>
        <w:numPr>
          <w:ilvl w:val="0"/>
          <w:numId w:val="2"/>
        </w:numPr>
      </w:pPr>
      <w:r>
        <w:t>Effective generalization across domains through transfer learning of embedding models</w:t>
      </w:r>
    </w:p>
    <w:p w14:paraId="1B0D0EBC" w14:textId="77777777" w:rsidR="00B80F80" w:rsidRDefault="00000000">
      <w:pPr>
        <w:pStyle w:val="ListParagraph"/>
        <w:numPr>
          <w:ilvl w:val="0"/>
          <w:numId w:val="2"/>
        </w:numPr>
      </w:pPr>
      <w:r>
        <w:t>Low-latency retrieval suitable for real-time applications</w:t>
      </w:r>
    </w:p>
    <w:p w14:paraId="5EFAFDDD" w14:textId="77777777" w:rsidR="00B80F80" w:rsidRDefault="00000000">
      <w:pPr>
        <w:pStyle w:val="ListParagraph"/>
        <w:numPr>
          <w:ilvl w:val="0"/>
          <w:numId w:val="2"/>
        </w:numPr>
      </w:pPr>
      <w:r>
        <w:t>Straightforward index maintenance through incremental document updates</w:t>
      </w:r>
    </w:p>
    <w:p w14:paraId="5DE9F0A2" w14:textId="77777777" w:rsidR="00B80F80" w:rsidRDefault="00000000">
      <w:pPr>
        <w:pStyle w:val="ListParagraph"/>
        <w:numPr>
          <w:ilvl w:val="0"/>
          <w:numId w:val="2"/>
        </w:numPr>
        <w:spacing w:after="150"/>
      </w:pPr>
      <w:r>
        <w:t>Proven scalability to billion-document corpora (</w:t>
      </w:r>
      <w:proofErr w:type="spellStart"/>
      <w:r>
        <w:t>Douze</w:t>
      </w:r>
      <w:proofErr w:type="spellEnd"/>
      <w:r>
        <w:t xml:space="preserve"> et al., 2024)</w:t>
      </w:r>
    </w:p>
    <w:p w14:paraId="72C15F86" w14:textId="77777777" w:rsidR="00B80F80" w:rsidRDefault="00000000">
      <w:pPr>
        <w:spacing w:after="120"/>
      </w:pPr>
      <w:r>
        <w:rPr>
          <w:b/>
          <w:bCs/>
        </w:rPr>
        <w:t>Limitations:</w:t>
      </w:r>
    </w:p>
    <w:p w14:paraId="7F7A8E5D" w14:textId="77777777" w:rsidR="00B80F80" w:rsidRDefault="00000000">
      <w:pPr>
        <w:pStyle w:val="ListParagraph"/>
        <w:numPr>
          <w:ilvl w:val="0"/>
          <w:numId w:val="2"/>
        </w:numPr>
      </w:pPr>
      <w:r>
        <w:t>Sensitivity to chunking strategy with significant performance variance across configurations (Smith &amp; Troynikov, 2024)</w:t>
      </w:r>
    </w:p>
    <w:p w14:paraId="1BB47B33" w14:textId="77777777" w:rsidR="00B80F80" w:rsidRDefault="00000000">
      <w:pPr>
        <w:pStyle w:val="ListParagraph"/>
        <w:numPr>
          <w:ilvl w:val="0"/>
          <w:numId w:val="2"/>
        </w:numPr>
      </w:pPr>
      <w:r>
        <w:t>Inability to synthesize information distributed across multiple passages</w:t>
      </w:r>
    </w:p>
    <w:p w14:paraId="75E71F47" w14:textId="77777777" w:rsidR="00B80F80" w:rsidRDefault="00000000">
      <w:pPr>
        <w:pStyle w:val="ListParagraph"/>
        <w:numPr>
          <w:ilvl w:val="0"/>
          <w:numId w:val="2"/>
        </w:numPr>
      </w:pPr>
      <w:r>
        <w:t>Lack of explicit semantic relationship modeling</w:t>
      </w:r>
    </w:p>
    <w:p w14:paraId="3EA7D922" w14:textId="77777777" w:rsidR="00B80F80" w:rsidRDefault="00000000">
      <w:pPr>
        <w:pStyle w:val="ListParagraph"/>
        <w:numPr>
          <w:ilvl w:val="0"/>
          <w:numId w:val="2"/>
        </w:numPr>
        <w:spacing w:after="200"/>
      </w:pPr>
      <w:r>
        <w:t>Limited explainability for answer provenance</w:t>
      </w:r>
    </w:p>
    <w:p w14:paraId="4841CE62" w14:textId="77777777" w:rsidR="00B80F80" w:rsidRDefault="00000000">
      <w:pPr>
        <w:pStyle w:val="Heading2"/>
      </w:pPr>
      <w:r>
        <w:t>5.2 Knowledge Graph-Based RAG</w:t>
      </w:r>
    </w:p>
    <w:p w14:paraId="1F97680F" w14:textId="77777777" w:rsidR="00B80F80" w:rsidRDefault="00000000">
      <w:pPr>
        <w:spacing w:after="120"/>
      </w:pPr>
      <w:r>
        <w:rPr>
          <w:b/>
          <w:bCs/>
        </w:rPr>
        <w:t>Strengths:</w:t>
      </w:r>
    </w:p>
    <w:p w14:paraId="0E7FD4DA" w14:textId="77777777" w:rsidR="00B80F80" w:rsidRDefault="00000000">
      <w:pPr>
        <w:pStyle w:val="ListParagraph"/>
        <w:numPr>
          <w:ilvl w:val="0"/>
          <w:numId w:val="2"/>
        </w:numPr>
      </w:pPr>
      <w:r>
        <w:t>Explicit capture of semantic relationships enabling structured reasoning</w:t>
      </w:r>
    </w:p>
    <w:p w14:paraId="59157B06" w14:textId="77777777" w:rsidR="00B80F80" w:rsidRDefault="00000000">
      <w:pPr>
        <w:pStyle w:val="ListParagraph"/>
        <w:numPr>
          <w:ilvl w:val="0"/>
          <w:numId w:val="2"/>
        </w:numPr>
      </w:pPr>
      <w:r>
        <w:t>Support for multi-hop inference and complex query resolution</w:t>
      </w:r>
    </w:p>
    <w:p w14:paraId="281D6821" w14:textId="77777777" w:rsidR="00B80F80" w:rsidRDefault="00000000">
      <w:pPr>
        <w:pStyle w:val="ListParagraph"/>
        <w:numPr>
          <w:ilvl w:val="0"/>
          <w:numId w:val="2"/>
        </w:numPr>
      </w:pPr>
      <w:r>
        <w:t>Superior performance on global summarization and thematic analysis tasks (Edge et al., 2024)</w:t>
      </w:r>
    </w:p>
    <w:p w14:paraId="0B307064" w14:textId="77777777" w:rsidR="00B80F80" w:rsidRDefault="00000000">
      <w:pPr>
        <w:pStyle w:val="ListParagraph"/>
        <w:numPr>
          <w:ilvl w:val="0"/>
          <w:numId w:val="2"/>
        </w:numPr>
      </w:pPr>
      <w:r>
        <w:t>Enhanced explainability through traceable entity-relationship paths</w:t>
      </w:r>
    </w:p>
    <w:p w14:paraId="5C545ADB" w14:textId="77777777" w:rsidR="00B80F80" w:rsidRDefault="00000000">
      <w:pPr>
        <w:pStyle w:val="ListParagraph"/>
        <w:numPr>
          <w:ilvl w:val="0"/>
          <w:numId w:val="2"/>
        </w:numPr>
        <w:spacing w:after="150"/>
      </w:pPr>
      <w:r>
        <w:t>Robustness to document formatting variations and information fragmentation</w:t>
      </w:r>
    </w:p>
    <w:p w14:paraId="0731072D" w14:textId="77777777" w:rsidR="001E2495" w:rsidRDefault="001E2495" w:rsidP="001E2495">
      <w:pPr>
        <w:spacing w:after="150"/>
      </w:pPr>
    </w:p>
    <w:p w14:paraId="2B2E7C0B" w14:textId="77777777" w:rsidR="00B80F80" w:rsidRDefault="00000000">
      <w:pPr>
        <w:spacing w:after="120"/>
      </w:pPr>
      <w:r>
        <w:rPr>
          <w:b/>
          <w:bCs/>
        </w:rPr>
        <w:lastRenderedPageBreak/>
        <w:t>Limitations:</w:t>
      </w:r>
    </w:p>
    <w:p w14:paraId="31598ED5" w14:textId="77777777" w:rsidR="00B80F80" w:rsidRDefault="00000000">
      <w:pPr>
        <w:pStyle w:val="ListParagraph"/>
        <w:numPr>
          <w:ilvl w:val="0"/>
          <w:numId w:val="2"/>
        </w:numPr>
      </w:pPr>
      <w:r>
        <w:t>Significant upfront investment in graph construction and schema design</w:t>
      </w:r>
    </w:p>
    <w:p w14:paraId="53C95D3D" w14:textId="77777777" w:rsidR="00B80F80" w:rsidRDefault="00000000">
      <w:pPr>
        <w:pStyle w:val="ListParagraph"/>
        <w:numPr>
          <w:ilvl w:val="0"/>
          <w:numId w:val="2"/>
        </w:numPr>
      </w:pPr>
      <w:r>
        <w:t>Requirement for domain expertise in ontology development (Scaffidi et al., 2025)</w:t>
      </w:r>
    </w:p>
    <w:p w14:paraId="6F0AE185" w14:textId="77777777" w:rsidR="00B80F80" w:rsidRDefault="00000000">
      <w:pPr>
        <w:pStyle w:val="ListParagraph"/>
        <w:numPr>
          <w:ilvl w:val="0"/>
          <w:numId w:val="2"/>
        </w:numPr>
      </w:pPr>
      <w:r>
        <w:t>Higher computational cost for index construction using LLM extraction</w:t>
      </w:r>
    </w:p>
    <w:p w14:paraId="0F7AAEE5" w14:textId="77777777" w:rsidR="00B80F80" w:rsidRDefault="00000000">
      <w:pPr>
        <w:pStyle w:val="ListParagraph"/>
        <w:numPr>
          <w:ilvl w:val="0"/>
          <w:numId w:val="2"/>
        </w:numPr>
        <w:spacing w:after="200"/>
      </w:pPr>
      <w:r>
        <w:t>Reduced effectiveness when relationships are not explicitly linkable in source data</w:t>
      </w:r>
    </w:p>
    <w:p w14:paraId="01620662" w14:textId="77777777" w:rsidR="00B80F80" w:rsidRDefault="00000000">
      <w:pPr>
        <w:pStyle w:val="Heading1"/>
      </w:pPr>
      <w:r>
        <w:t>6. Use Case Recommendations</w:t>
      </w:r>
    </w:p>
    <w:p w14:paraId="289B9679" w14:textId="77777777" w:rsidR="00B80F80" w:rsidRDefault="00000000">
      <w:pPr>
        <w:spacing w:after="200"/>
      </w:pPr>
      <w:r>
        <w:t>Architecture selection should be driven by application requirements including query complexity, latency constraints, domain characteristics, and available resources for index construction and maintenance.</w:t>
      </w:r>
    </w:p>
    <w:p w14:paraId="73E874A0" w14:textId="77777777" w:rsidR="00B80F80" w:rsidRDefault="00000000">
      <w:pPr>
        <w:pStyle w:val="Heading2"/>
      </w:pPr>
      <w:r>
        <w:t>6.1 Chunk-Based RAG Recommended Applications</w:t>
      </w:r>
    </w:p>
    <w:p w14:paraId="37CF0D35" w14:textId="77777777" w:rsidR="00B80F80" w:rsidRDefault="00000000">
      <w:pPr>
        <w:pStyle w:val="ListParagraph"/>
        <w:numPr>
          <w:ilvl w:val="0"/>
          <w:numId w:val="2"/>
        </w:numPr>
      </w:pPr>
      <w:r>
        <w:t>General-purpose document question answering systems with diverse query types</w:t>
      </w:r>
    </w:p>
    <w:p w14:paraId="1D3A7BDA" w14:textId="77777777" w:rsidR="00B80F80" w:rsidRDefault="00000000">
      <w:pPr>
        <w:pStyle w:val="ListParagraph"/>
        <w:numPr>
          <w:ilvl w:val="0"/>
          <w:numId w:val="2"/>
        </w:numPr>
      </w:pPr>
      <w:r>
        <w:t>Customer support applications requiring rapid deployment and iteration</w:t>
      </w:r>
    </w:p>
    <w:p w14:paraId="67AE2C9D" w14:textId="77777777" w:rsidR="00B80F80" w:rsidRDefault="00000000">
      <w:pPr>
        <w:pStyle w:val="ListParagraph"/>
        <w:numPr>
          <w:ilvl w:val="0"/>
          <w:numId w:val="2"/>
        </w:numPr>
      </w:pPr>
      <w:r>
        <w:t>Content summarization across large document collections</w:t>
      </w:r>
    </w:p>
    <w:p w14:paraId="1FF27BBF" w14:textId="77777777" w:rsidR="00B80F80" w:rsidRDefault="00000000">
      <w:pPr>
        <w:pStyle w:val="ListParagraph"/>
        <w:numPr>
          <w:ilvl w:val="0"/>
          <w:numId w:val="2"/>
        </w:numPr>
      </w:pPr>
      <w:r>
        <w:t>Low-resource deployments where graph construction costs are prohibitive</w:t>
      </w:r>
    </w:p>
    <w:p w14:paraId="348219C4" w14:textId="77777777" w:rsidR="00B80F80" w:rsidRDefault="00000000">
      <w:pPr>
        <w:pStyle w:val="ListParagraph"/>
        <w:numPr>
          <w:ilvl w:val="0"/>
          <w:numId w:val="2"/>
        </w:numPr>
        <w:spacing w:after="200"/>
      </w:pPr>
      <w:r>
        <w:t>Frequently updated corpora requiring incremental index maintenance</w:t>
      </w:r>
    </w:p>
    <w:p w14:paraId="7E2343B3" w14:textId="77777777" w:rsidR="00B80F80" w:rsidRDefault="00000000">
      <w:pPr>
        <w:pStyle w:val="Heading2"/>
      </w:pPr>
      <w:r>
        <w:t>6.2 Knowledge Graph RAG Recommended Applications</w:t>
      </w:r>
    </w:p>
    <w:p w14:paraId="29E91F84" w14:textId="77777777" w:rsidR="00B80F80" w:rsidRDefault="00000000">
      <w:pPr>
        <w:pStyle w:val="ListParagraph"/>
        <w:numPr>
          <w:ilvl w:val="0"/>
          <w:numId w:val="2"/>
        </w:numPr>
      </w:pPr>
      <w:r>
        <w:t xml:space="preserve">Scientific and technical </w:t>
      </w:r>
      <w:proofErr w:type="gramStart"/>
      <w:r>
        <w:t>question answering</w:t>
      </w:r>
      <w:proofErr w:type="gramEnd"/>
      <w:r>
        <w:t xml:space="preserve"> requiring multi-hop reasoning</w:t>
      </w:r>
    </w:p>
    <w:p w14:paraId="6F6ADD99" w14:textId="77777777" w:rsidR="00B80F80" w:rsidRDefault="00000000">
      <w:pPr>
        <w:pStyle w:val="ListParagraph"/>
        <w:numPr>
          <w:ilvl w:val="0"/>
          <w:numId w:val="2"/>
        </w:numPr>
      </w:pPr>
      <w:r>
        <w:t>Drug discovery and biomedical research applications (Matsumoto et al., 2024)</w:t>
      </w:r>
    </w:p>
    <w:p w14:paraId="71C41DD5" w14:textId="77777777" w:rsidR="00B80F80" w:rsidRDefault="00000000">
      <w:pPr>
        <w:pStyle w:val="ListParagraph"/>
        <w:numPr>
          <w:ilvl w:val="0"/>
          <w:numId w:val="2"/>
        </w:numPr>
      </w:pPr>
      <w:r>
        <w:t xml:space="preserve">Defense and intelligence analysis </w:t>
      </w:r>
      <w:proofErr w:type="gramStart"/>
      <w:r>
        <w:t>requiring</w:t>
      </w:r>
      <w:proofErr w:type="gramEnd"/>
      <w:r>
        <w:t xml:space="preserve"> relationship mapping</w:t>
      </w:r>
    </w:p>
    <w:p w14:paraId="0BB959E9" w14:textId="77777777" w:rsidR="00B80F80" w:rsidRDefault="00000000">
      <w:pPr>
        <w:pStyle w:val="ListParagraph"/>
        <w:numPr>
          <w:ilvl w:val="0"/>
          <w:numId w:val="2"/>
        </w:numPr>
      </w:pPr>
      <w:r>
        <w:t>Enterprise knowledge management with complex entity relationships</w:t>
      </w:r>
    </w:p>
    <w:p w14:paraId="60BAF7EA" w14:textId="77777777" w:rsidR="00B80F80" w:rsidRDefault="00000000">
      <w:pPr>
        <w:pStyle w:val="ListParagraph"/>
        <w:numPr>
          <w:ilvl w:val="0"/>
          <w:numId w:val="2"/>
        </w:numPr>
        <w:spacing w:after="200"/>
      </w:pPr>
      <w:r>
        <w:t>Regulatory compliance requiring audit trails and answer provenance</w:t>
      </w:r>
    </w:p>
    <w:p w14:paraId="7FC5B5A7" w14:textId="77777777" w:rsidR="00B80F80" w:rsidRDefault="00000000">
      <w:pPr>
        <w:pStyle w:val="Heading2"/>
      </w:pPr>
      <w:r>
        <w:t>6.3 Hybrid Architectures</w:t>
      </w:r>
    </w:p>
    <w:p w14:paraId="5ED6CC37" w14:textId="77777777" w:rsidR="00B80F80" w:rsidRDefault="00000000">
      <w:pPr>
        <w:spacing w:after="200"/>
      </w:pPr>
      <w:r>
        <w:t>Modern production systems increasingly adopt hybrid approaches that leverage chunk-based retrieval for broad coverage and graph-based reasoning for precision. This combination addresses the fundamental trade-off between recall and reasoning capability, using vector similarity for initial candidate identification and graph traversal for relationship-aware ranking and synthesis (Fan et al., 2024).</w:t>
      </w:r>
    </w:p>
    <w:p w14:paraId="71654041" w14:textId="77777777" w:rsidR="00B80F80" w:rsidRDefault="00000000">
      <w:pPr>
        <w:spacing w:after="200"/>
      </w:pPr>
      <w:r>
        <w:t xml:space="preserve">Hybrid architectures can employ graph grounding to filter or </w:t>
      </w:r>
      <w:proofErr w:type="spellStart"/>
      <w:r>
        <w:t>rerank</w:t>
      </w:r>
      <w:proofErr w:type="spellEnd"/>
      <w:r>
        <w:t xml:space="preserve"> chunk-based results, incorporating entity resolution to connect retrieved passages through explicit relationships. This approach combines the efficiency of approximate nearest neighbor search with the semantic precision of structured knowledge representations.</w:t>
      </w:r>
    </w:p>
    <w:p w14:paraId="372581CA" w14:textId="77777777" w:rsidR="001E2495" w:rsidRDefault="001E2495">
      <w:pPr>
        <w:spacing w:after="200"/>
      </w:pPr>
    </w:p>
    <w:p w14:paraId="545EFB7E" w14:textId="77777777" w:rsidR="00B80F80" w:rsidRDefault="00000000">
      <w:pPr>
        <w:pStyle w:val="Heading1"/>
      </w:pPr>
      <w:r>
        <w:lastRenderedPageBreak/>
        <w:t>7. Implementation Considerations</w:t>
      </w:r>
    </w:p>
    <w:p w14:paraId="5AE2F09B" w14:textId="77777777" w:rsidR="00B80F80" w:rsidRDefault="00000000">
      <w:pPr>
        <w:pStyle w:val="Heading2"/>
      </w:pPr>
      <w:r>
        <w:t>7.1 Chunking Strategy Selection</w:t>
      </w:r>
    </w:p>
    <w:p w14:paraId="4F35505C" w14:textId="77777777" w:rsidR="00B80F80" w:rsidRDefault="00000000">
      <w:pPr>
        <w:spacing w:after="200"/>
      </w:pPr>
      <w:r>
        <w:t xml:space="preserve">For chunk-based systems, segmentation strategy significantly impacts retrieval quality. Research by Smith &amp; </w:t>
      </w:r>
      <w:proofErr w:type="spellStart"/>
      <w:r>
        <w:t>Troynikov</w:t>
      </w:r>
      <w:proofErr w:type="spellEnd"/>
      <w:r>
        <w:t xml:space="preserve"> (2024) demonstrates that recursive token-based chunking with overlap consistently outperforms fixed-size approaches across multiple benchmarks. Semantic chunking using LLM-guided boundary detection achieves highest precision but incurs substantial computational overhead (</w:t>
      </w:r>
      <w:proofErr w:type="spellStart"/>
      <w:r>
        <w:t>Weaviate</w:t>
      </w:r>
      <w:proofErr w:type="spellEnd"/>
      <w:r>
        <w:t>, 2025).</w:t>
      </w:r>
    </w:p>
    <w:p w14:paraId="4B58C265" w14:textId="77777777" w:rsidR="00B80F80" w:rsidRDefault="00000000">
      <w:pPr>
        <w:spacing w:after="200"/>
      </w:pPr>
      <w:r>
        <w:t>Advanced techniques including late chunking, which embeds entire documents before segmentation, and contextual retrieval, which augments chunks with document-level context, address the fundamental tension between granularity for retrieval precision and context for generation coherence (Singh &amp; Merola, 2025).</w:t>
      </w:r>
    </w:p>
    <w:p w14:paraId="272688E4" w14:textId="77777777" w:rsidR="00B80F80" w:rsidRDefault="00000000">
      <w:pPr>
        <w:pStyle w:val="Heading2"/>
      </w:pPr>
      <w:r>
        <w:t>7.2 Graph Schema Design</w:t>
      </w:r>
    </w:p>
    <w:p w14:paraId="0C5E5166" w14:textId="77777777" w:rsidR="00B80F80" w:rsidRDefault="00000000">
      <w:pPr>
        <w:spacing w:after="200"/>
      </w:pPr>
      <w:r>
        <w:t>Knowledge graph effectiveness depends critically on schema design matching domain requirements. Scaffidi et al. (2025) demonstrate that domain-specific schemas with expert-defined entity types significantly outperform auto-generated schemas for technical document retrieval. Schema design should balance comprehensiveness with precision, avoiding over-specification that fragments meaningful relationships.</w:t>
      </w:r>
    </w:p>
    <w:p w14:paraId="19655CDF" w14:textId="77777777" w:rsidR="00B80F80" w:rsidRDefault="00000000">
      <w:pPr>
        <w:pStyle w:val="Heading2"/>
      </w:pPr>
      <w:r>
        <w:t>7.3 Evaluation Methodology</w:t>
      </w:r>
    </w:p>
    <w:p w14:paraId="60A88DEF" w14:textId="77777777" w:rsidR="00B80F80" w:rsidRDefault="00000000">
      <w:pPr>
        <w:spacing w:after="200"/>
      </w:pPr>
      <w:r>
        <w:t>RAG systems require evaluation across multiple dimensions including retrieval accuracy (</w:t>
      </w:r>
      <w:proofErr w:type="spellStart"/>
      <w:r>
        <w:t>recall@k</w:t>
      </w:r>
      <w:proofErr w:type="spellEnd"/>
      <w:r>
        <w:t>, precision), generation quality (factual correctness, coherence), and operational metrics (latency, throughput). Edge et al. (2024) recommend evaluation using comprehensiveness and diversity metrics for global queries, while retrieval benchmarks like MTEB provide standardized assessment for embedding quality.</w:t>
      </w:r>
    </w:p>
    <w:p w14:paraId="3D5198FD" w14:textId="77777777" w:rsidR="00B80F80" w:rsidRDefault="00000000">
      <w:pPr>
        <w:pStyle w:val="Heading1"/>
      </w:pPr>
      <w:r>
        <w:t>8. Future Research Directions</w:t>
      </w:r>
    </w:p>
    <w:p w14:paraId="7E67015E" w14:textId="77777777" w:rsidR="00B80F80" w:rsidRDefault="00000000">
      <w:pPr>
        <w:spacing w:after="200"/>
      </w:pPr>
      <w:r>
        <w:t>The RAG landscape continues evolving rapidly, with several promising research directions emerging. Agentic RAG systems that autonomously determine retrieval strategies based on query complexity represent a significant advancement over static pipelines. Multi-modal RAG extending beyond text to incorporate images, tables, and structured data addresses real-world document diversity.</w:t>
      </w:r>
    </w:p>
    <w:p w14:paraId="50AC5CB9" w14:textId="77777777" w:rsidR="00B80F80" w:rsidRDefault="00000000">
      <w:pPr>
        <w:spacing w:after="200"/>
      </w:pPr>
      <w:r>
        <w:t xml:space="preserve">Efficiency improvements remain critical for production deployment. Techniques including query-adaptive retrieval, speculative decoding, and knowledge distillation for compact retrievers promise to reduce computational costs while maintaining quality. </w:t>
      </w:r>
      <w:proofErr w:type="spellStart"/>
      <w:r>
        <w:t>LazyGraphRAG</w:t>
      </w:r>
      <w:proofErr w:type="spellEnd"/>
      <w:r>
        <w:t xml:space="preserve"> approaches that approximate graph structures without full LLM extraction offer promising cost-quality trade-offs (Microsoft Research, 2025).</w:t>
      </w:r>
    </w:p>
    <w:p w14:paraId="7F6DFC7F" w14:textId="77777777" w:rsidR="00B80F80" w:rsidRDefault="00000000">
      <w:pPr>
        <w:spacing w:after="200"/>
      </w:pPr>
      <w:r>
        <w:t xml:space="preserve">The integration of RAG with reasoning frameworks including chain-of-thought prompting and tree-of-thought exploration enables more sophisticated multi-step problem solving. </w:t>
      </w:r>
      <w:r>
        <w:lastRenderedPageBreak/>
        <w:t xml:space="preserve">Think-on-Graph approaches that combine LLM reasoning with explicit knowledge graph traversal demonstrate </w:t>
      </w:r>
      <w:proofErr w:type="gramStart"/>
      <w:r>
        <w:t>particular promise</w:t>
      </w:r>
      <w:proofErr w:type="gramEnd"/>
      <w:r>
        <w:t xml:space="preserve"> for complex analytical tasks requiring both world knowledge and logical inference (Sun et al., 2023).</w:t>
      </w:r>
    </w:p>
    <w:p w14:paraId="397C856E" w14:textId="77777777" w:rsidR="00B80F80" w:rsidRDefault="00000000">
      <w:pPr>
        <w:pStyle w:val="Heading1"/>
      </w:pPr>
      <w:r>
        <w:t>9. Conclusion</w:t>
      </w:r>
    </w:p>
    <w:p w14:paraId="79179903" w14:textId="77777777" w:rsidR="00B80F80" w:rsidRDefault="00000000">
      <w:pPr>
        <w:spacing w:after="200"/>
      </w:pPr>
      <w:r>
        <w:t>This comparative analysis demonstrates that chunk-based and knowledge graph-based RAG architectures offer complementary strengths suited to different application requirements. Chunk-based approaches provide implementation simplicity, rapid deployment, and proven scalability, making them appropriate for general-purpose question answering and latency-sensitive applications. Knowledge graph-based systems deliver superior performance for complex reasoning tasks, offering explicit relationship modeling, multi-hop inference capability, and enhanced explainability at the cost of increased implementation complexity and computational overhead.</w:t>
      </w:r>
    </w:p>
    <w:p w14:paraId="1955EFF1" w14:textId="77777777" w:rsidR="00B80F80" w:rsidRDefault="00000000">
      <w:pPr>
        <w:spacing w:after="200"/>
      </w:pPr>
      <w:r>
        <w:t>For enterprise deployments requiring both breadth and depth, hybrid architectures that combine vector similarity retrieval with graph-based reasoning emerge as the most promising approach. The selection between architectures should be guided by careful analysis of query complexity patterns, domain characteristics, latency requirements, and available resources for system development and maintenance.</w:t>
      </w:r>
    </w:p>
    <w:p w14:paraId="10E2C11A" w14:textId="77777777" w:rsidR="00B80F80" w:rsidRDefault="00000000">
      <w:pPr>
        <w:spacing w:after="200"/>
      </w:pPr>
      <w:r>
        <w:t>As the field continues to mature, we anticipate convergence toward unified frameworks that dynamically select retrieval strategies based on query characteristics, combining the efficiency of dense retrieval with the precision of structured knowledge representations. The foundational research reviewed in this paper provides the theoretical and empirical basis for continued advancement in retrieval-augmented generation systems.</w:t>
      </w:r>
    </w:p>
    <w:p w14:paraId="6616C009" w14:textId="77777777" w:rsidR="00B80F80" w:rsidRDefault="00000000">
      <w:r>
        <w:br w:type="page"/>
      </w:r>
    </w:p>
    <w:p w14:paraId="11D1FEF3" w14:textId="77777777" w:rsidR="00B80F80" w:rsidRDefault="00000000">
      <w:pPr>
        <w:pStyle w:val="Heading1"/>
      </w:pPr>
      <w:r>
        <w:lastRenderedPageBreak/>
        <w:t>References</w:t>
      </w:r>
    </w:p>
    <w:p w14:paraId="402E7669" w14:textId="77777777" w:rsidR="00B80F80" w:rsidRDefault="00000000">
      <w:pPr>
        <w:spacing w:after="120"/>
        <w:ind w:left="720" w:hanging="720"/>
      </w:pPr>
      <w:r>
        <w:rPr>
          <w:sz w:val="22"/>
          <w:szCs w:val="22"/>
        </w:rPr>
        <w:t xml:space="preserve">Chakraborty, A. (2024). Multi-hop Question Answering over Knowledge Graphs using Large Language Models. </w:t>
      </w:r>
      <w:proofErr w:type="spellStart"/>
      <w:r>
        <w:rPr>
          <w:sz w:val="22"/>
          <w:szCs w:val="22"/>
        </w:rPr>
        <w:t>arXiv</w:t>
      </w:r>
      <w:proofErr w:type="spellEnd"/>
      <w:r>
        <w:rPr>
          <w:sz w:val="22"/>
          <w:szCs w:val="22"/>
        </w:rPr>
        <w:t xml:space="preserve"> preprint arXiv:2404.19234.</w:t>
      </w:r>
    </w:p>
    <w:p w14:paraId="51817495" w14:textId="77777777" w:rsidR="00B80F80" w:rsidRDefault="00000000">
      <w:pPr>
        <w:spacing w:after="120"/>
        <w:ind w:left="720" w:hanging="720"/>
      </w:pPr>
      <w:proofErr w:type="spellStart"/>
      <w:r>
        <w:rPr>
          <w:sz w:val="22"/>
          <w:szCs w:val="22"/>
        </w:rPr>
        <w:t>Douze</w:t>
      </w:r>
      <w:proofErr w:type="spellEnd"/>
      <w:r>
        <w:rPr>
          <w:sz w:val="22"/>
          <w:szCs w:val="22"/>
        </w:rPr>
        <w:t xml:space="preserve">, M., </w:t>
      </w:r>
      <w:proofErr w:type="spellStart"/>
      <w:r>
        <w:rPr>
          <w:sz w:val="22"/>
          <w:szCs w:val="22"/>
        </w:rPr>
        <w:t>Guzhva</w:t>
      </w:r>
      <w:proofErr w:type="spellEnd"/>
      <w:r>
        <w:rPr>
          <w:sz w:val="22"/>
          <w:szCs w:val="22"/>
        </w:rPr>
        <w:t xml:space="preserve">, A., Deng, C., Johnson, J., </w:t>
      </w:r>
      <w:proofErr w:type="spellStart"/>
      <w:r>
        <w:rPr>
          <w:sz w:val="22"/>
          <w:szCs w:val="22"/>
        </w:rPr>
        <w:t>Szilvasy</w:t>
      </w:r>
      <w:proofErr w:type="spellEnd"/>
      <w:r>
        <w:rPr>
          <w:sz w:val="22"/>
          <w:szCs w:val="22"/>
        </w:rPr>
        <w:t xml:space="preserve">, G., Mazaré, P.-E., Lomeli, M., Hosseini, L., &amp; Jégou, H. (2024). The </w:t>
      </w:r>
      <w:proofErr w:type="spellStart"/>
      <w:r>
        <w:rPr>
          <w:sz w:val="22"/>
          <w:szCs w:val="22"/>
        </w:rPr>
        <w:t>Faiss</w:t>
      </w:r>
      <w:proofErr w:type="spellEnd"/>
      <w:r>
        <w:rPr>
          <w:sz w:val="22"/>
          <w:szCs w:val="22"/>
        </w:rPr>
        <w:t xml:space="preserve"> Library. </w:t>
      </w:r>
      <w:proofErr w:type="spellStart"/>
      <w:r>
        <w:rPr>
          <w:sz w:val="22"/>
          <w:szCs w:val="22"/>
        </w:rPr>
        <w:t>arXiv</w:t>
      </w:r>
      <w:proofErr w:type="spellEnd"/>
      <w:r>
        <w:rPr>
          <w:sz w:val="22"/>
          <w:szCs w:val="22"/>
        </w:rPr>
        <w:t xml:space="preserve"> preprint arXiv:2401.08281.</w:t>
      </w:r>
    </w:p>
    <w:p w14:paraId="6E625B2E" w14:textId="77777777" w:rsidR="00B80F80" w:rsidRDefault="00000000">
      <w:pPr>
        <w:spacing w:after="120"/>
        <w:ind w:left="720" w:hanging="720"/>
      </w:pPr>
      <w:r>
        <w:rPr>
          <w:sz w:val="22"/>
          <w:szCs w:val="22"/>
        </w:rPr>
        <w:t xml:space="preserve">Edge, D., Trinh, H., Cheng, N., Bradley, J., Chao, A., Mody, A., Truitt, S., &amp; Larson, J. (2024). From Local to Global: A Graph RAG Approach to Query-Focused Summarization. </w:t>
      </w:r>
      <w:proofErr w:type="spellStart"/>
      <w:r>
        <w:rPr>
          <w:sz w:val="22"/>
          <w:szCs w:val="22"/>
        </w:rPr>
        <w:t>arXiv</w:t>
      </w:r>
      <w:proofErr w:type="spellEnd"/>
      <w:r>
        <w:rPr>
          <w:sz w:val="22"/>
          <w:szCs w:val="22"/>
        </w:rPr>
        <w:t xml:space="preserve"> preprint arXiv:2404.16130.</w:t>
      </w:r>
    </w:p>
    <w:p w14:paraId="4E50F8DC" w14:textId="77777777" w:rsidR="00B80F80" w:rsidRDefault="00000000">
      <w:pPr>
        <w:spacing w:after="120"/>
        <w:ind w:left="720" w:hanging="720"/>
      </w:pPr>
      <w:r>
        <w:rPr>
          <w:sz w:val="22"/>
          <w:szCs w:val="22"/>
        </w:rPr>
        <w:t>Fan, W., Ding, Y., Ning, L., Wang, S., Li, H., Yin, D., Chua, T.-S., &amp; Li, Q. (2024). A Survey on RAG Meeting LLMs: Towards Retrieval-Augmented Large Language Models. In Proceedings of the 30th ACM SIGKDD Conference on Knowledge Discovery and Data Mining.</w:t>
      </w:r>
    </w:p>
    <w:p w14:paraId="1367E139" w14:textId="77777777" w:rsidR="00B80F80" w:rsidRDefault="00000000">
      <w:pPr>
        <w:spacing w:after="120"/>
        <w:ind w:left="720" w:hanging="720"/>
      </w:pPr>
      <w:r>
        <w:rPr>
          <w:sz w:val="22"/>
          <w:szCs w:val="22"/>
        </w:rPr>
        <w:t xml:space="preserve">Gao, Y., Xiong, Y., Gao, X., Jia, K., Pan, J., Bi, Y., Dai, Y., Sun, J., Wang, H., &amp; Wang, H. (2023). Retrieval-Augmented Generation for Large Language Models: A Survey. </w:t>
      </w:r>
      <w:proofErr w:type="spellStart"/>
      <w:r>
        <w:rPr>
          <w:sz w:val="22"/>
          <w:szCs w:val="22"/>
        </w:rPr>
        <w:t>arXiv</w:t>
      </w:r>
      <w:proofErr w:type="spellEnd"/>
      <w:r>
        <w:rPr>
          <w:sz w:val="22"/>
          <w:szCs w:val="22"/>
        </w:rPr>
        <w:t xml:space="preserve"> preprint arXiv:2312.10997.</w:t>
      </w:r>
    </w:p>
    <w:p w14:paraId="1337FE42" w14:textId="77777777" w:rsidR="00B80F80" w:rsidRDefault="00000000">
      <w:pPr>
        <w:spacing w:after="120"/>
        <w:ind w:left="720" w:hanging="720"/>
      </w:pPr>
      <w:proofErr w:type="spellStart"/>
      <w:r>
        <w:rPr>
          <w:sz w:val="22"/>
          <w:szCs w:val="22"/>
        </w:rPr>
        <w:t>Guu</w:t>
      </w:r>
      <w:proofErr w:type="spellEnd"/>
      <w:r>
        <w:rPr>
          <w:sz w:val="22"/>
          <w:szCs w:val="22"/>
        </w:rPr>
        <w:t xml:space="preserve">, K., Lee, K., Tung, Z., </w:t>
      </w:r>
      <w:proofErr w:type="spellStart"/>
      <w:r>
        <w:rPr>
          <w:sz w:val="22"/>
          <w:szCs w:val="22"/>
        </w:rPr>
        <w:t>Pasupat</w:t>
      </w:r>
      <w:proofErr w:type="spellEnd"/>
      <w:r>
        <w:rPr>
          <w:sz w:val="22"/>
          <w:szCs w:val="22"/>
        </w:rPr>
        <w:t>, P., &amp; Chang, M.-W. (2020). REALM: Retrieval-Augmented Language Model Pre-Training. In Proceedings of the 37th International Conference on Machine Learning (ICML).</w:t>
      </w:r>
    </w:p>
    <w:p w14:paraId="6621E671" w14:textId="77777777" w:rsidR="00B80F80" w:rsidRDefault="00000000">
      <w:pPr>
        <w:spacing w:after="120"/>
        <w:ind w:left="720" w:hanging="720"/>
      </w:pPr>
      <w:r>
        <w:rPr>
          <w:sz w:val="22"/>
          <w:szCs w:val="22"/>
        </w:rPr>
        <w:t xml:space="preserve">Ji, Z., Lee, N., </w:t>
      </w:r>
      <w:proofErr w:type="spellStart"/>
      <w:r>
        <w:rPr>
          <w:sz w:val="22"/>
          <w:szCs w:val="22"/>
        </w:rPr>
        <w:t>Frieske</w:t>
      </w:r>
      <w:proofErr w:type="spellEnd"/>
      <w:r>
        <w:rPr>
          <w:sz w:val="22"/>
          <w:szCs w:val="22"/>
        </w:rPr>
        <w:t xml:space="preserve">, R., Yu, T., Su, D., Xu, Y., Ishii, E., Bang, Y., </w:t>
      </w:r>
      <w:proofErr w:type="spellStart"/>
      <w:r>
        <w:rPr>
          <w:sz w:val="22"/>
          <w:szCs w:val="22"/>
        </w:rPr>
        <w:t>Madotto</w:t>
      </w:r>
      <w:proofErr w:type="spellEnd"/>
      <w:r>
        <w:rPr>
          <w:sz w:val="22"/>
          <w:szCs w:val="22"/>
        </w:rPr>
        <w:t>, A., &amp; Fung, P. (2023). Survey of Hallucination in Natural Language Generation. ACM Computing Surveys, 55(12), 1-38.</w:t>
      </w:r>
    </w:p>
    <w:p w14:paraId="3D926D4B" w14:textId="77777777" w:rsidR="00B80F80" w:rsidRDefault="00000000">
      <w:pPr>
        <w:spacing w:after="120"/>
        <w:ind w:left="720" w:hanging="720"/>
      </w:pPr>
      <w:proofErr w:type="spellStart"/>
      <w:r>
        <w:rPr>
          <w:sz w:val="22"/>
          <w:szCs w:val="22"/>
        </w:rPr>
        <w:t>Karpukhin</w:t>
      </w:r>
      <w:proofErr w:type="spellEnd"/>
      <w:r>
        <w:rPr>
          <w:sz w:val="22"/>
          <w:szCs w:val="22"/>
        </w:rPr>
        <w:t xml:space="preserve">, V., Oguz, B., Min, S., Lewis, P., Wu, L., </w:t>
      </w:r>
      <w:proofErr w:type="spellStart"/>
      <w:r>
        <w:rPr>
          <w:sz w:val="22"/>
          <w:szCs w:val="22"/>
        </w:rPr>
        <w:t>Edunov</w:t>
      </w:r>
      <w:proofErr w:type="spellEnd"/>
      <w:r>
        <w:rPr>
          <w:sz w:val="22"/>
          <w:szCs w:val="22"/>
        </w:rPr>
        <w:t>, S., Chen, D., &amp; Yih, W.-T. (2020). Dense Passage Retrieval for Open-Domain Question Answering. In Proceedings of the 2020 Conference on Empirical Methods in Natural Language Processing (EMNLP), pages 6769-6781.</w:t>
      </w:r>
    </w:p>
    <w:p w14:paraId="3577B3D5" w14:textId="77777777" w:rsidR="00B80F80" w:rsidRDefault="00000000">
      <w:pPr>
        <w:spacing w:after="120"/>
        <w:ind w:left="720" w:hanging="720"/>
      </w:pPr>
      <w:r>
        <w:rPr>
          <w:sz w:val="22"/>
          <w:szCs w:val="22"/>
        </w:rPr>
        <w:t>Lan, Y., He, G., Jiang, J., Jiang, J., Zhao, W. X., &amp; Wen, J.-R. (2022). Complex Knowledge Base Question Answering: A Survey. IEEE Transactions on Knowledge and Data Engineering, 35, 11196-11215.</w:t>
      </w:r>
    </w:p>
    <w:p w14:paraId="4C3AC733" w14:textId="77777777" w:rsidR="00B80F80" w:rsidRDefault="00000000">
      <w:pPr>
        <w:spacing w:after="120"/>
        <w:ind w:left="720" w:hanging="720"/>
      </w:pPr>
      <w:r>
        <w:rPr>
          <w:sz w:val="22"/>
          <w:szCs w:val="22"/>
        </w:rPr>
        <w:t xml:space="preserve">Lewis, P., Perez, E., </w:t>
      </w:r>
      <w:proofErr w:type="spellStart"/>
      <w:r>
        <w:rPr>
          <w:sz w:val="22"/>
          <w:szCs w:val="22"/>
        </w:rPr>
        <w:t>Piktus</w:t>
      </w:r>
      <w:proofErr w:type="spellEnd"/>
      <w:r>
        <w:rPr>
          <w:sz w:val="22"/>
          <w:szCs w:val="22"/>
        </w:rPr>
        <w:t xml:space="preserve">, A., Petroni, F., </w:t>
      </w:r>
      <w:proofErr w:type="spellStart"/>
      <w:r>
        <w:rPr>
          <w:sz w:val="22"/>
          <w:szCs w:val="22"/>
        </w:rPr>
        <w:t>Karpukhin</w:t>
      </w:r>
      <w:proofErr w:type="spellEnd"/>
      <w:r>
        <w:rPr>
          <w:sz w:val="22"/>
          <w:szCs w:val="22"/>
        </w:rPr>
        <w:t xml:space="preserve">, V., Goyal, N., </w:t>
      </w:r>
      <w:proofErr w:type="spellStart"/>
      <w:r>
        <w:rPr>
          <w:sz w:val="22"/>
          <w:szCs w:val="22"/>
        </w:rPr>
        <w:t>Küttler</w:t>
      </w:r>
      <w:proofErr w:type="spellEnd"/>
      <w:r>
        <w:rPr>
          <w:sz w:val="22"/>
          <w:szCs w:val="22"/>
        </w:rPr>
        <w:t xml:space="preserve">, H., Lewis, M., Yih, W.-T., </w:t>
      </w:r>
      <w:proofErr w:type="spellStart"/>
      <w:r>
        <w:rPr>
          <w:sz w:val="22"/>
          <w:szCs w:val="22"/>
        </w:rPr>
        <w:t>Rocktäschel</w:t>
      </w:r>
      <w:proofErr w:type="spellEnd"/>
      <w:r>
        <w:rPr>
          <w:sz w:val="22"/>
          <w:szCs w:val="22"/>
        </w:rPr>
        <w:t>, T., Riedel, S., &amp; Kiela, D. (2020). Retrieval-Augmented Generation for Knowledge-Intensive NLP Tasks. In Advances in Neural Information Processing Systems 33 (</w:t>
      </w:r>
      <w:proofErr w:type="spellStart"/>
      <w:r>
        <w:rPr>
          <w:sz w:val="22"/>
          <w:szCs w:val="22"/>
        </w:rPr>
        <w:t>NeurIPS</w:t>
      </w:r>
      <w:proofErr w:type="spellEnd"/>
      <w:r>
        <w:rPr>
          <w:sz w:val="22"/>
          <w:szCs w:val="22"/>
        </w:rPr>
        <w:t>).</w:t>
      </w:r>
    </w:p>
    <w:p w14:paraId="05F8BAAF" w14:textId="77777777" w:rsidR="00B80F80" w:rsidRDefault="00000000">
      <w:pPr>
        <w:spacing w:after="120"/>
        <w:ind w:left="720" w:hanging="720"/>
      </w:pPr>
      <w:r>
        <w:rPr>
          <w:sz w:val="22"/>
          <w:szCs w:val="22"/>
        </w:rPr>
        <w:t>Matsumoto, N., Moran, J., Choi, H., Hernandez, M. E., Venkatesan, M., Wang, P., &amp; Moore, J. H. (2024). KRAGEN: A Knowledge Graph-Enhanced RAG Framework for Biomedical Problem Solving Using Large Language Models. Bioinformatics, 40(6), btae353.</w:t>
      </w:r>
    </w:p>
    <w:p w14:paraId="321E862B" w14:textId="77777777" w:rsidR="00B80F80" w:rsidRDefault="00000000">
      <w:pPr>
        <w:spacing w:after="120"/>
        <w:ind w:left="720" w:hanging="720"/>
      </w:pPr>
      <w:r>
        <w:rPr>
          <w:sz w:val="22"/>
          <w:szCs w:val="22"/>
        </w:rPr>
        <w:t>Pan, S., Luo, L., Wang, Y., Chen, C., Wang, J., &amp; Wu, X. (2024). Unifying Large Language Models and Knowledge Graphs: A Roadmap. IEEE Transactions on Knowledge and Data Engineering, 36, 3580-3599.</w:t>
      </w:r>
    </w:p>
    <w:p w14:paraId="580DFB1B" w14:textId="77777777" w:rsidR="00B80F80" w:rsidRDefault="00000000">
      <w:pPr>
        <w:spacing w:after="120"/>
        <w:ind w:left="720" w:hanging="720"/>
        <w:rPr>
          <w:sz w:val="22"/>
          <w:szCs w:val="22"/>
        </w:rPr>
      </w:pPr>
      <w:r>
        <w:rPr>
          <w:sz w:val="22"/>
          <w:szCs w:val="22"/>
        </w:rPr>
        <w:t xml:space="preserve">Reimers, N., &amp; </w:t>
      </w:r>
      <w:proofErr w:type="spellStart"/>
      <w:r>
        <w:rPr>
          <w:sz w:val="22"/>
          <w:szCs w:val="22"/>
        </w:rPr>
        <w:t>Gurevych</w:t>
      </w:r>
      <w:proofErr w:type="spellEnd"/>
      <w:r>
        <w:rPr>
          <w:sz w:val="22"/>
          <w:szCs w:val="22"/>
        </w:rPr>
        <w:t>, I. (2019). Sentence-BERT: Sentence Embeddings using Siamese BERT-Networks. In Proceedings of the 2019 Conference on Empirical Methods in Natural Language Processing (EMNLP).</w:t>
      </w:r>
    </w:p>
    <w:p w14:paraId="6D6EB199" w14:textId="77777777" w:rsidR="001E2495" w:rsidRDefault="001E2495">
      <w:pPr>
        <w:spacing w:after="120"/>
        <w:ind w:left="720" w:hanging="720"/>
      </w:pPr>
    </w:p>
    <w:p w14:paraId="2B6732B2" w14:textId="77777777" w:rsidR="00B80F80" w:rsidRDefault="00000000">
      <w:pPr>
        <w:spacing w:after="120"/>
        <w:ind w:left="720" w:hanging="720"/>
      </w:pPr>
      <w:r>
        <w:rPr>
          <w:sz w:val="22"/>
          <w:szCs w:val="22"/>
        </w:rPr>
        <w:lastRenderedPageBreak/>
        <w:t>Saxena, A., Tripathi, A., &amp; Talukdar, P. (2020). Improving Multi-hop Question Answering over Knowledge Graphs using Knowledge Base Embeddings. In Proceedings of the 58th Annual Meeting of the Association for Computational Linguistics (ACL), pages 4498-4507.</w:t>
      </w:r>
    </w:p>
    <w:p w14:paraId="3110A21E" w14:textId="77777777" w:rsidR="00B80F80" w:rsidRDefault="00000000">
      <w:pPr>
        <w:spacing w:after="120"/>
        <w:ind w:left="720" w:hanging="720"/>
      </w:pPr>
      <w:r>
        <w:rPr>
          <w:sz w:val="22"/>
          <w:szCs w:val="22"/>
        </w:rPr>
        <w:t xml:space="preserve">Scaffidi, H., Hodkiewicz, M., Woods, C., &amp; </w:t>
      </w:r>
      <w:proofErr w:type="spellStart"/>
      <w:r>
        <w:rPr>
          <w:sz w:val="22"/>
          <w:szCs w:val="22"/>
        </w:rPr>
        <w:t>Roocke</w:t>
      </w:r>
      <w:proofErr w:type="spellEnd"/>
      <w:r>
        <w:rPr>
          <w:sz w:val="22"/>
          <w:szCs w:val="22"/>
        </w:rPr>
        <w:t xml:space="preserve">, N. (2025). </w:t>
      </w:r>
      <w:proofErr w:type="spellStart"/>
      <w:r>
        <w:rPr>
          <w:sz w:val="22"/>
          <w:szCs w:val="22"/>
        </w:rPr>
        <w:t>GraphRAG</w:t>
      </w:r>
      <w:proofErr w:type="spellEnd"/>
      <w:r>
        <w:rPr>
          <w:sz w:val="22"/>
          <w:szCs w:val="22"/>
        </w:rPr>
        <w:t xml:space="preserve"> on Technical Documents - Impact of Knowledge Graph Schema. Transactions on Graph Data and Knowledge, 3(2), 3:1-3:24.</w:t>
      </w:r>
    </w:p>
    <w:p w14:paraId="66282F5D" w14:textId="77777777" w:rsidR="00B80F80" w:rsidRDefault="00000000">
      <w:pPr>
        <w:spacing w:after="120"/>
        <w:ind w:left="720" w:hanging="720"/>
      </w:pPr>
      <w:r>
        <w:rPr>
          <w:sz w:val="22"/>
          <w:szCs w:val="22"/>
        </w:rPr>
        <w:t xml:space="preserve">Singh, J., &amp; Merola, C. (2025). Reconstructing Context: Evaluating Advanced Chunking Strategies for Retrieval-Augmented Generation. </w:t>
      </w:r>
      <w:proofErr w:type="spellStart"/>
      <w:r>
        <w:rPr>
          <w:sz w:val="22"/>
          <w:szCs w:val="22"/>
        </w:rPr>
        <w:t>arXiv</w:t>
      </w:r>
      <w:proofErr w:type="spellEnd"/>
      <w:r>
        <w:rPr>
          <w:sz w:val="22"/>
          <w:szCs w:val="22"/>
        </w:rPr>
        <w:t xml:space="preserve"> preprint arXiv:2504.19754.</w:t>
      </w:r>
    </w:p>
    <w:p w14:paraId="2EADF427" w14:textId="77777777" w:rsidR="00B80F80" w:rsidRDefault="00000000">
      <w:pPr>
        <w:spacing w:after="120"/>
        <w:ind w:left="720" w:hanging="720"/>
      </w:pPr>
      <w:r>
        <w:rPr>
          <w:sz w:val="22"/>
          <w:szCs w:val="22"/>
        </w:rPr>
        <w:t>Smith, B., &amp; Troynikov, A. (2024). Evaluating Chunking Strategies for Retrieval. Chroma Research Technical Report.</w:t>
      </w:r>
    </w:p>
    <w:p w14:paraId="627C4F30" w14:textId="77777777" w:rsidR="00B80F80" w:rsidRDefault="00000000">
      <w:pPr>
        <w:spacing w:after="120"/>
        <w:ind w:left="720" w:hanging="720"/>
      </w:pPr>
      <w:r>
        <w:rPr>
          <w:sz w:val="22"/>
          <w:szCs w:val="22"/>
        </w:rPr>
        <w:t xml:space="preserve">Sun, J., Xu, C., Tang, L., Wang, S., Lin, C., Gong, Y., Ni, L. M., Shum, H.-Y., &amp; Guo, J. (2023). Think-on-Graph: Deep and Responsible Reasoning of Large Language Model with Knowledge Graph. </w:t>
      </w:r>
      <w:proofErr w:type="spellStart"/>
      <w:r>
        <w:rPr>
          <w:sz w:val="22"/>
          <w:szCs w:val="22"/>
        </w:rPr>
        <w:t>arXiv</w:t>
      </w:r>
      <w:proofErr w:type="spellEnd"/>
      <w:r>
        <w:rPr>
          <w:sz w:val="22"/>
          <w:szCs w:val="22"/>
        </w:rPr>
        <w:t xml:space="preserve"> preprint arXiv:2307.07697.</w:t>
      </w:r>
    </w:p>
    <w:p w14:paraId="55F6C82B" w14:textId="77777777" w:rsidR="00B80F80" w:rsidRDefault="00000000">
      <w:pPr>
        <w:spacing w:after="120"/>
        <w:ind w:left="720" w:hanging="720"/>
      </w:pPr>
      <w:r>
        <w:rPr>
          <w:sz w:val="22"/>
          <w:szCs w:val="22"/>
        </w:rPr>
        <w:t xml:space="preserve">Yepes, A. J., You, Y., </w:t>
      </w:r>
      <w:proofErr w:type="spellStart"/>
      <w:r>
        <w:rPr>
          <w:sz w:val="22"/>
          <w:szCs w:val="22"/>
        </w:rPr>
        <w:t>Milczek</w:t>
      </w:r>
      <w:proofErr w:type="spellEnd"/>
      <w:r>
        <w:rPr>
          <w:sz w:val="22"/>
          <w:szCs w:val="22"/>
        </w:rPr>
        <w:t xml:space="preserve">, J., Laverde, S., &amp; Li, R. (2024). Financial Report Chunking for Effective Retrieval Augmented Generation. </w:t>
      </w:r>
      <w:proofErr w:type="spellStart"/>
      <w:r>
        <w:rPr>
          <w:sz w:val="22"/>
          <w:szCs w:val="22"/>
        </w:rPr>
        <w:t>arXiv</w:t>
      </w:r>
      <w:proofErr w:type="spellEnd"/>
      <w:r>
        <w:rPr>
          <w:sz w:val="22"/>
          <w:szCs w:val="22"/>
        </w:rPr>
        <w:t xml:space="preserve"> preprint arXiv:2402.05131.</w:t>
      </w:r>
    </w:p>
    <w:p w14:paraId="7769EA64" w14:textId="77777777" w:rsidR="00B80F80" w:rsidRDefault="00000000">
      <w:pPr>
        <w:spacing w:after="120"/>
        <w:ind w:left="720" w:hanging="720"/>
      </w:pPr>
      <w:r>
        <w:rPr>
          <w:sz w:val="22"/>
          <w:szCs w:val="22"/>
        </w:rPr>
        <w:t xml:space="preserve">Zhang, Q., Chen, S., et al. (2025). </w:t>
      </w:r>
      <w:proofErr w:type="spellStart"/>
      <w:r>
        <w:rPr>
          <w:sz w:val="22"/>
          <w:szCs w:val="22"/>
        </w:rPr>
        <w:t>GraphRAG</w:t>
      </w:r>
      <w:proofErr w:type="spellEnd"/>
      <w:r>
        <w:rPr>
          <w:sz w:val="22"/>
          <w:szCs w:val="22"/>
        </w:rPr>
        <w:t>: A Survey of Knowledge Graph-Enhanced Retrieval-Augmented Generation. Proceedings of EMNLP 2025.</w:t>
      </w:r>
    </w:p>
    <w:sectPr w:rsidR="00B80F80">
      <w:headerReference w:type="default" r:id="rId7"/>
      <w:footerReference w:type="default" r:id="rId8"/>
      <w:pgSz w:w="12240" w:h="15840"/>
      <w:pgMar w:top="1440" w:right="1440" w:bottom="144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469E92" w14:textId="77777777" w:rsidR="00B017FC" w:rsidRDefault="00B017FC">
      <w:r>
        <w:separator/>
      </w:r>
    </w:p>
  </w:endnote>
  <w:endnote w:type="continuationSeparator" w:id="0">
    <w:p w14:paraId="4FC73B16" w14:textId="77777777" w:rsidR="00B017FC" w:rsidRDefault="00B017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A83B4B" w14:textId="77777777" w:rsidR="00B80F80" w:rsidRDefault="00000000">
    <w:pPr>
      <w:jc w:val="center"/>
    </w:pPr>
    <w:r>
      <w:rPr>
        <w:sz w:val="20"/>
        <w:szCs w:val="20"/>
      </w:rPr>
      <w:t xml:space="preserve">Page </w:t>
    </w:r>
    <w:r>
      <w:rPr>
        <w:sz w:val="20"/>
        <w:szCs w:val="20"/>
      </w:rPr>
      <w:fldChar w:fldCharType="begin"/>
    </w:r>
    <w:r>
      <w:rPr>
        <w:sz w:val="20"/>
        <w:szCs w:val="20"/>
      </w:rPr>
      <w:instrText>PAGE</w:instrText>
    </w:r>
    <w:r>
      <w:rPr>
        <w:sz w:val="20"/>
        <w:szCs w:val="20"/>
      </w:rPr>
      <w:fldChar w:fldCharType="separate"/>
    </w:r>
    <w:r w:rsidR="001E2495">
      <w:rPr>
        <w:noProof/>
        <w:sz w:val="20"/>
        <w:szCs w:val="20"/>
      </w:rPr>
      <w:t>1</w:t>
    </w:r>
    <w:r>
      <w:rPr>
        <w:sz w:val="20"/>
        <w:szCs w:val="20"/>
      </w:rPr>
      <w:fldChar w:fldCharType="end"/>
    </w:r>
    <w:r>
      <w:rPr>
        <w:sz w:val="20"/>
        <w:szCs w:val="20"/>
      </w:rPr>
      <w:t xml:space="preserve"> of </w:t>
    </w:r>
    <w:r>
      <w:rPr>
        <w:sz w:val="20"/>
        <w:szCs w:val="20"/>
      </w:rPr>
      <w:fldChar w:fldCharType="begin"/>
    </w:r>
    <w:r>
      <w:rPr>
        <w:sz w:val="20"/>
        <w:szCs w:val="20"/>
      </w:rPr>
      <w:instrText>NUMPAGES</w:instrText>
    </w:r>
    <w:r>
      <w:rPr>
        <w:sz w:val="20"/>
        <w:szCs w:val="20"/>
      </w:rPr>
      <w:fldChar w:fldCharType="separate"/>
    </w:r>
    <w:r w:rsidR="001E2495">
      <w:rPr>
        <w:noProof/>
        <w:sz w:val="20"/>
        <w:szCs w:val="20"/>
      </w:rPr>
      <w:t>2</w:t>
    </w:r>
    <w:r>
      <w:rPr>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0F970C" w14:textId="77777777" w:rsidR="00B017FC" w:rsidRDefault="00B017FC">
      <w:r>
        <w:separator/>
      </w:r>
    </w:p>
  </w:footnote>
  <w:footnote w:type="continuationSeparator" w:id="0">
    <w:p w14:paraId="5D5AD2CB" w14:textId="77777777" w:rsidR="00B017FC" w:rsidRDefault="00B017F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A54C7E" w14:textId="77777777" w:rsidR="00B80F80" w:rsidRDefault="00000000">
    <w:pPr>
      <w:jc w:val="right"/>
    </w:pPr>
    <w:r>
      <w:rPr>
        <w:i/>
        <w:iCs/>
        <w:color w:val="666666"/>
        <w:sz w:val="20"/>
        <w:szCs w:val="20"/>
      </w:rPr>
      <w:t>Retrieval-Augmented Generation Architectures: A Comparative Analysis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CA6D00"/>
    <w:multiLevelType w:val="hybridMultilevel"/>
    <w:tmpl w:val="E416C266"/>
    <w:lvl w:ilvl="0" w:tplc="4FECA1FC">
      <w:start w:val="1"/>
      <w:numFmt w:val="decimal"/>
      <w:lvlText w:val="%1."/>
      <w:lvlJc w:val="left"/>
      <w:pPr>
        <w:ind w:left="720" w:hanging="360"/>
      </w:pPr>
    </w:lvl>
    <w:lvl w:ilvl="1" w:tplc="CF825B5A">
      <w:numFmt w:val="decimal"/>
      <w:lvlText w:val=""/>
      <w:lvlJc w:val="left"/>
    </w:lvl>
    <w:lvl w:ilvl="2" w:tplc="F89C326C">
      <w:numFmt w:val="decimal"/>
      <w:lvlText w:val=""/>
      <w:lvlJc w:val="left"/>
    </w:lvl>
    <w:lvl w:ilvl="3" w:tplc="E146EEF6">
      <w:numFmt w:val="decimal"/>
      <w:lvlText w:val=""/>
      <w:lvlJc w:val="left"/>
    </w:lvl>
    <w:lvl w:ilvl="4" w:tplc="D8780426">
      <w:numFmt w:val="decimal"/>
      <w:lvlText w:val=""/>
      <w:lvlJc w:val="left"/>
    </w:lvl>
    <w:lvl w:ilvl="5" w:tplc="73F873C2">
      <w:numFmt w:val="decimal"/>
      <w:lvlText w:val=""/>
      <w:lvlJc w:val="left"/>
    </w:lvl>
    <w:lvl w:ilvl="6" w:tplc="4EDCDC3E">
      <w:numFmt w:val="decimal"/>
      <w:lvlText w:val=""/>
      <w:lvlJc w:val="left"/>
    </w:lvl>
    <w:lvl w:ilvl="7" w:tplc="DB2E2B36">
      <w:numFmt w:val="decimal"/>
      <w:lvlText w:val=""/>
      <w:lvlJc w:val="left"/>
    </w:lvl>
    <w:lvl w:ilvl="8" w:tplc="0144E96C">
      <w:numFmt w:val="decimal"/>
      <w:lvlText w:val=""/>
      <w:lvlJc w:val="left"/>
    </w:lvl>
  </w:abstractNum>
  <w:abstractNum w:abstractNumId="1" w15:restartNumberingAfterBreak="0">
    <w:nsid w:val="2C1E3A2D"/>
    <w:multiLevelType w:val="hybridMultilevel"/>
    <w:tmpl w:val="3AB479DC"/>
    <w:lvl w:ilvl="0" w:tplc="7E7237E0">
      <w:start w:val="1"/>
      <w:numFmt w:val="bullet"/>
      <w:lvlText w:val="●"/>
      <w:lvlJc w:val="left"/>
      <w:pPr>
        <w:ind w:left="720" w:hanging="360"/>
      </w:pPr>
    </w:lvl>
    <w:lvl w:ilvl="1" w:tplc="FE22FE9A">
      <w:start w:val="1"/>
      <w:numFmt w:val="bullet"/>
      <w:lvlText w:val="○"/>
      <w:lvlJc w:val="left"/>
      <w:pPr>
        <w:ind w:left="1440" w:hanging="360"/>
      </w:pPr>
    </w:lvl>
    <w:lvl w:ilvl="2" w:tplc="21C86440">
      <w:start w:val="1"/>
      <w:numFmt w:val="bullet"/>
      <w:lvlText w:val="■"/>
      <w:lvlJc w:val="left"/>
      <w:pPr>
        <w:ind w:left="2160" w:hanging="360"/>
      </w:pPr>
    </w:lvl>
    <w:lvl w:ilvl="3" w:tplc="515A3B7C">
      <w:start w:val="1"/>
      <w:numFmt w:val="bullet"/>
      <w:lvlText w:val="●"/>
      <w:lvlJc w:val="left"/>
      <w:pPr>
        <w:ind w:left="2880" w:hanging="360"/>
      </w:pPr>
    </w:lvl>
    <w:lvl w:ilvl="4" w:tplc="682841B6">
      <w:start w:val="1"/>
      <w:numFmt w:val="bullet"/>
      <w:lvlText w:val="○"/>
      <w:lvlJc w:val="left"/>
      <w:pPr>
        <w:ind w:left="3600" w:hanging="360"/>
      </w:pPr>
    </w:lvl>
    <w:lvl w:ilvl="5" w:tplc="43381178">
      <w:start w:val="1"/>
      <w:numFmt w:val="bullet"/>
      <w:lvlText w:val="■"/>
      <w:lvlJc w:val="left"/>
      <w:pPr>
        <w:ind w:left="4320" w:hanging="360"/>
      </w:pPr>
    </w:lvl>
    <w:lvl w:ilvl="6" w:tplc="8A28CC06">
      <w:start w:val="1"/>
      <w:numFmt w:val="bullet"/>
      <w:lvlText w:val="●"/>
      <w:lvlJc w:val="left"/>
      <w:pPr>
        <w:ind w:left="5040" w:hanging="360"/>
      </w:pPr>
    </w:lvl>
    <w:lvl w:ilvl="7" w:tplc="B5B6AF2E">
      <w:start w:val="1"/>
      <w:numFmt w:val="bullet"/>
      <w:lvlText w:val="●"/>
      <w:lvlJc w:val="left"/>
      <w:pPr>
        <w:ind w:left="5760" w:hanging="360"/>
      </w:pPr>
    </w:lvl>
    <w:lvl w:ilvl="8" w:tplc="130875C4">
      <w:start w:val="1"/>
      <w:numFmt w:val="bullet"/>
      <w:lvlText w:val="●"/>
      <w:lvlJc w:val="left"/>
      <w:pPr>
        <w:ind w:left="6480" w:hanging="360"/>
      </w:pPr>
    </w:lvl>
  </w:abstractNum>
  <w:abstractNum w:abstractNumId="2" w15:restartNumberingAfterBreak="0">
    <w:nsid w:val="2EC3183D"/>
    <w:multiLevelType w:val="hybridMultilevel"/>
    <w:tmpl w:val="467C636A"/>
    <w:lvl w:ilvl="0" w:tplc="788ABECC">
      <w:start w:val="1"/>
      <w:numFmt w:val="bullet"/>
      <w:lvlText w:val="•"/>
      <w:lvlJc w:val="left"/>
      <w:pPr>
        <w:ind w:left="720" w:hanging="360"/>
      </w:pPr>
    </w:lvl>
    <w:lvl w:ilvl="1" w:tplc="263C0D9C">
      <w:start w:val="1"/>
      <w:numFmt w:val="bullet"/>
      <w:lvlText w:val="◦"/>
      <w:lvlJc w:val="left"/>
      <w:pPr>
        <w:ind w:left="1080" w:hanging="360"/>
      </w:pPr>
    </w:lvl>
    <w:lvl w:ilvl="2" w:tplc="5DFAB17A">
      <w:numFmt w:val="decimal"/>
      <w:lvlText w:val=""/>
      <w:lvlJc w:val="left"/>
    </w:lvl>
    <w:lvl w:ilvl="3" w:tplc="07EC4464">
      <w:numFmt w:val="decimal"/>
      <w:lvlText w:val=""/>
      <w:lvlJc w:val="left"/>
    </w:lvl>
    <w:lvl w:ilvl="4" w:tplc="22AC884E">
      <w:numFmt w:val="decimal"/>
      <w:lvlText w:val=""/>
      <w:lvlJc w:val="left"/>
    </w:lvl>
    <w:lvl w:ilvl="5" w:tplc="ABFC7A66">
      <w:numFmt w:val="decimal"/>
      <w:lvlText w:val=""/>
      <w:lvlJc w:val="left"/>
    </w:lvl>
    <w:lvl w:ilvl="6" w:tplc="1BA4E7FC">
      <w:numFmt w:val="decimal"/>
      <w:lvlText w:val=""/>
      <w:lvlJc w:val="left"/>
    </w:lvl>
    <w:lvl w:ilvl="7" w:tplc="5CAA5BE2">
      <w:numFmt w:val="decimal"/>
      <w:lvlText w:val=""/>
      <w:lvlJc w:val="left"/>
    </w:lvl>
    <w:lvl w:ilvl="8" w:tplc="4E047B54">
      <w:numFmt w:val="decimal"/>
      <w:lvlText w:val=""/>
      <w:lvlJc w:val="left"/>
    </w:lvl>
  </w:abstractNum>
  <w:num w:numId="1" w16cid:durableId="2030988804">
    <w:abstractNumId w:val="1"/>
    <w:lvlOverride w:ilvl="0">
      <w:startOverride w:val="1"/>
    </w:lvlOverride>
  </w:num>
  <w:num w:numId="2" w16cid:durableId="407658521">
    <w:abstractNumId w:val="2"/>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0F80"/>
    <w:rsid w:val="001E2495"/>
    <w:rsid w:val="0083359B"/>
    <w:rsid w:val="00B017FC"/>
    <w:rsid w:val="00B80F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3AEC27"/>
  <w15:docId w15:val="{0D0FF415-F9AA-4620-AC0B-1AD26A9A96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360" w:after="200"/>
      <w:outlineLvl w:val="0"/>
    </w:pPr>
    <w:rPr>
      <w:b/>
      <w:bCs/>
      <w:color w:val="1A1A1A"/>
      <w:sz w:val="36"/>
      <w:szCs w:val="36"/>
    </w:rPr>
  </w:style>
  <w:style w:type="paragraph" w:styleId="Heading2">
    <w:name w:val="heading 2"/>
    <w:uiPriority w:val="9"/>
    <w:unhideWhenUsed/>
    <w:qFormat/>
    <w:pPr>
      <w:spacing w:before="300" w:after="160"/>
      <w:outlineLvl w:val="1"/>
    </w:pPr>
    <w:rPr>
      <w:b/>
      <w:bCs/>
      <w:color w:val="2A2A2A"/>
      <w:sz w:val="30"/>
      <w:szCs w:val="30"/>
    </w:rPr>
  </w:style>
  <w:style w:type="paragraph" w:styleId="Heading3">
    <w:name w:val="heading 3"/>
    <w:uiPriority w:val="9"/>
    <w:semiHidden/>
    <w:unhideWhenUsed/>
    <w:qFormat/>
    <w:pPr>
      <w:spacing w:before="240" w:after="120"/>
      <w:outlineLvl w:val="2"/>
    </w:pPr>
    <w:rPr>
      <w:b/>
      <w:bCs/>
      <w:color w:val="3A3A3A"/>
      <w:sz w:val="26"/>
      <w:szCs w:val="26"/>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pPr>
      <w:spacing w:before="400" w:after="200"/>
      <w:jc w:val="center"/>
    </w:pPr>
    <w:rPr>
      <w:b/>
      <w:bCs/>
      <w:color w:val="000000"/>
      <w:sz w:val="48"/>
      <w:szCs w:val="48"/>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2874</Words>
  <Characters>20297</Characters>
  <Application>Microsoft Office Word</Application>
  <DocSecurity>0</DocSecurity>
  <Lines>382</Lines>
  <Paragraphs>174</Paragraphs>
  <ScaleCrop>false</ScaleCrop>
  <Company/>
  <LinksUpToDate>false</LinksUpToDate>
  <CharactersWithSpaces>22997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Kurt A. Richardson</cp:lastModifiedBy>
  <cp:revision>2</cp:revision>
  <dcterms:created xsi:type="dcterms:W3CDTF">2026-01-16T18:10:00Z</dcterms:created>
  <dcterms:modified xsi:type="dcterms:W3CDTF">2026-01-16T18:15:00Z</dcterms:modified>
</cp:coreProperties>
</file>