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56382" w14:textId="2E2BEB27" w:rsidR="000F108B" w:rsidRDefault="00EB17CA" w:rsidP="00235853">
      <w:r>
        <w:rPr>
          <w:noProof/>
        </w:rPr>
        <w:drawing>
          <wp:anchor distT="0" distB="0" distL="114300" distR="114300" simplePos="0" relativeHeight="251643897" behindDoc="0" locked="0" layoutInCell="1" allowOverlap="1" wp14:anchorId="60A4D137" wp14:editId="6AAD3A6D">
            <wp:simplePos x="0" y="0"/>
            <wp:positionH relativeFrom="column">
              <wp:posOffset>-977265</wp:posOffset>
            </wp:positionH>
            <wp:positionV relativeFrom="paragraph">
              <wp:posOffset>-1836420</wp:posOffset>
            </wp:positionV>
            <wp:extent cx="8210550" cy="13018770"/>
            <wp:effectExtent l="0" t="0" r="0" b="0"/>
            <wp:wrapNone/>
            <wp:docPr id="562116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116807" name=""/>
                    <pic:cNvPicPr/>
                  </pic:nvPicPr>
                  <pic:blipFill>
                    <a:blip r:embed="rId7"/>
                    <a:stretch>
                      <a:fillRect/>
                    </a:stretch>
                  </pic:blipFill>
                  <pic:spPr>
                    <a:xfrm>
                      <a:off x="0" y="0"/>
                      <a:ext cx="8210550" cy="13018770"/>
                    </a:xfrm>
                    <a:prstGeom prst="rect">
                      <a:avLst/>
                    </a:prstGeom>
                  </pic:spPr>
                </pic:pic>
              </a:graphicData>
            </a:graphic>
            <wp14:sizeRelH relativeFrom="margin">
              <wp14:pctWidth>0</wp14:pctWidth>
            </wp14:sizeRelH>
            <wp14:sizeRelV relativeFrom="margin">
              <wp14:pctHeight>0</wp14:pctHeight>
            </wp14:sizeRelV>
          </wp:anchor>
        </w:drawing>
      </w:r>
      <w:r w:rsidR="00E23ACE">
        <w:rPr>
          <w:noProof/>
        </w:rPr>
        <mc:AlternateContent>
          <mc:Choice Requires="wpg">
            <w:drawing>
              <wp:anchor distT="0" distB="0" distL="114300" distR="114300" simplePos="0" relativeHeight="251644922" behindDoc="0" locked="0" layoutInCell="1" allowOverlap="1" wp14:anchorId="62F50521" wp14:editId="4400C759">
                <wp:simplePos x="0" y="0"/>
                <wp:positionH relativeFrom="column">
                  <wp:posOffset>-762000</wp:posOffset>
                </wp:positionH>
                <wp:positionV relativeFrom="paragraph">
                  <wp:posOffset>-914400</wp:posOffset>
                </wp:positionV>
                <wp:extent cx="7692390" cy="10741025"/>
                <wp:effectExtent l="0" t="0" r="0" b="15875"/>
                <wp:wrapNone/>
                <wp:docPr id="78740683" name="Group 31"/>
                <wp:cNvGraphicFramePr/>
                <a:graphic xmlns:a="http://schemas.openxmlformats.org/drawingml/2006/main">
                  <a:graphicData uri="http://schemas.microsoft.com/office/word/2010/wordprocessingGroup">
                    <wpg:wgp>
                      <wpg:cNvGrpSpPr/>
                      <wpg:grpSpPr>
                        <a:xfrm>
                          <a:off x="0" y="0"/>
                          <a:ext cx="7692390" cy="10741025"/>
                          <a:chOff x="-73137" y="-181864"/>
                          <a:chExt cx="7692629" cy="10741152"/>
                        </a:xfrm>
                      </wpg:grpSpPr>
                      <wps:wsp>
                        <wps:cNvPr id="698615390" name="Rectangle 26"/>
                        <wps:cNvSpPr/>
                        <wps:spPr>
                          <a:xfrm>
                            <a:off x="-73137" y="-181864"/>
                            <a:ext cx="7619492" cy="10741152"/>
                          </a:xfrm>
                          <a:prstGeom prst="rect">
                            <a:avLst/>
                          </a:prstGeom>
                          <a:solidFill>
                            <a:schemeClr val="tx1">
                              <a:alpha val="19000"/>
                            </a:schemeClr>
                          </a:solidFill>
                          <a:ln>
                            <a:solidFill>
                              <a:schemeClr val="accent1">
                                <a:shade val="1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9A91EC1" w14:textId="77777777" w:rsidR="00F73151" w:rsidRDefault="00F73151" w:rsidP="00F7315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621601" name="Text Box 27"/>
                        <wps:cNvSpPr txBox="1"/>
                        <wps:spPr>
                          <a:xfrm>
                            <a:off x="-73137" y="1738950"/>
                            <a:ext cx="7692629" cy="1211514"/>
                          </a:xfrm>
                          <a:prstGeom prst="rect">
                            <a:avLst/>
                          </a:prstGeom>
                          <a:noFill/>
                          <a:ln w="6350">
                            <a:noFill/>
                          </a:ln>
                        </wps:spPr>
                        <wps:txbx>
                          <w:txbxContent>
                            <w:p w14:paraId="0923727F" w14:textId="76F15475" w:rsidR="001F059D" w:rsidRPr="001C6A9D" w:rsidRDefault="005D5BE7" w:rsidP="001C6A9D">
                              <w:pPr>
                                <w:pStyle w:val="Title"/>
                              </w:pPr>
                              <w:r>
                                <w:t>Student A v Council of Newington College</w:t>
                              </w:r>
                              <w:r w:rsidR="00C55ECD">
                                <w:t xml:space="preserve"> [2025] NSWSC 534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2844352" name="Straight Connector 27"/>
                        <wps:cNvCnPr/>
                        <wps:spPr>
                          <a:xfrm>
                            <a:off x="317019" y="1597660"/>
                            <a:ext cx="6913077"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776197336" name="Straight Connector 27"/>
                        <wps:cNvCnPr/>
                        <wps:spPr>
                          <a:xfrm>
                            <a:off x="317019" y="2682748"/>
                            <a:ext cx="691307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1674965720" name="Text Box 27"/>
                        <wps:cNvSpPr txBox="1"/>
                        <wps:spPr>
                          <a:xfrm>
                            <a:off x="0" y="2950464"/>
                            <a:ext cx="7546340" cy="512064"/>
                          </a:xfrm>
                          <a:prstGeom prst="rect">
                            <a:avLst/>
                          </a:prstGeom>
                          <a:noFill/>
                          <a:ln w="6350">
                            <a:noFill/>
                          </a:ln>
                        </wps:spPr>
                        <wps:txbx>
                          <w:txbxContent>
                            <w:p w14:paraId="7B295F16" w14:textId="7F96EAC9" w:rsidR="00262BED" w:rsidRPr="00262BED" w:rsidRDefault="00FC58ED" w:rsidP="00235853">
                              <w:pPr>
                                <w:pStyle w:val="Subtitle"/>
                              </w:pPr>
                              <w:r>
                                <w:t>A case summary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62F50521" id="Group 31" o:spid="_x0000_s1026" style="position:absolute;margin-left:-60pt;margin-top:-1in;width:605.7pt;height:845.75pt;z-index:251644922;mso-width-relative:margin" coordorigin="-731,-1818" coordsize="76926,10741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Aj5VQQAAAsSAAAOAAAAZHJzL2Uyb0RvYy54bWzsWNtu2zgQfV9g/0HQe2JRV8uIUmTdTbBA&#13;&#10;0AZNFn2mZcoWIJFckomV/frOkJJ8qbdJb9miuy+yKA6Hw+MzZ0Y6e9W1jffAlK4FL3xyGvge46VY&#13;&#10;1nxV+H/eXZ5MfU8bype0EZwV/iPT/qvzX38528gZC8VaNEumPHDC9WwjC39tjJxNJrpcs5bqUyEZ&#13;&#10;h8lKqJYaGKrVZKnoBry3zSQMgnSyEWoplSiZ1vD0tZv0z63/qmKleVtVmhmvKXyIzdirstcFXifn&#13;&#10;Z3S2UlSu67IPg35BFC2tOWw6unpNDfXuVf2Rq7YuldCiMqelaCeiquqS2TPAaUhwcJorJe6lPctq&#13;&#10;tlnJESaA9gCnL3Zbvnm4UvJW3ihAYiNXgIUd4Vm6SrX4C1F6nYXscYSMdcYr4WGW5mGUA7IlzJEg&#13;&#10;i0kQJg7Vcg3Q48KTLCJR5ntgcUKmZJrGg8HvO17SMN/xQpIQjSZDFJO92DYS2KK3gOivA+R2TSWz&#13;&#10;OOsZAHKjvHpZ+Gk+TUliD8dpC9x9B2yifNUwL0wxOIwCzEfw9EwDjkeQ+ycAtiCSPM7DTxyfzqTS&#13;&#10;5oqJ1sObwlcQiyUcfbjWxiE1mGAEWjT18rJuGjvAbGLzRnkPFPLAdMQtbeSaukckDwKbDAC4zT20&#13;&#10;tvDvOWr4U75pWTJunH+9pkvW+0+e4R/2xg3grx6QtHfmsWG4bcPfsQr+GWBUaOMfA3V7fPbW1iF6&#13;&#10;rgCn0Xcf+z5kg28HdG+PS5nVmHFx8KnA3OJxhd1ZcDMubmsu1DEHDQDa7+zsB5AcNIiS6RYdmODt&#13;&#10;QiwfgcJKOLHTsrysgTPXVJsbqkDdIFtBsc1buFSN2BS+6O98by3U38eeoz3kGMz63gbUsvD1X/dU&#13;&#10;Md9r/uCQfTmJY5RXO4iTLISB2p1Z7M7w+3YugIgEaoMs7S3am2a4rZRo34OwX+CuMEV5CXsXfmnU&#13;&#10;MJgbp+JQGkp2cWHNQFIlNdf8VpboHAHGnLjr3lMl+8QxkHRvxJDxdHaQP84WV3JxcW9EVdvk2uLa&#13;&#10;Qw/q49D+7jJEwiRMQ5IGgJbToTvUjd9E54XZgQx5poPnePaeC08LEsmiaZ70hXArSDnsOehxSEhC&#13;&#10;rGaPcvzZesQFihFEhXnsAefSCDZ1OPczx9MfiW3leDzTT8xv859jN9BsGscRVPue3LdG0Xq1Nt5c&#13;&#10;cA5FTqh9ms9536oMNWLoEMY+JSJZQIC72JAkeZamB+ROcxIFGfQj2LIMRW/odYYa2qtFU3NsDD6S&#13;&#10;CazEWy6HSQzVE8d71fKgPi1Wg4rvWB0nvT5S855Rl44XtGfUpJcuaNiBPFHQXJajEWrvC8ptlqUk&#13;&#10;z6Io/S6MDNNpmMVTPD00D3376xgJb0r/M3LkhWvJLEov0WL9yIxMszhPXU/1rRoA6KlA/EIo/PHw&#13;&#10;NjaQMUviNMJmDsmYkDBwBv9m6bevgtsW7KdsbX+o0m/ftuGLA6jv3ieN3bFV5u03nPMPAAAA//8D&#13;&#10;AFBLAwQUAAYACAAAACEA+TS4TOUAAAAUAQAADwAAAGRycy9kb3ducmV2LnhtbExPy07DMBC8I/EP&#13;&#10;1iJxax1DAiWNU1XlcaqQaCshbm68TaLGdhS7Sfr3bE5wWc1qZ+eRrUbTsB47XzsrQcwjYGgLp2tb&#13;&#10;Sjjs32cLYD4oq1XjLEq4oodVfnuTqVS7wX5hvwslIxHrUyWhCqFNOfdFhUb5uWvR0u3kOqMCrV3J&#13;&#10;dacGEjcNf4iiJ25UbcmhUi1uKizOu4uR8DGoYf0o3vrt+bS5/uyTz++tQCnv78bXJY31EljAMfx9&#13;&#10;wNSB8kNOwY7uYrVnjYSZIBPiTiiOCU2c6EXEwI6Ekvg5AZ5n/H+Z/BcAAP//AwBQSwECLQAUAAYA&#13;&#10;CAAAACEAtoM4kv4AAADhAQAAEwAAAAAAAAAAAAAAAAAAAAAAW0NvbnRlbnRfVHlwZXNdLnhtbFBL&#13;&#10;AQItABQABgAIAAAAIQA4/SH/1gAAAJQBAAALAAAAAAAAAAAAAAAAAC8BAABfcmVscy8ucmVsc1BL&#13;&#10;AQItABQABgAIAAAAIQDPKAj5VQQAAAsSAAAOAAAAAAAAAAAAAAAAAC4CAABkcnMvZTJvRG9jLnht&#13;&#10;bFBLAQItABQABgAIAAAAIQD5NLhM5QAAABQBAAAPAAAAAAAAAAAAAAAAAK8GAABkcnMvZG93bnJl&#13;&#10;di54bWxQSwUGAAAAAAQABADzAAAAwQcAAAAA&#13;&#10;">
                <v:rect id="Rectangle 26" o:spid="_x0000_s1027" style="position:absolute;left:-731;top:-1818;width:76194;height:107410;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43hCzgAAAOcAAAAPAAAAZHJzL2Rvd25yZXYueG1sRI9BS8NA&#13;&#10;EIXvgv9hGcGb3dTU0KbdFrEKXjzY9NLbNDsmwexs2N028d87B8HLwGN43+Pb7CbXqyuF2Hk2MJ9l&#13;&#10;oIhrbztuDByrt4clqJiQLfaeycAPRdhtb282WFo/8iddD6lRAuFYooE2paHUOtYtOYwzPxDL78sH&#13;&#10;h0liaLQNOArc9foxywrtsGNZaHGgl5bq78PFGcjz4XI6j6fx/FHxvur96yIsjsbc3037tZznNahE&#13;&#10;U/pv/CHerYFitSzmT/lKTMRLnEBvfwEAAP//AwBQSwECLQAUAAYACAAAACEA2+H2y+4AAACFAQAA&#13;&#10;EwAAAAAAAAAAAAAAAAAAAAAAW0NvbnRlbnRfVHlwZXNdLnhtbFBLAQItABQABgAIAAAAIQBa9Cxb&#13;&#10;vwAAABUBAAALAAAAAAAAAAAAAAAAAB8BAABfcmVscy8ucmVsc1BLAQItABQABgAIAAAAIQDy43hC&#13;&#10;zgAAAOcAAAAPAAAAAAAAAAAAAAAAAAcCAABkcnMvZG93bnJldi54bWxQSwUGAAAAAAMAAwC3AAAA&#13;&#10;AgMAAAAA&#13;&#10;" fillcolor="black [3213]" strokecolor="#030e13 [484]" strokeweight="1pt">
                  <v:fill opacity="12336f"/>
                  <v:textbox>
                    <w:txbxContent>
                      <w:p w14:paraId="39A91EC1" w14:textId="77777777" w:rsidR="00F73151" w:rsidRDefault="00F73151" w:rsidP="00F73151">
                        <w:pPr>
                          <w:jc w:val="center"/>
                        </w:pPr>
                      </w:p>
                    </w:txbxContent>
                  </v:textbox>
                </v:rect>
                <v:shapetype id="_x0000_t202" coordsize="21600,21600" o:spt="202" path="m,l,21600r21600,l21600,xe">
                  <v:stroke joinstyle="miter"/>
                  <v:path gradientshapeok="t" o:connecttype="rect"/>
                </v:shapetype>
                <v:shape id="_x0000_s1028" type="#_x0000_t202" style="position:absolute;left:-731;top:17389;width:76925;height:121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KDQRzwAAAOgAAAAPAAAAZHJzL2Rvd25yZXYueG1sRI/BasJA&#13;&#10;EIbvBd9hGaG3usmCQaKrSERaSj1ovfQ2zY5JaHY2Zrea9undQsHLwMzP/w3fYjXYVlyo941jDekk&#13;&#10;AUFcOtNwpeH4vn2agfAB2WDrmDT8kIfVcvSwwNy4K+/pcgiViBD2OWqoQ+hyKX1Zk0U/cR1xzE6u&#13;&#10;txji2lfS9HiNcNtKlSSZtNhw/FBjR0VN5dfh22p4LbY73H8qO/tti+e307o7Hz+mWj+Oh808jvUc&#13;&#10;RKAh3Bv/iBcTHdRUZSrNkhT+xOIB5PIGAAD//wMAUEsBAi0AFAAGAAgAAAAhANvh9svuAAAAhQEA&#13;&#10;ABMAAAAAAAAAAAAAAAAAAAAAAFtDb250ZW50X1R5cGVzXS54bWxQSwECLQAUAAYACAAAACEAWvQs&#13;&#10;W78AAAAVAQAACwAAAAAAAAAAAAAAAAAfAQAAX3JlbHMvLnJlbHNQSwECLQAUAAYACAAAACEARyg0&#13;&#10;Ec8AAADoAAAADwAAAAAAAAAAAAAAAAAHAgAAZHJzL2Rvd25yZXYueG1sUEsFBgAAAAADAAMAtwAA&#13;&#10;AAMDAAAAAA==&#13;&#10;" filled="f" stroked="f" strokeweight=".5pt">
                  <v:textbox>
                    <w:txbxContent>
                      <w:p w14:paraId="0923727F" w14:textId="76F15475" w:rsidR="001F059D" w:rsidRPr="001C6A9D" w:rsidRDefault="005D5BE7" w:rsidP="001C6A9D">
                        <w:pPr>
                          <w:pStyle w:val="Title"/>
                        </w:pPr>
                        <w:r>
                          <w:t>Student A v Council of Newington College</w:t>
                        </w:r>
                        <w:r w:rsidR="00C55ECD">
                          <w:t xml:space="preserve"> [2025] NSWSC 534</w:t>
                        </w:r>
                      </w:p>
                    </w:txbxContent>
                  </v:textbox>
                </v:shape>
                <v:line id="Straight Connector 27" o:spid="_x0000_s1029" style="position:absolute;visibility:visible;mso-wrap-style:square" from="3170,15976" to="72300,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xEZt0AAAAOcAAAAPAAAAZHJzL2Rvd25yZXYueG1sRI9Pa8JA&#13;&#10;FMTvhX6H5RV6KboxiSLRVUpLqYci+O/g7bn7moRm36bZrcZv3y0UvAwMw/yGmS9724gzdb52rGA0&#13;&#10;TEAQa2dqLhXsd2+DKQgfkA02jknBlTwsF/d3cyyMu/CGzttQighhX6CCKoS2kNLriiz6oWuJY/bp&#13;&#10;Oosh2q6UpsNLhNtGpkkykRZrjgsVtvRSkf7a/lgFx9M6a0bt98FtdF4fPp5spt+tUo8P/essyvMM&#13;&#10;RKA+3Br/iJVRkE7SaZ5n4xT+fsVPIBe/AAAA//8DAFBLAQItABQABgAIAAAAIQDb4fbL7gAAAIUB&#13;&#10;AAATAAAAAAAAAAAAAAAAAAAAAABbQ29udGVudF9UeXBlc10ueG1sUEsBAi0AFAAGAAgAAAAhAFr0&#13;&#10;LFu/AAAAFQEAAAsAAAAAAAAAAAAAAAAAHwEAAF9yZWxzLy5yZWxzUEsBAi0AFAAGAAgAAAAhAFjE&#13;&#10;Rm3QAAAA5wAAAA8AAAAAAAAAAAAAAAAABwIAAGRycy9kb3ducmV2LnhtbFBLBQYAAAAAAwADALcA&#13;&#10;AAAEAwAAAAA=&#13;&#10;" strokecolor="white [3212]" strokeweight="2pt">
                  <v:stroke joinstyle="miter"/>
                </v:line>
                <v:line id="Straight Connector 27" o:spid="_x0000_s1030" style="position:absolute;visibility:visible;mso-wrap-style:square" from="3170,26827" to="72300,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3clj0QAAAOgAAAAPAAAAZHJzL2Rvd25yZXYueG1sRI/BSsNA&#13;&#10;EIbvgu+wTMGL2E2MJDXttogieihCqz30Nu5Ok2B2Nma3bfr23YLgZWDm5/+Gb7YYbCsO1PvGsYJ0&#13;&#10;nIAg1s40XCn4+ny9m4DwAdlg65gUnMjDYn59NcPSuCOv6LAOlYgQ9iUqqEPoSim9rsmiH7uOOGY7&#13;&#10;11sMce0raXo8Rrht5X2S5NJiw/FDjR0916R/1nurYPv9kbVp97txK/3QbJa3NtNvVqmb0fAyjeNp&#13;&#10;CiLQEP4bf4h3Ex2KIk8fiyzL4SIWDyDnZwAAAP//AwBQSwECLQAUAAYACAAAACEA2+H2y+4AAACF&#13;&#10;AQAAEwAAAAAAAAAAAAAAAAAAAAAAW0NvbnRlbnRfVHlwZXNdLnhtbFBLAQItABQABgAIAAAAIQBa&#13;&#10;9CxbvwAAABUBAAALAAAAAAAAAAAAAAAAAB8BAABfcmVscy8ucmVsc1BLAQItABQABgAIAAAAIQBC&#13;&#10;3clj0QAAAOgAAAAPAAAAAAAAAAAAAAAAAAcCAABkcnMvZG93bnJldi54bWxQSwUGAAAAAAMAAwC3&#13;&#10;AAAABQMAAAAA&#13;&#10;" strokecolor="white [3212]" strokeweight="2pt">
                  <v:stroke joinstyle="miter"/>
                </v:line>
                <v:shape id="_x0000_s1031" type="#_x0000_t202" style="position:absolute;top:29504;width:75463;height:512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eyjb0AAAAOgAAAAPAAAAZHJzL2Rvd25yZXYueG1sRI/BTsJA&#13;&#10;EIbvJr7DZky8ydZGChQWQmqIxuAB5MJt7A5tY3e2dleoPr1zMPEyyT+T+f58i9XgWnWmPjSeDdyP&#13;&#10;ElDEpbcNVwYOb5u7KagQkS22nsnANwVYLa+vFphbf+EdnfexUgLhkKOBOsYu1zqUNTkMI98Ry+3k&#13;&#10;e4dRYl9p2+NF4K7VaZJk2mHD0lBjR0VN5cf+yxl4KTavuHtP3fSnLZ62p3X3eTiOjbm9GR7nMtZz&#13;&#10;UJGG+P/xh3i24pBNHmbZeJKKiojJAvTyFwAA//8DAFBLAQItABQABgAIAAAAIQDb4fbL7gAAAIUB&#13;&#10;AAATAAAAAAAAAAAAAAAAAAAAAABbQ29udGVudF9UeXBlc10ueG1sUEsBAi0AFAAGAAgAAAAhAFr0&#13;&#10;LFu/AAAAFQEAAAsAAAAAAAAAAAAAAAAAHwEAAF9yZWxzLy5yZWxzUEsBAi0AFAAGAAgAAAAhAAl7&#13;&#10;KNvQAAAA6AAAAA8AAAAAAAAAAAAAAAAABwIAAGRycy9kb3ducmV2LnhtbFBLBQYAAAAAAwADALcA&#13;&#10;AAAEAwAAAAA=&#13;&#10;" filled="f" stroked="f" strokeweight=".5pt">
                  <v:textbox>
                    <w:txbxContent>
                      <w:p w14:paraId="7B295F16" w14:textId="7F96EAC9" w:rsidR="00262BED" w:rsidRPr="00262BED" w:rsidRDefault="00FC58ED" w:rsidP="00235853">
                        <w:pPr>
                          <w:pStyle w:val="Subtitle"/>
                        </w:pPr>
                        <w:r>
                          <w:t>A case summary</w:t>
                        </w:r>
                      </w:p>
                    </w:txbxContent>
                  </v:textbox>
                </v:shape>
              </v:group>
            </w:pict>
          </mc:Fallback>
        </mc:AlternateContent>
      </w:r>
      <w:r w:rsidR="00E23ACE">
        <w:rPr>
          <w:noProof/>
        </w:rPr>
        <mc:AlternateContent>
          <mc:Choice Requires="wps">
            <w:drawing>
              <wp:anchor distT="0" distB="0" distL="114300" distR="114300" simplePos="0" relativeHeight="251685888" behindDoc="0" locked="0" layoutInCell="1" allowOverlap="1" wp14:anchorId="2612F2EA" wp14:editId="7C8F7065">
                <wp:simplePos x="0" y="0"/>
                <wp:positionH relativeFrom="column">
                  <wp:posOffset>4639075</wp:posOffset>
                </wp:positionH>
                <wp:positionV relativeFrom="paragraph">
                  <wp:posOffset>8597265</wp:posOffset>
                </wp:positionV>
                <wp:extent cx="2048256" cy="382397"/>
                <wp:effectExtent l="0" t="0" r="0" b="0"/>
                <wp:wrapNone/>
                <wp:docPr id="2036535871" name="Text Box 21"/>
                <wp:cNvGraphicFramePr/>
                <a:graphic xmlns:a="http://schemas.openxmlformats.org/drawingml/2006/main">
                  <a:graphicData uri="http://schemas.microsoft.com/office/word/2010/wordprocessingShape">
                    <wps:wsp>
                      <wps:cNvSpPr txBox="1"/>
                      <wps:spPr>
                        <a:xfrm>
                          <a:off x="0" y="0"/>
                          <a:ext cx="2048256" cy="382397"/>
                        </a:xfrm>
                        <a:prstGeom prst="rect">
                          <a:avLst/>
                        </a:prstGeom>
                        <a:noFill/>
                        <a:ln w="6350">
                          <a:noFill/>
                        </a:ln>
                      </wps:spPr>
                      <wps:txbx>
                        <w:txbxContent>
                          <w:p w14:paraId="27451D67" w14:textId="6A1B16E2" w:rsidR="00262BED" w:rsidRPr="00262BED" w:rsidRDefault="00262BED" w:rsidP="00235853">
                            <w:pPr>
                              <w:pStyle w:val="Subtitle"/>
                            </w:pPr>
                            <w:r w:rsidRPr="00262BED">
                              <w:t xml:space="preserve">Law Student Review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612F2EA" id="Text Box 21" o:spid="_x0000_s1032" type="#_x0000_t202" style="position:absolute;margin-left:365.3pt;margin-top:676.95pt;width:161.3pt;height:30.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rOy6HAIAADMEAAAOAAAAZHJzL2Uyb0RvYy54bWysU8lu2zAQvRfoPxC815LlJY5gOXATuChg&#13;&#10;JAGcImeaIi0BFIclaUvu13dIeUPaU9ELNcMZzfLe4/yhaxQ5COtq0AUdDlJKhOZQ1npX0B9vqy8z&#13;&#10;SpxnumQKtCjoUTj6sPj8ad6aXGRQgSqFJVhEu7w1Ba28N3mSOF6JhrkBGKExKME2zKNrd0lpWYvV&#13;&#10;G5VkaTpNWrClscCFc3j71AfpItaXUnD/IqUTnqiC4mw+njae23AmiznLd5aZquanMdg/TNGwWmPT&#13;&#10;S6kn5hnZ2/qPUk3NLTiQfsChSUDKmou4A24zTD9ss6mYEXEXBMeZC0zu/5Xlz4eNebXEd1+hQwID&#13;&#10;IK1xucPLsE8nbRO+OCnBOEJ4vMAmOk84XmbpeJZNppRwjI1m2ej+LpRJrn8b6/w3AQ0JRkEt0hLR&#13;&#10;Yoe1833qOSU007CqlYrUKE3agk5HkzT+cIlgcaWxx3XWYPlu25G6xCnOe2yhPOJ6FnrmneGrGmdY&#13;&#10;M+dfmUWqcSOUr3/BQyrAXnCyKKnA/vrbfchHBjBKSYvSKaj7uWdWUKK+a+TmfjgeB61FZzy5y9Cx&#13;&#10;t5HtbUTvm0dAdQ7xoRgezZDv1dmUFpp3VPkydMUQ0xx7F9SfzUffCxpfCRfLZUxCdRnm13pjeCgd&#13;&#10;UA0Iv3XvzJoTDR4JfIazyFj+gY0+t+djufcg60hVwLlH9QQ/KjOSfXpFQfq3fsy6vvXFbwAAAP//&#13;&#10;AwBQSwMEFAAGAAgAAAAhACM/KUfoAAAAEwEAAA8AAABkcnMvZG93bnJldi54bWxMT01PwzAMvSPx&#13;&#10;HyIjcWMJLR2jazpNRRMSGod9XHZLm6ytaJzSZFvh1+OdQJYsW+/5+b1sMdqOnc3gW4cSHicCmMHK&#13;&#10;6RZrCfvd6mEGzAeFWnUOjYRv42GR395kKtXughtz3oaakQj6VEloQuhTzn3VGKv8xPUGCTu6wapA&#13;&#10;61BzPagLiduOR0JMuVUt0odG9aZoTPW5PVkJ78XqQ23KyM5+uuJtfVz2X/tDIuX93fg6p7acAwtm&#13;&#10;DH8XcM1A/iEnY6U7ofask/AciylRCYiT+AXYlSKSOAJW0vREBTzP+P8s+S8AAAD//wMAUEsBAi0A&#13;&#10;FAAGAAgAAAAhALaDOJL+AAAA4QEAABMAAAAAAAAAAAAAAAAAAAAAAFtDb250ZW50X1R5cGVzXS54&#13;&#10;bWxQSwECLQAUAAYACAAAACEAOP0h/9YAAACUAQAACwAAAAAAAAAAAAAAAAAvAQAAX3JlbHMvLnJl&#13;&#10;bHNQSwECLQAUAAYACAAAACEAfKzsuhwCAAAzBAAADgAAAAAAAAAAAAAAAAAuAgAAZHJzL2Uyb0Rv&#13;&#10;Yy54bWxQSwECLQAUAAYACAAAACEAIz8pR+gAAAATAQAADwAAAAAAAAAAAAAAAAB2BAAAZHJzL2Rv&#13;&#10;d25yZXYueG1sUEsFBgAAAAAEAAQA8wAAAIsFAAAAAA==&#13;&#10;" filled="f" stroked="f" strokeweight=".5pt">
                <v:textbox>
                  <w:txbxContent>
                    <w:p w14:paraId="27451D67" w14:textId="6A1B16E2" w:rsidR="00262BED" w:rsidRPr="00262BED" w:rsidRDefault="00262BED" w:rsidP="00235853">
                      <w:pPr>
                        <w:pStyle w:val="Subtitle"/>
                      </w:pPr>
                      <w:r w:rsidRPr="00262BED">
                        <w:t xml:space="preserve">Law Student Review </w:t>
                      </w:r>
                    </w:p>
                  </w:txbxContent>
                </v:textbox>
              </v:shape>
            </w:pict>
          </mc:Fallback>
        </mc:AlternateContent>
      </w:r>
      <w:r w:rsidR="00E23ACE">
        <w:rPr>
          <w:noProof/>
        </w:rPr>
        <mc:AlternateContent>
          <mc:Choice Requires="wps">
            <w:drawing>
              <wp:anchor distT="0" distB="0" distL="114300" distR="114300" simplePos="0" relativeHeight="251684864" behindDoc="0" locked="0" layoutInCell="1" allowOverlap="1" wp14:anchorId="7A1C0EEE" wp14:editId="570F0718">
                <wp:simplePos x="0" y="0"/>
                <wp:positionH relativeFrom="column">
                  <wp:posOffset>-598552</wp:posOffset>
                </wp:positionH>
                <wp:positionV relativeFrom="paragraph">
                  <wp:posOffset>8594852</wp:posOffset>
                </wp:positionV>
                <wp:extent cx="2047875" cy="389890"/>
                <wp:effectExtent l="0" t="0" r="0" b="0"/>
                <wp:wrapNone/>
                <wp:docPr id="1600177898" name="Text Box 21"/>
                <wp:cNvGraphicFramePr/>
                <a:graphic xmlns:a="http://schemas.openxmlformats.org/drawingml/2006/main">
                  <a:graphicData uri="http://schemas.microsoft.com/office/word/2010/wordprocessingShape">
                    <wps:wsp>
                      <wps:cNvSpPr txBox="1"/>
                      <wps:spPr>
                        <a:xfrm>
                          <a:off x="0" y="0"/>
                          <a:ext cx="2047875" cy="389890"/>
                        </a:xfrm>
                        <a:prstGeom prst="rect">
                          <a:avLst/>
                        </a:prstGeom>
                        <a:noFill/>
                        <a:ln w="6350">
                          <a:noFill/>
                        </a:ln>
                      </wps:spPr>
                      <wps:txbx>
                        <w:txbxContent>
                          <w:p w14:paraId="3B17B765" w14:textId="2CF9AF92" w:rsidR="000F108B" w:rsidRDefault="000F108B" w:rsidP="00C508FF">
                            <w:pPr>
                              <w:pStyle w:val="Subtitle"/>
                            </w:pPr>
                            <w:r w:rsidRPr="00262BED">
                              <w:t xml:space="preserve">By </w:t>
                            </w:r>
                            <w:proofErr w:type="spellStart"/>
                            <w:r w:rsidR="00AB52FA">
                              <w:t>Kep</w:t>
                            </w:r>
                            <w:r w:rsidR="00F43D75">
                              <w:t>ueli</w:t>
                            </w:r>
                            <w:proofErr w:type="spellEnd"/>
                            <w:r w:rsidR="00F43D75">
                              <w:t xml:space="preserve"> Hanisi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A1C0EEE" id="_x0000_s1033" type="#_x0000_t202" style="position:absolute;margin-left:-47.15pt;margin-top:676.75pt;width:161.25pt;height:30.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TRw5HQIAADMEAAAOAAAAZHJzL2Uyb0RvYy54bWysU02P2yAQvVfqf0DcGzvZZJNYcVbprlJV&#13;&#10;inZXylZ7JhhiS5ihQGKnv74Ddj607anqBQZmmI/3HouHtlbkKKyrQOd0OEgpEZpDUel9Tn+8rb/M&#13;&#10;KHGe6YIp0CKnJ+How/Lzp0VjMjGCElQhLMEk2mWNyWnpvcmSxPFS1MwNwAiNTgm2Zh6Pdp8UljWY&#13;&#10;vVbJKE3vkwZsYSxw4RzePnVOuoz5pRTcv0jphCcqp9ibj6uN6y6syXLBsr1lpqx43wb7hy5qVmks&#13;&#10;ekn1xDwjB1v9kaquuAUH0g841AlIWXERZ8BphumHabYlMyLOguA4c4HJ/b+0/Pm4Na+W+PYrtEhg&#13;&#10;AKQxLnN4GeZppa3Djp0S9COEpwtsovWE4+UoHU9n0wklHH13s/lsHnFNrq+Ndf6bgJoEI6cWaYlo&#13;&#10;sePGeayIoeeQUEzDulIqUqM0aXJ6fzdJ44OLB18ojQ+vvQbLt7uWVEVOx+c5dlCccDwLHfPO8HWF&#13;&#10;PWyY86/MItU4EcrXv+AiFWAt6C1KSrC//nYf4pEB9FLSoHRy6n4emBWUqO8auZkPx+OgtXgYT6Yj&#13;&#10;PNhbz+7Wow/1I6A6h/hRDI9miPfqbEoL9TuqfBWqootpjrVz6s/mo+8Ejb+Ei9UqBqG6DPMbvTU8&#13;&#10;pA6oBoTf2ndmTU+DRwKf4Swyln1go4vt+FgdPMgqUhVw7lDt4UdlRgb7XxSkf3uOUde/vvwNAAD/&#13;&#10;/wMAUEsDBBQABgAIAAAAIQAM71Ia5wAAABIBAAAPAAAAZHJzL2Rvd25yZXYueG1sTE/LTsMwELwj&#13;&#10;9R+srcStdeokKE3jVFVQhYTg0NILNyd2kwg/Quy2ga9nOcFlpd2ZnUexnYwmVzX63lkOq2UERNnG&#13;&#10;yd62HE5v+0UGxAdhpdDOKg5fysO2nN0VIpfuZg/qegwtQRHrc8GhC2HIKfVNp4zwSzcoi9jZjUYE&#13;&#10;XMeWylHcUNxoyqLogRrRW3ToxKCqTjUfx4vh8FztX8WhZib71tXTy3k3fJ7eU87v59PjBsduAySo&#13;&#10;Kfx9wG8HzA8lBqvdxUpPNIfFOomRikCcxikQpDCWMSA1npJVsgZaFvR/lfIHAAD//wMAUEsBAi0A&#13;&#10;FAAGAAgAAAAhALaDOJL+AAAA4QEAABMAAAAAAAAAAAAAAAAAAAAAAFtDb250ZW50X1R5cGVzXS54&#13;&#10;bWxQSwECLQAUAAYACAAAACEAOP0h/9YAAACUAQAACwAAAAAAAAAAAAAAAAAvAQAAX3JlbHMvLnJl&#13;&#10;bHNQSwECLQAUAAYACAAAACEAcU0cOR0CAAAzBAAADgAAAAAAAAAAAAAAAAAuAgAAZHJzL2Uyb0Rv&#13;&#10;Yy54bWxQSwECLQAUAAYACAAAACEADO9SGucAAAASAQAADwAAAAAAAAAAAAAAAAB3BAAAZHJzL2Rv&#13;&#10;d25yZXYueG1sUEsFBgAAAAAEAAQA8wAAAIsFAAAAAA==&#13;&#10;" filled="f" stroked="f" strokeweight=".5pt">
                <v:textbox>
                  <w:txbxContent>
                    <w:p w14:paraId="3B17B765" w14:textId="2CF9AF92" w:rsidR="000F108B" w:rsidRDefault="000F108B" w:rsidP="00C508FF">
                      <w:pPr>
                        <w:pStyle w:val="Subtitle"/>
                      </w:pPr>
                      <w:r w:rsidRPr="00262BED">
                        <w:t xml:space="preserve">By </w:t>
                      </w:r>
                      <w:proofErr w:type="spellStart"/>
                      <w:r w:rsidR="00AB52FA">
                        <w:t>Kep</w:t>
                      </w:r>
                      <w:r w:rsidR="00F43D75">
                        <w:t>ueli</w:t>
                      </w:r>
                      <w:proofErr w:type="spellEnd"/>
                      <w:r w:rsidR="00F43D75">
                        <w:t xml:space="preserve"> </w:t>
                      </w:r>
                      <w:proofErr w:type="spellStart"/>
                      <w:r w:rsidR="00F43D75">
                        <w:t>Hanisi</w:t>
                      </w:r>
                      <w:proofErr w:type="spellEnd"/>
                    </w:p>
                  </w:txbxContent>
                </v:textbox>
              </v:shape>
            </w:pict>
          </mc:Fallback>
        </mc:AlternateContent>
      </w:r>
      <w:r w:rsidR="007A4BF8">
        <w:rPr>
          <w:noProof/>
        </w:rPr>
        <mc:AlternateContent>
          <mc:Choice Requires="wps">
            <w:drawing>
              <wp:anchor distT="0" distB="0" distL="114300" distR="114300" simplePos="0" relativeHeight="251667456" behindDoc="0" locked="0" layoutInCell="1" allowOverlap="1" wp14:anchorId="7760C708" wp14:editId="15B218CC">
                <wp:simplePos x="0" y="0"/>
                <wp:positionH relativeFrom="column">
                  <wp:posOffset>-746760</wp:posOffset>
                </wp:positionH>
                <wp:positionV relativeFrom="paragraph">
                  <wp:posOffset>-914400</wp:posOffset>
                </wp:positionV>
                <wp:extent cx="7107428" cy="0"/>
                <wp:effectExtent l="0" t="12700" r="17780" b="12700"/>
                <wp:wrapNone/>
                <wp:docPr id="38297992" name="Straight Connector 27"/>
                <wp:cNvGraphicFramePr/>
                <a:graphic xmlns:a="http://schemas.openxmlformats.org/drawingml/2006/main">
                  <a:graphicData uri="http://schemas.microsoft.com/office/word/2010/wordprocessingShape">
                    <wps:wsp>
                      <wps:cNvCnPr/>
                      <wps:spPr>
                        <a:xfrm>
                          <a:off x="0" y="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7C26F7FF" id="Straight Connector 27"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8.8pt,-1in" to="500.85pt,-1in"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tpiRvQEAAN4DAAAOAAAAZHJzL2Uyb0RvYy54bWysU8GO0zAQvSPxD5bvNEm1sChquoddLRcE&#13;&#10;K2A/wHXGjSXbY9mmSf+esdOkK0BIIC6O7Zn3/ObNZHc3WcNOEKJG1/FmU3MGTmKv3bHjz98e37zn&#13;&#10;LCbhemHQQcfPEPnd/vWr3ehb2OKApofAiMTFdvQdH1LybVVFOYAVcYMeHAUVBisSHcOx6oMYid2a&#13;&#10;alvX76oRQ+8DSoiRbh/mIN8XfqVAps9KRUjMdJy0pbKGsh7yWu13oj0G4QctLzLEP6iwQjt6dKV6&#13;&#10;EEmw70H/QmW1DBhRpY1EW6FSWkKpgapp6p+q+ToID6UWMif61ab4/2jlp9O9ewpkw+hjG/1TyFVM&#13;&#10;Ktj8JX1sKmadV7NgSkzS5W1T395sqb1yiVVXoA8xfQC0LG86brTLdYhWnD7GRI9R6pKSr41jY8e3&#13;&#10;b2/quqRFNLp/1MbkYJkFuDeBnQR18XBscteI4UUWnYyjy2sRZZfOBmb+L6CY7kl2Mz+Q5+vKKaQE&#13;&#10;lxZe4yg7wxQpWIEXZX8CXvIzFMrs/Q14RZSX0aUVbLXD8DvZaVokqzl/cWCuO1twwP5c2lusoSEq&#13;&#10;zl0GPk/py3OBX3/L/Q8AAAD//wMAUEsDBBQABgAIAAAAIQACGD4d5AAAABQBAAAPAAAAZHJzL2Rv&#13;&#10;d25yZXYueG1sTE9LS8NAEL4L/odlBC/SbiKllTSbUq0Vb2IteN1mxyQkOxuzmzb21zs5FL0M8/jm&#13;&#10;e6SrwTbiiJ2vHCmIpxEIpNyZigoF+4/t5AGED5qMbhyhgh/0sMqur1KdGHeidzzuQiGYhHyiFZQh&#13;&#10;tImUPi/Raj91LRLfvlxndeCxK6Tp9InJbSPvo2gura6IFUrd4lOJeb3rrYLt+e67fuzfPtcv2mxa&#13;&#10;+brP+/pZqdubYbPksl6CCDiEvw8YM7B/yNjYwfVkvGgUTOJ4MWfs2M1mnG3ERFG8AHG47GSWyv9h&#13;&#10;sl8AAAD//wMAUEsBAi0AFAAGAAgAAAAhALaDOJL+AAAA4QEAABMAAAAAAAAAAAAAAAAAAAAAAFtD&#13;&#10;b250ZW50X1R5cGVzXS54bWxQSwECLQAUAAYACAAAACEAOP0h/9YAAACUAQAACwAAAAAAAAAAAAAA&#13;&#10;AAAvAQAAX3JlbHMvLnJlbHNQSwECLQAUAAYACAAAACEAA7aYkb0BAADeAwAADgAAAAAAAAAAAAAA&#13;&#10;AAAuAgAAZHJzL2Uyb0RvYy54bWxQSwECLQAUAAYACAAAACEAAhg+HeQAAAAUAQAADwAAAAAAAAAA&#13;&#10;AAAAAAAXBAAAZHJzL2Rvd25yZXYueG1sUEsFBgAAAAAEAAQA8wAAACgFAAAAAA==&#13;&#10;" strokecolor="white [3212]" strokeweight="2pt">
                <v:stroke joinstyle="miter"/>
              </v:line>
            </w:pict>
          </mc:Fallback>
        </mc:AlternateContent>
      </w:r>
      <w:r w:rsidR="000F108B">
        <w:br w:type="page"/>
      </w:r>
    </w:p>
    <w:p w14:paraId="6695B61E" w14:textId="6688EE54" w:rsidR="00FD42E0" w:rsidRDefault="001F059D" w:rsidP="00D74462">
      <w:pPr>
        <w:pStyle w:val="Heading1"/>
      </w:pPr>
      <w:r w:rsidRPr="00E23ACE">
        <w:lastRenderedPageBreak/>
        <w:t xml:space="preserve">I </w:t>
      </w:r>
      <w:r w:rsidR="00BA308E">
        <w:t>INTRODUCTION</w:t>
      </w:r>
    </w:p>
    <w:p w14:paraId="03F48E45" w14:textId="6054116F" w:rsidR="00A141B3" w:rsidRPr="00A141B3" w:rsidRDefault="00A141B3" w:rsidP="00BA308E">
      <w:pPr>
        <w:spacing w:after="0" w:line="480" w:lineRule="auto"/>
        <w:rPr>
          <w:rFonts w:ascii="Arial" w:eastAsia="Arial" w:hAnsi="Arial" w:cs="Arial"/>
          <w:color w:val="263238"/>
          <w:lang w:val="en" w:eastAsia="en-GB"/>
        </w:rPr>
      </w:pPr>
      <w:r w:rsidRPr="00A141B3">
        <w:rPr>
          <w:rFonts w:eastAsia="Times New Roman"/>
          <w:sz w:val="22"/>
          <w:szCs w:val="22"/>
          <w:lang w:val="en" w:eastAsia="en-GB"/>
        </w:rPr>
        <w:t xml:space="preserve">In 1881, Newington College officially opened within Sydney’s </w:t>
      </w:r>
      <w:proofErr w:type="spellStart"/>
      <w:r w:rsidRPr="00A141B3">
        <w:rPr>
          <w:rFonts w:eastAsia="Times New Roman"/>
          <w:sz w:val="22"/>
          <w:szCs w:val="22"/>
          <w:lang w:val="en" w:eastAsia="en-GB"/>
        </w:rPr>
        <w:t>innerwest</w:t>
      </w:r>
      <w:proofErr w:type="spellEnd"/>
      <w:r w:rsidRPr="00A141B3">
        <w:rPr>
          <w:rFonts w:eastAsia="Times New Roman"/>
          <w:sz w:val="22"/>
          <w:szCs w:val="22"/>
          <w:lang w:val="en" w:eastAsia="en-GB"/>
        </w:rPr>
        <w:t xml:space="preserve"> of Stanmore. Since its foundation, it has operated as an all-boys school within both their primary and secondary levels of education</w:t>
      </w:r>
      <w:r w:rsidRPr="00A141B3">
        <w:rPr>
          <w:rFonts w:eastAsia="Times New Roman"/>
          <w:sz w:val="22"/>
          <w:szCs w:val="22"/>
          <w:vertAlign w:val="superscript"/>
          <w:lang w:val="en" w:eastAsia="en-GB"/>
        </w:rPr>
        <w:footnoteReference w:id="1"/>
      </w:r>
      <w:r w:rsidRPr="00A141B3">
        <w:rPr>
          <w:rFonts w:eastAsia="Times New Roman"/>
          <w:sz w:val="22"/>
          <w:szCs w:val="22"/>
          <w:lang w:val="en" w:eastAsia="en-GB"/>
        </w:rPr>
        <w:t xml:space="preserve">. Newington is governed by the </w:t>
      </w:r>
      <w:r w:rsidRPr="00A141B3">
        <w:rPr>
          <w:rFonts w:eastAsia="Times New Roman"/>
          <w:i/>
          <w:iCs/>
          <w:sz w:val="22"/>
          <w:szCs w:val="22"/>
          <w:lang w:val="en" w:eastAsia="en-GB"/>
        </w:rPr>
        <w:t xml:space="preserve">Newington College Council Act </w:t>
      </w:r>
      <w:r w:rsidRPr="00A141B3">
        <w:rPr>
          <w:rFonts w:eastAsia="Times New Roman"/>
          <w:sz w:val="22"/>
          <w:szCs w:val="22"/>
          <w:lang w:val="en" w:eastAsia="en-GB"/>
        </w:rPr>
        <w:t>1922, pursuant to its foundational deed of trust in 1873. The Deed gives the school council named, ‘Council of Newington College’ jurisdiction over the management of the school</w:t>
      </w:r>
      <w:r w:rsidRPr="00A141B3">
        <w:rPr>
          <w:rFonts w:eastAsia="Times New Roman"/>
          <w:sz w:val="22"/>
          <w:szCs w:val="22"/>
          <w:vertAlign w:val="superscript"/>
          <w:lang w:val="en" w:eastAsia="en-GB"/>
        </w:rPr>
        <w:footnoteReference w:id="2"/>
      </w:r>
      <w:r w:rsidRPr="00A141B3">
        <w:rPr>
          <w:rFonts w:eastAsia="Times New Roman"/>
          <w:sz w:val="22"/>
          <w:szCs w:val="22"/>
          <w:lang w:val="en" w:eastAsia="en-GB"/>
        </w:rPr>
        <w:t>. After consultations with members of the school community the Council announced in November of 2023, that it intended to transition the College into coeducational learning. On the Stanmore campus, this process would commence with the junior schools in 2026 and the senior school to follow in 2028</w:t>
      </w:r>
      <w:r w:rsidRPr="00A141B3">
        <w:rPr>
          <w:rFonts w:eastAsia="Times New Roman"/>
          <w:sz w:val="22"/>
          <w:szCs w:val="22"/>
          <w:vertAlign w:val="superscript"/>
          <w:lang w:val="en" w:eastAsia="en-GB"/>
        </w:rPr>
        <w:footnoteReference w:id="3"/>
      </w:r>
      <w:r w:rsidRPr="00A141B3">
        <w:rPr>
          <w:rFonts w:eastAsia="Times New Roman"/>
          <w:sz w:val="22"/>
          <w:szCs w:val="22"/>
          <w:lang w:val="en" w:eastAsia="en-GB"/>
        </w:rPr>
        <w:t xml:space="preserve">. This decision generated widespread controversy among some parents, alumni and students at the time. So much so that it brought forth a legal dispute in May of 2025, by one of the pupils at the school referred to as “Student A”, </w:t>
      </w:r>
      <w:proofErr w:type="gramStart"/>
      <w:r w:rsidRPr="00A141B3">
        <w:rPr>
          <w:rFonts w:eastAsia="Times New Roman"/>
          <w:sz w:val="22"/>
          <w:szCs w:val="22"/>
          <w:lang w:val="en" w:eastAsia="en-GB"/>
        </w:rPr>
        <w:t>in an attempt to</w:t>
      </w:r>
      <w:proofErr w:type="gramEnd"/>
      <w:r w:rsidRPr="00A141B3">
        <w:rPr>
          <w:rFonts w:eastAsia="Times New Roman"/>
          <w:sz w:val="22"/>
          <w:szCs w:val="22"/>
          <w:lang w:val="en" w:eastAsia="en-GB"/>
        </w:rPr>
        <w:t xml:space="preserve"> prevent mixed-sex education. The </w:t>
      </w:r>
      <w:proofErr w:type="spellStart"/>
      <w:r w:rsidRPr="00A141B3">
        <w:rPr>
          <w:rFonts w:eastAsia="Times New Roman"/>
          <w:sz w:val="22"/>
          <w:szCs w:val="22"/>
          <w:lang w:val="en" w:eastAsia="en-GB"/>
        </w:rPr>
        <w:t>anonymisation</w:t>
      </w:r>
      <w:proofErr w:type="spellEnd"/>
      <w:r w:rsidRPr="00A141B3">
        <w:rPr>
          <w:rFonts w:eastAsia="Times New Roman"/>
          <w:sz w:val="22"/>
          <w:szCs w:val="22"/>
          <w:lang w:val="en" w:eastAsia="en-GB"/>
        </w:rPr>
        <w:t xml:space="preserve"> order for “Student A” was made to protect the plaintiff’s privacy, so the student was not </w:t>
      </w:r>
      <w:proofErr w:type="spellStart"/>
      <w:r w:rsidRPr="00A141B3">
        <w:rPr>
          <w:rFonts w:eastAsia="Times New Roman"/>
          <w:sz w:val="22"/>
          <w:szCs w:val="22"/>
          <w:lang w:val="en" w:eastAsia="en-GB"/>
        </w:rPr>
        <w:t>critiscied</w:t>
      </w:r>
      <w:proofErr w:type="spellEnd"/>
      <w:r w:rsidRPr="00A141B3">
        <w:rPr>
          <w:rFonts w:eastAsia="Times New Roman"/>
          <w:sz w:val="22"/>
          <w:szCs w:val="22"/>
          <w:lang w:val="en" w:eastAsia="en-GB"/>
        </w:rPr>
        <w:t xml:space="preserve"> for his personal feelings on the matter of the </w:t>
      </w:r>
      <w:proofErr w:type="spellStart"/>
      <w:r w:rsidRPr="00A141B3">
        <w:rPr>
          <w:rFonts w:eastAsia="Times New Roman"/>
          <w:sz w:val="22"/>
          <w:szCs w:val="22"/>
          <w:lang w:val="en" w:eastAsia="en-GB"/>
        </w:rPr>
        <w:t>intergration</w:t>
      </w:r>
      <w:proofErr w:type="spellEnd"/>
      <w:r w:rsidRPr="00A141B3">
        <w:rPr>
          <w:rFonts w:eastAsia="Times New Roman"/>
          <w:sz w:val="22"/>
          <w:szCs w:val="22"/>
          <w:vertAlign w:val="superscript"/>
          <w:lang w:val="en" w:eastAsia="en-GB"/>
        </w:rPr>
        <w:footnoteReference w:id="4"/>
      </w:r>
      <w:r w:rsidRPr="00A141B3">
        <w:rPr>
          <w:rFonts w:eastAsia="Times New Roman"/>
          <w:sz w:val="22"/>
          <w:szCs w:val="22"/>
          <w:lang w:val="en" w:eastAsia="en-GB"/>
        </w:rPr>
        <w:t>. The litigation before the court and Parker J was concerned only with the Council’s power to merge, and not with the merits of that decision</w:t>
      </w:r>
      <w:r w:rsidRPr="00A141B3">
        <w:rPr>
          <w:rFonts w:eastAsia="Times New Roman"/>
          <w:sz w:val="22"/>
          <w:szCs w:val="22"/>
          <w:vertAlign w:val="superscript"/>
          <w:lang w:val="en" w:eastAsia="en-GB"/>
        </w:rPr>
        <w:footnoteReference w:id="5"/>
      </w:r>
      <w:r w:rsidRPr="00A141B3">
        <w:rPr>
          <w:rFonts w:eastAsia="Times New Roman"/>
          <w:sz w:val="22"/>
          <w:szCs w:val="22"/>
          <w:lang w:val="en" w:eastAsia="en-GB"/>
        </w:rPr>
        <w:t xml:space="preserve">. </w:t>
      </w:r>
    </w:p>
    <w:p w14:paraId="6F58D1A8" w14:textId="2C4CB67D" w:rsidR="00BA308E" w:rsidRPr="00BA308E" w:rsidRDefault="00BA308E" w:rsidP="00BA308E">
      <w:pPr>
        <w:jc w:val="center"/>
        <w:outlineLvl w:val="0"/>
        <w:rPr>
          <w:b/>
          <w:bCs/>
          <w:color w:val="000000" w:themeColor="text1"/>
          <w:sz w:val="28"/>
          <w:szCs w:val="28"/>
        </w:rPr>
      </w:pPr>
      <w:bookmarkStart w:id="0" w:name="_eiqvavankxus" w:colFirst="0" w:colLast="0"/>
      <w:bookmarkEnd w:id="0"/>
      <w:r w:rsidRPr="00BA308E">
        <w:rPr>
          <w:b/>
          <w:bCs/>
          <w:color w:val="000000" w:themeColor="text1"/>
          <w:sz w:val="28"/>
          <w:szCs w:val="28"/>
        </w:rPr>
        <w:t>I</w:t>
      </w:r>
      <w:r>
        <w:rPr>
          <w:b/>
          <w:bCs/>
          <w:color w:val="000000" w:themeColor="text1"/>
          <w:sz w:val="28"/>
          <w:szCs w:val="28"/>
        </w:rPr>
        <w:t>I FACTS</w:t>
      </w:r>
    </w:p>
    <w:p w14:paraId="74FE86E2" w14:textId="77777777" w:rsidR="00A141B3" w:rsidRPr="00A141B3" w:rsidRDefault="00A141B3" w:rsidP="00A141B3">
      <w:pPr>
        <w:spacing w:after="0" w:line="480" w:lineRule="auto"/>
        <w:rPr>
          <w:rFonts w:ascii="Arial" w:eastAsia="Arial" w:hAnsi="Arial" w:cs="Arial"/>
          <w:color w:val="263238"/>
          <w:lang w:val="en" w:eastAsia="en-GB"/>
        </w:rPr>
      </w:pPr>
      <w:r w:rsidRPr="00A141B3">
        <w:rPr>
          <w:rFonts w:eastAsia="Times New Roman"/>
          <w:sz w:val="22"/>
          <w:szCs w:val="22"/>
          <w:lang w:val="en" w:eastAsia="en-GB"/>
        </w:rPr>
        <w:t xml:space="preserve">The </w:t>
      </w:r>
      <w:r w:rsidRPr="00A141B3">
        <w:rPr>
          <w:rFonts w:eastAsia="Times New Roman"/>
          <w:i/>
          <w:iCs/>
          <w:sz w:val="22"/>
          <w:szCs w:val="22"/>
          <w:lang w:val="en" w:eastAsia="en-GB"/>
        </w:rPr>
        <w:t xml:space="preserve">Newington College Council Act </w:t>
      </w:r>
      <w:r w:rsidRPr="00A141B3">
        <w:rPr>
          <w:rFonts w:eastAsia="Times New Roman"/>
          <w:sz w:val="22"/>
          <w:szCs w:val="22"/>
          <w:lang w:val="en" w:eastAsia="en-GB"/>
        </w:rPr>
        <w:t>requires the College to act in accordance with the objects set out in the 1873 Trust Deed. With the relevant provision in the document stating that one of the objects of the institution is “to provide an efficient course of education for youth”</w:t>
      </w:r>
      <w:r w:rsidRPr="00A141B3">
        <w:rPr>
          <w:rFonts w:eastAsia="Times New Roman"/>
          <w:sz w:val="22"/>
          <w:szCs w:val="22"/>
          <w:vertAlign w:val="superscript"/>
          <w:lang w:val="en" w:eastAsia="en-GB"/>
        </w:rPr>
        <w:footnoteReference w:id="6"/>
      </w:r>
      <w:r w:rsidRPr="00A141B3">
        <w:rPr>
          <w:rFonts w:eastAsia="Times New Roman"/>
          <w:sz w:val="22"/>
          <w:szCs w:val="22"/>
          <w:lang w:val="en" w:eastAsia="en-GB"/>
        </w:rPr>
        <w:t xml:space="preserve">. The principal contention made on behalf </w:t>
      </w:r>
      <w:proofErr w:type="gramStart"/>
      <w:r w:rsidRPr="00A141B3">
        <w:rPr>
          <w:rFonts w:eastAsia="Times New Roman"/>
          <w:sz w:val="22"/>
          <w:szCs w:val="22"/>
          <w:lang w:val="en" w:eastAsia="en-GB"/>
        </w:rPr>
        <w:t>of  “</w:t>
      </w:r>
      <w:proofErr w:type="gramEnd"/>
      <w:r w:rsidRPr="00A141B3">
        <w:rPr>
          <w:rFonts w:eastAsia="Times New Roman"/>
          <w:sz w:val="22"/>
          <w:szCs w:val="22"/>
          <w:lang w:val="en" w:eastAsia="en-GB"/>
        </w:rPr>
        <w:t xml:space="preserve">Student A” in these proceedings, focused on the word “youth” in the Trust Deed. The claim was that at the time that the deed was being made, the word was meant to only refer to boys and young men, and not young women and girls. Additionally, it was argued that the Council did not have the authority to undergo the transition it was planning to </w:t>
      </w:r>
      <w:proofErr w:type="gramStart"/>
      <w:r w:rsidRPr="00A141B3">
        <w:rPr>
          <w:rFonts w:eastAsia="Times New Roman"/>
          <w:sz w:val="22"/>
          <w:szCs w:val="22"/>
          <w:lang w:val="en" w:eastAsia="en-GB"/>
        </w:rPr>
        <w:t>perform, or</w:t>
      </w:r>
      <w:proofErr w:type="gramEnd"/>
      <w:r w:rsidRPr="00A141B3">
        <w:rPr>
          <w:rFonts w:eastAsia="Times New Roman"/>
          <w:sz w:val="22"/>
          <w:szCs w:val="22"/>
          <w:lang w:val="en" w:eastAsia="en-GB"/>
        </w:rPr>
        <w:t xml:space="preserve"> expend College resources for that purpose</w:t>
      </w:r>
      <w:r w:rsidRPr="00A141B3">
        <w:rPr>
          <w:rFonts w:eastAsia="Times New Roman"/>
          <w:sz w:val="22"/>
          <w:szCs w:val="22"/>
          <w:vertAlign w:val="superscript"/>
          <w:lang w:val="en" w:eastAsia="en-GB"/>
        </w:rPr>
        <w:footnoteReference w:id="7"/>
      </w:r>
      <w:r w:rsidRPr="00A141B3">
        <w:rPr>
          <w:rFonts w:eastAsia="Times New Roman"/>
          <w:sz w:val="22"/>
          <w:szCs w:val="22"/>
          <w:lang w:val="en" w:eastAsia="en-GB"/>
        </w:rPr>
        <w:t xml:space="preserve">. The Council of </w:t>
      </w:r>
      <w:r w:rsidRPr="00A141B3">
        <w:rPr>
          <w:rFonts w:eastAsia="Times New Roman"/>
          <w:sz w:val="22"/>
          <w:szCs w:val="22"/>
          <w:lang w:val="en" w:eastAsia="en-GB"/>
        </w:rPr>
        <w:lastRenderedPageBreak/>
        <w:t xml:space="preserve">Newington College argued that the word “youth” was not restricted to boys, the founding documents did not legally require single-sex education and that the Council did not have the authority necessary to change their enrolment policy. </w:t>
      </w:r>
    </w:p>
    <w:p w14:paraId="638992AC" w14:textId="77777777" w:rsidR="00A141B3" w:rsidRPr="00A141B3" w:rsidRDefault="00A141B3" w:rsidP="00A141B3">
      <w:pPr>
        <w:spacing w:after="0"/>
        <w:rPr>
          <w:rFonts w:eastAsia="Times New Roman"/>
          <w:sz w:val="22"/>
          <w:szCs w:val="22"/>
          <w:lang w:val="en" w:eastAsia="en-GB"/>
        </w:rPr>
      </w:pPr>
    </w:p>
    <w:p w14:paraId="2FCCB304" w14:textId="6C818DB8" w:rsidR="00A141B3" w:rsidRPr="00BA308E" w:rsidRDefault="00BA308E" w:rsidP="00BA308E">
      <w:pPr>
        <w:jc w:val="center"/>
        <w:outlineLvl w:val="0"/>
        <w:rPr>
          <w:b/>
          <w:bCs/>
          <w:color w:val="000000" w:themeColor="text1"/>
          <w:sz w:val="28"/>
          <w:szCs w:val="28"/>
        </w:rPr>
      </w:pPr>
      <w:bookmarkStart w:id="1" w:name="_gtv6c2fsn3u9" w:colFirst="0" w:colLast="0"/>
      <w:bookmarkEnd w:id="1"/>
      <w:r w:rsidRPr="00BA308E">
        <w:rPr>
          <w:b/>
          <w:bCs/>
          <w:color w:val="000000" w:themeColor="text1"/>
          <w:sz w:val="28"/>
          <w:szCs w:val="28"/>
        </w:rPr>
        <w:t>I</w:t>
      </w:r>
      <w:r>
        <w:rPr>
          <w:b/>
          <w:bCs/>
          <w:color w:val="000000" w:themeColor="text1"/>
          <w:sz w:val="28"/>
          <w:szCs w:val="28"/>
        </w:rPr>
        <w:t>II LEGAL ISSUES</w:t>
      </w:r>
    </w:p>
    <w:p w14:paraId="221A8A5C" w14:textId="48D5078F" w:rsidR="00A141B3" w:rsidRPr="00A141B3" w:rsidRDefault="00A141B3" w:rsidP="00BA308E">
      <w:pPr>
        <w:spacing w:after="0" w:line="480" w:lineRule="auto"/>
        <w:rPr>
          <w:rFonts w:eastAsia="Times New Roman"/>
          <w:sz w:val="22"/>
          <w:szCs w:val="22"/>
          <w:lang w:val="en" w:eastAsia="en-GB"/>
        </w:rPr>
      </w:pPr>
      <w:r w:rsidRPr="00A141B3">
        <w:rPr>
          <w:rFonts w:eastAsia="Times New Roman"/>
          <w:sz w:val="22"/>
          <w:szCs w:val="22"/>
          <w:lang w:val="en" w:eastAsia="en-GB"/>
        </w:rPr>
        <w:t xml:space="preserve">The main legal issues in </w:t>
      </w:r>
      <w:r w:rsidRPr="00A141B3">
        <w:rPr>
          <w:rFonts w:eastAsia="Times New Roman"/>
          <w:i/>
          <w:iCs/>
          <w:sz w:val="22"/>
          <w:szCs w:val="22"/>
          <w:lang w:val="en" w:eastAsia="en-GB"/>
        </w:rPr>
        <w:t>Student A v Council of Newington College</w:t>
      </w:r>
      <w:r w:rsidRPr="00A141B3">
        <w:rPr>
          <w:rFonts w:eastAsia="Times New Roman"/>
          <w:sz w:val="22"/>
          <w:szCs w:val="22"/>
          <w:lang w:val="en" w:eastAsia="en-GB"/>
        </w:rPr>
        <w:t xml:space="preserve"> [2025] NSWSC 534</w:t>
      </w:r>
      <w:r w:rsidRPr="00A141B3">
        <w:rPr>
          <w:rFonts w:eastAsia="Times New Roman"/>
          <w:sz w:val="22"/>
          <w:szCs w:val="22"/>
          <w:vertAlign w:val="superscript"/>
          <w:lang w:val="en" w:eastAsia="en-GB"/>
        </w:rPr>
        <w:footnoteReference w:id="8"/>
      </w:r>
      <w:r w:rsidRPr="00A141B3">
        <w:rPr>
          <w:rFonts w:eastAsia="Times New Roman"/>
          <w:sz w:val="22"/>
          <w:szCs w:val="22"/>
          <w:lang w:val="en" w:eastAsia="en-GB"/>
        </w:rPr>
        <w:t xml:space="preserve"> included whether the interpretation of the founding trust deed legally required the College to remain an only-boys school, what the word “youth” meant at the time, the scope of the College Council’s authority to introduce coeducation, whether the purpose of the trust was broad enough to include boys and girls, and whether the </w:t>
      </w:r>
      <w:proofErr w:type="spellStart"/>
      <w:r w:rsidRPr="00A141B3">
        <w:rPr>
          <w:rFonts w:eastAsia="Times New Roman"/>
          <w:sz w:val="22"/>
          <w:szCs w:val="22"/>
          <w:lang w:val="en" w:eastAsia="en-GB"/>
        </w:rPr>
        <w:t>Couuncil</w:t>
      </w:r>
      <w:proofErr w:type="spellEnd"/>
      <w:r w:rsidRPr="00A141B3">
        <w:rPr>
          <w:rFonts w:eastAsia="Times New Roman"/>
          <w:sz w:val="22"/>
          <w:szCs w:val="22"/>
          <w:lang w:val="en" w:eastAsia="en-GB"/>
        </w:rPr>
        <w:t xml:space="preserve"> was within their jurisdiction to allocate school resources and funds into implementing the integration. </w:t>
      </w:r>
    </w:p>
    <w:p w14:paraId="6F3ABEBD" w14:textId="77777777" w:rsidR="00A141B3" w:rsidRPr="00A141B3" w:rsidRDefault="00A141B3" w:rsidP="00A141B3">
      <w:pPr>
        <w:spacing w:after="160" w:line="276" w:lineRule="auto"/>
        <w:rPr>
          <w:rFonts w:eastAsia="Times New Roman"/>
          <w:sz w:val="22"/>
          <w:szCs w:val="22"/>
          <w:lang w:val="en" w:eastAsia="en-GB"/>
        </w:rPr>
      </w:pPr>
    </w:p>
    <w:p w14:paraId="5CDA3337" w14:textId="15474361" w:rsidR="00DE6541" w:rsidRPr="00DE6541" w:rsidRDefault="00DE6541" w:rsidP="00DE6541">
      <w:pPr>
        <w:jc w:val="center"/>
        <w:outlineLvl w:val="0"/>
        <w:rPr>
          <w:b/>
          <w:bCs/>
          <w:color w:val="000000" w:themeColor="text1"/>
          <w:sz w:val="28"/>
          <w:szCs w:val="28"/>
        </w:rPr>
      </w:pPr>
      <w:bookmarkStart w:id="2" w:name="_z1b3ccv5r9a8" w:colFirst="0" w:colLast="0"/>
      <w:bookmarkEnd w:id="2"/>
      <w:r w:rsidRPr="00DE6541">
        <w:rPr>
          <w:b/>
          <w:bCs/>
          <w:color w:val="000000" w:themeColor="text1"/>
          <w:sz w:val="28"/>
          <w:szCs w:val="28"/>
        </w:rPr>
        <w:t>I</w:t>
      </w:r>
      <w:r>
        <w:rPr>
          <w:b/>
          <w:bCs/>
          <w:color w:val="000000" w:themeColor="text1"/>
          <w:sz w:val="28"/>
          <w:szCs w:val="28"/>
        </w:rPr>
        <w:t>V OUTCOME</w:t>
      </w:r>
    </w:p>
    <w:p w14:paraId="10AAE912" w14:textId="77777777" w:rsidR="00A141B3" w:rsidRPr="00A141B3" w:rsidRDefault="00A141B3" w:rsidP="00A141B3">
      <w:pPr>
        <w:spacing w:after="0" w:line="480" w:lineRule="auto"/>
        <w:rPr>
          <w:rFonts w:eastAsia="Times New Roman"/>
          <w:sz w:val="22"/>
          <w:szCs w:val="22"/>
          <w:lang w:val="en" w:eastAsia="en-GB"/>
        </w:rPr>
      </w:pPr>
      <w:r w:rsidRPr="00A141B3">
        <w:rPr>
          <w:rFonts w:eastAsia="Times New Roman"/>
          <w:sz w:val="22"/>
          <w:szCs w:val="22"/>
          <w:lang w:val="en" w:eastAsia="en-GB"/>
        </w:rPr>
        <w:t xml:space="preserve">Justice Parker presided over the case and engaged with these legal issues. To follow are his comments and ultimate decisions on the matter. </w:t>
      </w:r>
    </w:p>
    <w:p w14:paraId="07BC0C24" w14:textId="77777777" w:rsidR="00A141B3" w:rsidRPr="00A141B3" w:rsidRDefault="00A141B3" w:rsidP="00A141B3">
      <w:pPr>
        <w:spacing w:after="0" w:line="480" w:lineRule="auto"/>
        <w:rPr>
          <w:rFonts w:eastAsia="Times New Roman"/>
          <w:sz w:val="22"/>
          <w:szCs w:val="22"/>
          <w:lang w:val="en" w:eastAsia="en-GB"/>
        </w:rPr>
      </w:pPr>
    </w:p>
    <w:p w14:paraId="542A882F" w14:textId="77777777" w:rsidR="00A141B3" w:rsidRPr="00A141B3" w:rsidRDefault="00A141B3" w:rsidP="00A141B3">
      <w:pPr>
        <w:spacing w:after="0" w:line="480" w:lineRule="auto"/>
        <w:rPr>
          <w:rFonts w:eastAsia="Times New Roman"/>
          <w:sz w:val="22"/>
          <w:szCs w:val="22"/>
          <w:lang w:val="en" w:eastAsia="en-GB"/>
        </w:rPr>
      </w:pPr>
      <w:r w:rsidRPr="00A141B3">
        <w:rPr>
          <w:rFonts w:eastAsia="Times New Roman"/>
          <w:sz w:val="22"/>
          <w:szCs w:val="22"/>
          <w:lang w:val="en" w:eastAsia="en-GB"/>
        </w:rPr>
        <w:t>The judge thought the gender-neutral language concerning enrolments, for example referring to students as pupils, was particularly significant. He asserted that if a male-only enrolment policy was to have been mandated, that it was precisely where one would expect to see the use of male-only language</w:t>
      </w:r>
      <w:r w:rsidRPr="00A141B3">
        <w:rPr>
          <w:rFonts w:eastAsia="Times New Roman"/>
          <w:sz w:val="22"/>
          <w:szCs w:val="22"/>
          <w:vertAlign w:val="superscript"/>
          <w:lang w:val="en" w:eastAsia="en-GB"/>
        </w:rPr>
        <w:footnoteReference w:id="9"/>
      </w:r>
      <w:r w:rsidRPr="00A141B3">
        <w:rPr>
          <w:rFonts w:eastAsia="Times New Roman"/>
          <w:sz w:val="22"/>
          <w:szCs w:val="22"/>
          <w:lang w:val="en" w:eastAsia="en-GB"/>
        </w:rPr>
        <w:t xml:space="preserve">. The attempt by counsel for Student A to suppose that the gender-neutral language of the deed meant all boys or young men was unconvincing. The Supreme Court found the reasoning particularly circular, beginning with the assumptions that the parties to the Deed had that limitation in mind, and then read the limitation into the gender-neutral language of the Deed </w:t>
      </w:r>
      <w:proofErr w:type="gramStart"/>
      <w:r w:rsidRPr="00A141B3">
        <w:rPr>
          <w:rFonts w:eastAsia="Times New Roman"/>
          <w:sz w:val="22"/>
          <w:szCs w:val="22"/>
          <w:lang w:val="en" w:eastAsia="en-GB"/>
        </w:rPr>
        <w:t>as a consequence</w:t>
      </w:r>
      <w:proofErr w:type="gramEnd"/>
      <w:r w:rsidRPr="00A141B3">
        <w:rPr>
          <w:rFonts w:eastAsia="Times New Roman"/>
          <w:sz w:val="22"/>
          <w:szCs w:val="22"/>
          <w:vertAlign w:val="superscript"/>
          <w:lang w:val="en" w:eastAsia="en-GB"/>
        </w:rPr>
        <w:footnoteReference w:id="10"/>
      </w:r>
      <w:r w:rsidRPr="00A141B3">
        <w:rPr>
          <w:rFonts w:eastAsia="Times New Roman"/>
          <w:sz w:val="22"/>
          <w:szCs w:val="22"/>
          <w:lang w:val="en" w:eastAsia="en-GB"/>
        </w:rPr>
        <w:t xml:space="preserve">. In Justice Parker’s opinion, the meaning of the term “youth” as observed in the third clause of the Deed was unambiguous. Additionally, it was determined that </w:t>
      </w:r>
      <w:r w:rsidRPr="00A141B3">
        <w:rPr>
          <w:rFonts w:eastAsia="Times New Roman"/>
          <w:sz w:val="22"/>
          <w:szCs w:val="22"/>
          <w:lang w:val="en" w:eastAsia="en-GB"/>
        </w:rPr>
        <w:lastRenderedPageBreak/>
        <w:t>there was nothing to qualify its ordinary gender-neutral meaning and that it must be presumed that the gender-neutral interpretation, was the meaning which the parties to the Deed intended to express at the time</w:t>
      </w:r>
      <w:r w:rsidRPr="00A141B3">
        <w:rPr>
          <w:rFonts w:eastAsia="Times New Roman"/>
          <w:sz w:val="22"/>
          <w:szCs w:val="22"/>
          <w:vertAlign w:val="superscript"/>
          <w:lang w:val="en" w:eastAsia="en-GB"/>
        </w:rPr>
        <w:footnoteReference w:id="11"/>
      </w:r>
      <w:r w:rsidRPr="00A141B3">
        <w:rPr>
          <w:rFonts w:eastAsia="Times New Roman"/>
          <w:sz w:val="22"/>
          <w:szCs w:val="22"/>
          <w:lang w:val="en" w:eastAsia="en-GB"/>
        </w:rPr>
        <w:t xml:space="preserve">. </w:t>
      </w:r>
    </w:p>
    <w:p w14:paraId="7EB75B5F" w14:textId="77777777" w:rsidR="00A141B3" w:rsidRPr="00A141B3" w:rsidRDefault="00A141B3" w:rsidP="00596D9E">
      <w:pPr>
        <w:spacing w:after="160" w:line="480" w:lineRule="auto"/>
        <w:rPr>
          <w:rFonts w:eastAsia="Times New Roman"/>
          <w:sz w:val="22"/>
          <w:szCs w:val="22"/>
          <w:lang w:val="en" w:eastAsia="en-GB"/>
        </w:rPr>
      </w:pPr>
      <w:r w:rsidRPr="00A141B3">
        <w:rPr>
          <w:rFonts w:eastAsia="Times New Roman"/>
          <w:sz w:val="22"/>
          <w:szCs w:val="22"/>
          <w:lang w:val="en" w:eastAsia="en-GB"/>
        </w:rPr>
        <w:t xml:space="preserve">In observing the </w:t>
      </w:r>
      <w:r w:rsidRPr="00A141B3">
        <w:rPr>
          <w:rFonts w:eastAsia="Times New Roman"/>
          <w:i/>
          <w:iCs/>
          <w:sz w:val="22"/>
          <w:szCs w:val="22"/>
          <w:lang w:val="en" w:eastAsia="en-GB"/>
        </w:rPr>
        <w:t xml:space="preserve">Newington College Council Act, </w:t>
      </w:r>
      <w:r w:rsidRPr="00A141B3">
        <w:rPr>
          <w:rFonts w:eastAsia="Times New Roman"/>
          <w:sz w:val="22"/>
          <w:szCs w:val="22"/>
          <w:lang w:val="en" w:eastAsia="en-GB"/>
        </w:rPr>
        <w:t xml:space="preserve">which governs the College Council’s operations, it was determined that there were no regulations that were adopted which would prevent the school from becoming </w:t>
      </w:r>
      <w:proofErr w:type="spellStart"/>
      <w:r w:rsidRPr="00A141B3">
        <w:rPr>
          <w:rFonts w:eastAsia="Times New Roman"/>
          <w:sz w:val="22"/>
          <w:szCs w:val="22"/>
          <w:lang w:val="en" w:eastAsia="en-GB"/>
        </w:rPr>
        <w:t>coeduational</w:t>
      </w:r>
      <w:proofErr w:type="spellEnd"/>
      <w:r w:rsidRPr="00A141B3">
        <w:rPr>
          <w:rFonts w:eastAsia="Times New Roman"/>
          <w:sz w:val="22"/>
          <w:szCs w:val="22"/>
          <w:lang w:val="en" w:eastAsia="en-GB"/>
        </w:rPr>
        <w:t xml:space="preserve">. It was in s 13 of the Act where the Council was given the power to make that change unless it would conflict with the “general objects for which the college was founded”. </w:t>
      </w:r>
    </w:p>
    <w:p w14:paraId="5B3945B8" w14:textId="77777777" w:rsidR="00A141B3" w:rsidRPr="00A141B3" w:rsidRDefault="00A141B3" w:rsidP="003B186A">
      <w:pPr>
        <w:spacing w:after="160" w:line="480" w:lineRule="auto"/>
        <w:rPr>
          <w:rFonts w:eastAsia="Times New Roman"/>
          <w:sz w:val="22"/>
          <w:szCs w:val="22"/>
          <w:lang w:val="en" w:eastAsia="en-GB"/>
        </w:rPr>
      </w:pPr>
      <w:r w:rsidRPr="00A141B3">
        <w:rPr>
          <w:rFonts w:eastAsia="Times New Roman"/>
          <w:sz w:val="22"/>
          <w:szCs w:val="22"/>
          <w:lang w:val="en" w:eastAsia="en-GB"/>
        </w:rPr>
        <w:t>All parties proceeded on the basis that these “general objects” were to be observed with the object stated in cl 3 of the Trust Deed, namely, “the provision of an efficient course of education for youth”</w:t>
      </w:r>
      <w:r w:rsidRPr="00A141B3">
        <w:rPr>
          <w:rFonts w:eastAsia="Times New Roman"/>
          <w:sz w:val="22"/>
          <w:szCs w:val="22"/>
          <w:vertAlign w:val="superscript"/>
          <w:lang w:val="en" w:eastAsia="en-GB"/>
        </w:rPr>
        <w:footnoteReference w:id="12"/>
      </w:r>
      <w:r w:rsidRPr="00A141B3">
        <w:rPr>
          <w:rFonts w:eastAsia="Times New Roman"/>
          <w:sz w:val="22"/>
          <w:szCs w:val="22"/>
          <w:lang w:val="en" w:eastAsia="en-GB"/>
        </w:rPr>
        <w:t>.</w:t>
      </w:r>
    </w:p>
    <w:p w14:paraId="3F348793" w14:textId="77777777" w:rsidR="00A141B3" w:rsidRPr="00A141B3" w:rsidRDefault="00A141B3" w:rsidP="003B186A">
      <w:pPr>
        <w:spacing w:after="160" w:line="480" w:lineRule="auto"/>
        <w:rPr>
          <w:rFonts w:eastAsia="Times New Roman"/>
          <w:sz w:val="22"/>
          <w:szCs w:val="22"/>
          <w:lang w:val="en" w:eastAsia="en-GB"/>
        </w:rPr>
      </w:pPr>
      <w:r w:rsidRPr="00A141B3">
        <w:rPr>
          <w:rFonts w:eastAsia="Times New Roman"/>
          <w:sz w:val="22"/>
          <w:szCs w:val="22"/>
          <w:lang w:val="en" w:eastAsia="en-GB"/>
        </w:rPr>
        <w:t xml:space="preserve">The court ruled in </w:t>
      </w:r>
      <w:proofErr w:type="spellStart"/>
      <w:r w:rsidRPr="00A141B3">
        <w:rPr>
          <w:rFonts w:eastAsia="Times New Roman"/>
          <w:sz w:val="22"/>
          <w:szCs w:val="22"/>
          <w:lang w:val="en" w:eastAsia="en-GB"/>
        </w:rPr>
        <w:t>favour</w:t>
      </w:r>
      <w:proofErr w:type="spellEnd"/>
      <w:r w:rsidRPr="00A141B3">
        <w:rPr>
          <w:rFonts w:eastAsia="Times New Roman"/>
          <w:sz w:val="22"/>
          <w:szCs w:val="22"/>
          <w:lang w:val="en" w:eastAsia="en-GB"/>
        </w:rPr>
        <w:t xml:space="preserve"> of Newington College. Student A appealed on the basis that the original court was wrong in their interpretation, however, the New South Wales Court of Appeals upheld the decision of the Supreme Court and dismissed the case. </w:t>
      </w:r>
    </w:p>
    <w:p w14:paraId="07DF0FC8" w14:textId="118F3379" w:rsidR="00465919" w:rsidRPr="00465919" w:rsidRDefault="00465919" w:rsidP="00465919">
      <w:pPr>
        <w:jc w:val="center"/>
        <w:outlineLvl w:val="0"/>
        <w:rPr>
          <w:b/>
          <w:bCs/>
          <w:color w:val="000000" w:themeColor="text1"/>
          <w:sz w:val="28"/>
          <w:szCs w:val="28"/>
        </w:rPr>
      </w:pPr>
      <w:bookmarkStart w:id="3" w:name="_d6vl2f2i3qx8" w:colFirst="0" w:colLast="0"/>
      <w:bookmarkEnd w:id="3"/>
      <w:r>
        <w:rPr>
          <w:b/>
          <w:bCs/>
          <w:color w:val="000000" w:themeColor="text1"/>
          <w:sz w:val="28"/>
          <w:szCs w:val="28"/>
        </w:rPr>
        <w:t>V IMPLICATIONS</w:t>
      </w:r>
    </w:p>
    <w:p w14:paraId="43B507D8" w14:textId="77777777" w:rsidR="00A141B3" w:rsidRPr="00A141B3" w:rsidRDefault="00A141B3" w:rsidP="00A141B3">
      <w:pPr>
        <w:spacing w:after="160" w:line="480" w:lineRule="auto"/>
        <w:rPr>
          <w:rFonts w:eastAsia="Times New Roman"/>
          <w:color w:val="263238"/>
          <w:lang w:val="en" w:eastAsia="en-GB"/>
        </w:rPr>
      </w:pPr>
      <w:r w:rsidRPr="00A141B3">
        <w:rPr>
          <w:rFonts w:eastAsia="Times New Roman"/>
          <w:color w:val="263238"/>
          <w:lang w:val="en" w:eastAsia="en-GB"/>
        </w:rPr>
        <w:t>Had the plaintiff succeeded, further questions may have arisen as to whether the male-only limitation applied to other property held by the Council for the purposes of the College</w:t>
      </w:r>
      <w:r w:rsidRPr="00A141B3">
        <w:rPr>
          <w:rFonts w:eastAsia="Times New Roman"/>
          <w:color w:val="263238"/>
          <w:vertAlign w:val="superscript"/>
          <w:lang w:val="en" w:eastAsia="en-GB"/>
        </w:rPr>
        <w:footnoteReference w:id="13"/>
      </w:r>
      <w:r w:rsidRPr="00A141B3">
        <w:rPr>
          <w:rFonts w:eastAsia="Times New Roman"/>
          <w:color w:val="263238"/>
          <w:lang w:val="en" w:eastAsia="en-GB"/>
        </w:rPr>
        <w:t xml:space="preserve">. However, with the claim failing it may very well set a strong precedent that is not limited to only enrolment throughout Newington College, but also other unrelated subjects of discussion within the Council’s jurisdiction. </w:t>
      </w:r>
    </w:p>
    <w:p w14:paraId="12FAC2C9" w14:textId="77777777" w:rsidR="00A141B3" w:rsidRPr="00A141B3" w:rsidRDefault="00A141B3" w:rsidP="003B186A">
      <w:pPr>
        <w:spacing w:after="160" w:line="480" w:lineRule="auto"/>
        <w:rPr>
          <w:rFonts w:eastAsia="Times New Roman"/>
          <w:color w:val="263238"/>
          <w:lang w:val="en" w:eastAsia="en-GB"/>
        </w:rPr>
      </w:pPr>
      <w:r w:rsidRPr="00A141B3">
        <w:rPr>
          <w:rFonts w:eastAsia="Times New Roman"/>
          <w:color w:val="263238"/>
          <w:lang w:val="en" w:eastAsia="en-GB"/>
        </w:rPr>
        <w:t xml:space="preserve">With Cranbrook School facing similar public backlash among its own current student population, parent, faculty and alumni community in 2022; this case builds on a very general precedent not just limited to </w:t>
      </w:r>
      <w:proofErr w:type="gramStart"/>
      <w:r w:rsidRPr="00A141B3">
        <w:rPr>
          <w:rFonts w:eastAsia="Times New Roman"/>
          <w:color w:val="263238"/>
          <w:lang w:val="en" w:eastAsia="en-GB"/>
        </w:rPr>
        <w:t>Newington, but</w:t>
      </w:r>
      <w:proofErr w:type="gramEnd"/>
      <w:r w:rsidRPr="00A141B3">
        <w:rPr>
          <w:rFonts w:eastAsia="Times New Roman"/>
          <w:color w:val="263238"/>
          <w:lang w:val="en" w:eastAsia="en-GB"/>
        </w:rPr>
        <w:t xml:space="preserve"> perhaps sparking further coeducational discussions among other elite traditionally all-boys private schools. Such as The King’s School in North Parramatta, Scots College in Bellevue Hill and Knox Grammar School in Wahroonga to name a few. </w:t>
      </w:r>
    </w:p>
    <w:p w14:paraId="54B204E1" w14:textId="2E63E98B" w:rsidR="000F108B" w:rsidRPr="00BE0138" w:rsidRDefault="00A141B3" w:rsidP="003B186A">
      <w:pPr>
        <w:spacing w:after="160" w:line="480" w:lineRule="auto"/>
        <w:rPr>
          <w:rFonts w:ascii="Arial" w:eastAsia="Arial" w:hAnsi="Arial" w:cs="Arial"/>
          <w:sz w:val="22"/>
          <w:szCs w:val="22"/>
          <w:lang w:val="en" w:eastAsia="en-GB"/>
        </w:rPr>
      </w:pPr>
      <w:r w:rsidRPr="00A141B3">
        <w:rPr>
          <w:rFonts w:eastAsia="Times New Roman"/>
          <w:color w:val="263238"/>
          <w:lang w:val="en" w:eastAsia="en-GB"/>
        </w:rPr>
        <w:lastRenderedPageBreak/>
        <w:t xml:space="preserve">The </w:t>
      </w:r>
      <w:proofErr w:type="gramStart"/>
      <w:r w:rsidRPr="00A141B3">
        <w:rPr>
          <w:rFonts w:eastAsia="Times New Roman"/>
          <w:color w:val="263238"/>
          <w:lang w:val="en" w:eastAsia="en-GB"/>
        </w:rPr>
        <w:t>implications</w:t>
      </w:r>
      <w:proofErr w:type="gramEnd"/>
      <w:r w:rsidRPr="00A141B3">
        <w:rPr>
          <w:rFonts w:eastAsia="Times New Roman"/>
          <w:color w:val="263238"/>
          <w:lang w:val="en" w:eastAsia="en-GB"/>
        </w:rPr>
        <w:t xml:space="preserve"> of this case is perhaps an indication of the much more progressive and inclusive times that we are in now. Schools like Newington feature some of the most highly networked and affluent families in the country. This level of exclusivity </w:t>
      </w:r>
      <w:proofErr w:type="gramStart"/>
      <w:r w:rsidRPr="00A141B3">
        <w:rPr>
          <w:rFonts w:eastAsia="Times New Roman"/>
          <w:color w:val="263238"/>
          <w:lang w:val="en" w:eastAsia="en-GB"/>
        </w:rPr>
        <w:t>more often than not</w:t>
      </w:r>
      <w:proofErr w:type="gramEnd"/>
      <w:r w:rsidRPr="00A141B3">
        <w:rPr>
          <w:rFonts w:eastAsia="Times New Roman"/>
          <w:color w:val="263238"/>
          <w:lang w:val="en" w:eastAsia="en-GB"/>
        </w:rPr>
        <w:t xml:space="preserve"> promotes a culture of elitism that tends to exclude different types of people, which can be seen in the public scrutiny that both Cranbrook and Newington faced in merely announcing their intentions to integrate. This case certainly challenges a deep-rooted issue inside a niche part of our society within the private education system and upperclass of Australia. </w:t>
      </w:r>
      <w:r w:rsidR="000F108B">
        <w:br w:type="page"/>
      </w:r>
    </w:p>
    <w:p w14:paraId="698F75F1" w14:textId="1ED3DC73" w:rsidR="000F108B" w:rsidRDefault="001C6A9D" w:rsidP="00235853">
      <w:r>
        <w:rPr>
          <w:noProof/>
        </w:rPr>
        <w:lastRenderedPageBreak/>
        <mc:AlternateContent>
          <mc:Choice Requires="wpg">
            <w:drawing>
              <wp:anchor distT="0" distB="0" distL="114300" distR="114300" simplePos="0" relativeHeight="251681792" behindDoc="0" locked="0" layoutInCell="1" allowOverlap="1" wp14:anchorId="121B674F" wp14:editId="1C551674">
                <wp:simplePos x="0" y="0"/>
                <wp:positionH relativeFrom="column">
                  <wp:posOffset>-685800</wp:posOffset>
                </wp:positionH>
                <wp:positionV relativeFrom="paragraph">
                  <wp:posOffset>1902460</wp:posOffset>
                </wp:positionV>
                <wp:extent cx="7546340" cy="1084580"/>
                <wp:effectExtent l="0" t="12700" r="0" b="7620"/>
                <wp:wrapNone/>
                <wp:docPr id="168221322" name="Group 31"/>
                <wp:cNvGraphicFramePr/>
                <a:graphic xmlns:a="http://schemas.openxmlformats.org/drawingml/2006/main">
                  <a:graphicData uri="http://schemas.microsoft.com/office/word/2010/wordprocessingGroup">
                    <wpg:wgp>
                      <wpg:cNvGrpSpPr/>
                      <wpg:grpSpPr>
                        <a:xfrm>
                          <a:off x="0" y="0"/>
                          <a:ext cx="7546340" cy="1084580"/>
                          <a:chOff x="35306" y="1597660"/>
                          <a:chExt cx="7546340" cy="1085088"/>
                        </a:xfrm>
                      </wpg:grpSpPr>
                      <wps:wsp>
                        <wps:cNvPr id="1493187613" name="Text Box 27"/>
                        <wps:cNvSpPr txBox="1"/>
                        <wps:spPr>
                          <a:xfrm>
                            <a:off x="35306" y="1914008"/>
                            <a:ext cx="7546340" cy="488193"/>
                          </a:xfrm>
                          <a:prstGeom prst="rect">
                            <a:avLst/>
                          </a:prstGeom>
                          <a:noFill/>
                          <a:ln w="6350">
                            <a:noFill/>
                          </a:ln>
                        </wps:spPr>
                        <wps:txbx>
                          <w:txbxContent>
                            <w:p w14:paraId="2AEBA7A0" w14:textId="4F439EFE" w:rsidR="009470FA" w:rsidRPr="001C6A9D" w:rsidRDefault="009470FA" w:rsidP="001C6A9D">
                              <w:pPr>
                                <w:pStyle w:val="Title"/>
                                <w:rPr>
                                  <w:rStyle w:val="Strong"/>
                                </w:rPr>
                              </w:pPr>
                              <w:r w:rsidRPr="001C6A9D">
                                <w:rPr>
                                  <w:rStyle w:val="Strong"/>
                                </w:rPr>
                                <w:t>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86141420" name="Straight Connector 27"/>
                        <wps:cNvCnPr/>
                        <wps:spPr>
                          <a:xfrm>
                            <a:off x="256032" y="1597660"/>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s:wsp>
                        <wps:cNvPr id="2089456829" name="Straight Connector 27"/>
                        <wps:cNvCnPr/>
                        <wps:spPr>
                          <a:xfrm>
                            <a:off x="256032" y="2682748"/>
                            <a:ext cx="7107428" cy="0"/>
                          </a:xfrm>
                          <a:prstGeom prst="line">
                            <a:avLst/>
                          </a:prstGeom>
                          <a:ln w="25400">
                            <a:solidFill>
                              <a:schemeClr val="bg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1B674F" id="_x0000_s1034" style="position:absolute;margin-left:-54pt;margin-top:149.8pt;width:594.2pt;height:85.4pt;z-index:251681792;mso-width-relative:margin;mso-height-relative:margin" coordorigin="353,15976" coordsize="75463,108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VlVdAMAAKgKAAAOAAAAZHJzL2Uyb0RvYy54bWzsVltv0zAUfkfiP1h+Z7k0SdNoGRqFTUjT&#13;&#10;NtEhnl3XaSM5trHdJePXc+w0abuVB0AgIfGS2D4Xn/P5O8c+f9s1HD0ybWopShydhRgxQeWqFusS&#13;&#10;f364epNjZCwRK8KlYCV+Yga/vXj96rxVBYvlRvIV0wicCFO0qsQba1URBIZuWEPMmVRMgLCSuiEW&#13;&#10;pnodrDRpwXvDgzgMs6CVeqW0pMwYWH3fC/GF919VjNq7qjLMIl5iiM36r/bfpfsGF+ekWGuiNjXd&#13;&#10;hUF+IYqG1AI2HV29J5agra5fuGpqqqWRlT2jsglkVdWU+Rwgmyh8ls21llvlc1kX7VqNMAG0z3D6&#13;&#10;Zbf09vFaq4W614BEq9aAhZ+5XLpKN+4PUaLOQ/Y0QsY6iygsTtMkmySALAVZFOZJmu9ApRtA3tlN&#13;&#10;0kmYYeTk6WyaZaP8ww98pGGeu4MJhhCCo8BaBVQxezTM76Gx2BDFPMimADTuNapXEGoym0T5NIsm&#13;&#10;GAnSAHMfXMrvZIfiqQvORQHqDjlkO1gHm2HdwOIJAA+AmEVJGPokSXESyiTPo9nkCAVSKG3sNZMN&#13;&#10;coMSa2C3Jx15vDG2B2xQcdsLeVVzDuuk4AK1Jc4maegNRglAzAUg7bLpo3Yj2y07j0I6ZLSUqydI&#13;&#10;VMu+gIyiVzXEcEOMvScaKgYYAF3A3sGn4hL2krsRRhupv51ad/pwdCDFqIUKLLH5uiWaYcQ/CjhU&#13;&#10;wMgRy/pJkk5jmOhDyfJQIrbNXEKRR9BvFPVDp2/5MKy0bL5As7h0u4KICAp7l9gOw7nt+wI0G8ou&#13;&#10;L70SFKki9kYsFHWuHZQO4YfuC9FqdwwWDvBWDjQixbPT6HX787jcWlnV/qgczj2qO/iB0j2r/jy3&#13;&#10;ozyLkihxgPbcXlhN6vXGorkUAlgl9THL52LXHwaWDJU5Noc4zcJJ/LLKR3JH4TSJ4TJwfcJ3gLG6&#13;&#10;X/Ca18IV5AskHfX3ZI5TKCGvZiSvV47qTuhvDjbnGj0SoMNy7asSNjvQOs16Y5846/1/YhXw35f0&#13;&#10;CZ+EUibs4JcL0HZaFUQwGu4ic9fYPphjw52+M2X+pvoZ49HC7yyFHY2bWkjd43K8u+2GkKtef6j7&#13;&#10;Pu89IV0ncbO/x8g4zGdJmuXx7I8wMgbP0+R5u/3PyBL/i4z0rwF4DgFLj95bh3PP4P0D8+I7AAAA&#13;&#10;//8DAFBLAwQUAAYACAAAACEAqVZ1KOYAAAASAQAADwAAAGRycy9kb3ducmV2LnhtbEyPy27CMBBF&#13;&#10;95X6D9ZU6g6cUEohZIIQfaxQpUKlqjsTD0lEbEexScLfd1iVzWied+5JV4OpRUetr5xFiMcRCLK5&#13;&#10;05UtEL7376M5CB+U1ap2lhAu5GGV3d+lKtGut1/U7UIhWMT6RCGUITSJlD4vySg/dg1Znh1da1Tg&#13;&#10;si2kblXP4qaWkyiaSaMqyx9K1dCmpPy0OxuEj17166f4rduejpvL7/7582cbE+Ljw/C65LBeggg0&#13;&#10;hP8LuDKwf8jY2MGdrfaiRhjF0ZyJAsJksZiBuK5wZwrigDB94URmqbxFyf4AAAD//wMAUEsBAi0A&#13;&#10;FAAGAAgAAAAhALaDOJL+AAAA4QEAABMAAAAAAAAAAAAAAAAAAAAAAFtDb250ZW50X1R5cGVzXS54&#13;&#10;bWxQSwECLQAUAAYACAAAACEAOP0h/9YAAACUAQAACwAAAAAAAAAAAAAAAAAvAQAAX3JlbHMvLnJl&#13;&#10;bHNQSwECLQAUAAYACAAAACEAE4VZVXQDAACoCgAADgAAAAAAAAAAAAAAAAAuAgAAZHJzL2Uyb0Rv&#13;&#10;Yy54bWxQSwECLQAUAAYACAAAACEAqVZ1KOYAAAASAQAADwAAAAAAAAAAAAAAAADOBQAAZHJzL2Rv&#13;&#10;d25yZXYueG1sUEsFBgAAAAAEAAQA8wAAAOEGAAAAAA==&#13;&#10;">
                <v:shape id="_x0000_s1035" type="#_x0000_t202" style="position:absolute;left:353;top:19140;width:75463;height:488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Rvpd0QAAAOgAAAAPAAAAZHJzL2Rvd25yZXYueG1sRI9Na8JA&#13;&#10;EIbvhf6HZQre6iZqNY2uIimiSHvw49LbNDsmodnZmN1q7K/vFgq9DMy8vM/wzBadqcWFWldZVhD3&#13;&#10;IxDEudUVFwqOh9VjAsJ5ZI21ZVJwIweL+f3dDFNtr7yjy94XIkDYpaig9L5JpXR5SQZd3zbEITvZ&#13;&#10;1qAPa1tI3eI1wE0tB1E0lgYrDh9KbCgrKf/cfxkF22z1hruPgUm+62z9elo25+P7k1K9h+5lGsZy&#13;&#10;CsJT5/8bf4iNDg6j52GcTMbxEH7FwgHk/AcAAP//AwBQSwECLQAUAAYACAAAACEA2+H2y+4AAACF&#13;&#10;AQAAEwAAAAAAAAAAAAAAAAAAAAAAW0NvbnRlbnRfVHlwZXNdLnhtbFBLAQItABQABgAIAAAAIQBa&#13;&#10;9CxbvwAAABUBAAALAAAAAAAAAAAAAAAAAB8BAABfcmVscy8ucmVsc1BLAQItABQABgAIAAAAIQCb&#13;&#10;Rvpd0QAAAOgAAAAPAAAAAAAAAAAAAAAAAAcCAABkcnMvZG93bnJldi54bWxQSwUGAAAAAAMAAwC3&#13;&#10;AAAABQMAAAAA&#13;&#10;" filled="f" stroked="f" strokeweight=".5pt">
                  <v:textbox>
                    <w:txbxContent>
                      <w:p w14:paraId="2AEBA7A0" w14:textId="4F439EFE" w:rsidR="009470FA" w:rsidRPr="001C6A9D" w:rsidRDefault="009470FA" w:rsidP="001C6A9D">
                        <w:pPr>
                          <w:pStyle w:val="Title"/>
                          <w:rPr>
                            <w:rStyle w:val="Strong"/>
                          </w:rPr>
                        </w:pPr>
                        <w:r w:rsidRPr="001C6A9D">
                          <w:rPr>
                            <w:rStyle w:val="Strong"/>
                          </w:rPr>
                          <w:t>LAW STUDENT REVIEW</w:t>
                        </w:r>
                      </w:p>
                    </w:txbxContent>
                  </v:textbox>
                </v:shape>
                <v:line id="Straight Connector 27" o:spid="_x0000_s1036" style="position:absolute;visibility:visible;mso-wrap-style:square" from="2560,15976" to="73634,1597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lqPYzwAAAOgAAAAPAAAAZHJzL2Rvd25yZXYueG1sRI/BSgMx&#13;&#10;EIbvgu8QRvAibTbtUsq2aRFF9CBCqz30Nibj7uJmsm5iu769cxC8DPwzzPfzrbdj6NSJhtRGtmCm&#13;&#10;BShiF33LtYW314fJElTKyB67yGThhxJsN5cXa6x8PPOOTvtcK4FwqtBCk3NfaZ1cQwHTNPbEcvuI&#13;&#10;Q8Ascai1H/As8NDpWVEsdMCWpaHBnu4acp/772Dh+P4y70z/dYg7V7aH55swd4/B2uur8X4l43YF&#13;&#10;KtOY/z/+EE9eHMxyYUpTzkRFxGQBevMLAAD//wMAUEsBAi0AFAAGAAgAAAAhANvh9svuAAAAhQEA&#13;&#10;ABMAAAAAAAAAAAAAAAAAAAAAAFtDb250ZW50X1R5cGVzXS54bWxQSwECLQAUAAYACAAAACEAWvQs&#13;&#10;W78AAAAVAQAACwAAAAAAAAAAAAAAAAAfAQAAX3JlbHMvLnJlbHNQSwECLQAUAAYACAAAACEAV5aj&#13;&#10;2M8AAADoAAAADwAAAAAAAAAAAAAAAAAHAgAAZHJzL2Rvd25yZXYueG1sUEsFBgAAAAADAAMAtwAA&#13;&#10;AAMDAAAAAA==&#13;&#10;" strokecolor="white [3212]" strokeweight="2pt">
                  <v:stroke joinstyle="miter"/>
                </v:line>
                <v:line id="Straight Connector 27" o:spid="_x0000_s1037" style="position:absolute;visibility:visible;mso-wrap-style:square" from="2560,26827" to="73634,268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Uj5G0QAAAOgAAAAPAAAAZHJzL2Rvd25yZXYueG1sRI9La8Mw&#13;&#10;EITvhf4HsYVeSiLHeeA4UUJJKe2hFPI65LaVtraptXIsJXH/fVQo5DIwDPMNM192thZnan3lWMGg&#13;&#10;n4Ag1s5UXCjYbV97GQgfkA3WjknBL3lYLu7v5pgbd+E1nTehEBHCPkcFZQhNLqXXJVn0fdcQx+zb&#13;&#10;tRZDtG0hTYuXCLe1TJNkIi1WHBdKbGhVkv7ZnKyCw9fnsB40x71b61G1/3iyQ/1mlXp86F5mUZ5n&#13;&#10;IAJ14db4R7wbBWmSTUfjSZZO4e9YPAVycQUAAP//AwBQSwECLQAUAAYACAAAACEA2+H2y+4AAACF&#13;&#10;AQAAEwAAAAAAAAAAAAAAAAAAAAAAW0NvbnRlbnRfVHlwZXNdLnhtbFBLAQItABQABgAIAAAAIQBa&#13;&#10;9CxbvwAAABUBAAALAAAAAAAAAAAAAAAAAB8BAABfcmVscy8ucmVsc1BLAQItABQABgAIAAAAIQAh&#13;&#10;Uj5G0QAAAOgAAAAPAAAAAAAAAAAAAAAAAAcCAABkcnMvZG93bnJldi54bWxQSwUGAAAAAAMAAwC3&#13;&#10;AAAABQMAAAAA&#13;&#10;" strokecolor="white [3212]" strokeweight="2pt">
                  <v:stroke joinstyle="miter"/>
                </v:line>
              </v:group>
            </w:pict>
          </mc:Fallback>
        </mc:AlternateContent>
      </w:r>
      <w:r w:rsidR="0095632F">
        <w:rPr>
          <w:noProof/>
        </w:rPr>
        <mc:AlternateContent>
          <mc:Choice Requires="wps">
            <w:drawing>
              <wp:anchor distT="0" distB="0" distL="114300" distR="114300" simplePos="0" relativeHeight="251683840" behindDoc="0" locked="0" layoutInCell="1" allowOverlap="1" wp14:anchorId="2BE59E55" wp14:editId="40BCEAFD">
                <wp:simplePos x="0" y="0"/>
                <wp:positionH relativeFrom="column">
                  <wp:posOffset>-161544</wp:posOffset>
                </wp:positionH>
                <wp:positionV relativeFrom="paragraph">
                  <wp:posOffset>3340608</wp:posOffset>
                </wp:positionV>
                <wp:extent cx="6449568" cy="560832"/>
                <wp:effectExtent l="0" t="0" r="0" b="0"/>
                <wp:wrapNone/>
                <wp:docPr id="1144751722" name="Text Box 27"/>
                <wp:cNvGraphicFramePr/>
                <a:graphic xmlns:a="http://schemas.openxmlformats.org/drawingml/2006/main">
                  <a:graphicData uri="http://schemas.microsoft.com/office/word/2010/wordprocessingShape">
                    <wps:wsp>
                      <wps:cNvSpPr txBox="1"/>
                      <wps:spPr>
                        <a:xfrm>
                          <a:off x="0" y="0"/>
                          <a:ext cx="6449568" cy="560832"/>
                        </a:xfrm>
                        <a:prstGeom prst="rect">
                          <a:avLst/>
                        </a:prstGeom>
                        <a:noFill/>
                        <a:ln w="6350">
                          <a:noFill/>
                        </a:ln>
                      </wps:spPr>
                      <wps:txb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BE59E55" id="Text Box 27" o:spid="_x0000_s1038" type="#_x0000_t202" style="position:absolute;margin-left:-12.7pt;margin-top:263.05pt;width:507.85pt;height:44.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cJH4GgIAADMEAAAOAAAAZHJzL2Uyb0RvYy54bWysU01vGyEQvVfqf0Dc6107tpusvI7cRK4q&#13;&#10;WUkkJ8oZs+BdCRgK2Lvur+/A+ktpT1UvMDDDfLz3mN13WpG9cL4BU9LhIKdEGA5VY7YlfXtdfrml&#13;&#10;xAdmKqbAiJIehKf388+fZq0txAhqUJVwBJMYX7S2pHUItsgyz2uhmR+AFQadEpxmAY9um1WOtZhd&#13;&#10;q2yU59OsBVdZB1x4j7ePvZPOU34pBQ/PUnoRiCop9hbS6tK6iWs2n7Fi65itG35sg/1DF5o1Boue&#13;&#10;Uz2ywMjONX+k0g134EGGAQedgZQNF2kGnGaYf5hmXTMr0iwIjrdnmPz/S8uf9mv74kjovkGHBEZA&#13;&#10;WusLj5dxnk46HXfslKAfITycYRNdIBwvp+Px3WSKRHP0Tab57c0opskur63z4bsATaJRUoe0JLTY&#13;&#10;fuVDH3oKicUMLBulEjXKkBYr3Ezy9ODsweTKYI1Lr9EK3aYjTYUPTnNsoDrgeA565r3lywZ7WDEf&#13;&#10;XphDqnEilG94xkUqwFpwtCipwf36232MRwbQS0mL0imp/7ljTlCifhjk5m44HketpcN48nWEB3ft&#13;&#10;2Vx7zE4/AKpziB/F8mTG+KBOpnSg31Hli1gVXcxwrF3ScDIfQi9o/CVcLBYpCNVlWViZteUxdUQ1&#13;&#10;IvzavTNnjzQEJPAJTiJjxQc2+tiej8UugGwSVRHnHtUj/KjMRPbxF0XpX59T1OWvz38DAAD//wMA&#13;&#10;UEsDBBQABgAIAAAAIQC1iMkp5gAAABABAAAPAAAAZHJzL2Rvd25yZXYueG1sTE9NT4NAEL2b9D9s&#13;&#10;pom3dgGBtJSlaTCNidFDay/eBnYLRHYW2W2L/nrXk14meZn3mW8n3bOrGm1nSEC4DIApqo3sqBFw&#13;&#10;etsvVsCsQ5LYG1ICvpSFbTG7yzGT5kYHdT26hnkTshkKaJ0bMs5t3SqNdmkGRf53NqNG5+HYcDni&#13;&#10;zZvrnkdBkHKNHfmEFgdVtqr+OF60gOdy/4qHKtKr7758ejnvhs/TeyLE/Xx63Piz2wBzanJ/Cvjd&#13;&#10;4PtD4YtV5kLSsl7AIkpiTxWQRGkIzDPW6+ABWCUgDeMYeJHz/0OKHwAAAP//AwBQSwECLQAUAAYA&#13;&#10;CAAAACEAtoM4kv4AAADhAQAAEwAAAAAAAAAAAAAAAAAAAAAAW0NvbnRlbnRfVHlwZXNdLnhtbFBL&#13;&#10;AQItABQABgAIAAAAIQA4/SH/1gAAAJQBAAALAAAAAAAAAAAAAAAAAC8BAABfcmVscy8ucmVsc1BL&#13;&#10;AQItABQABgAIAAAAIQAgcJH4GgIAADMEAAAOAAAAAAAAAAAAAAAAAC4CAABkcnMvZTJvRG9jLnht&#13;&#10;bFBLAQItABQABgAIAAAAIQC1iMkp5gAAABABAAAPAAAAAAAAAAAAAAAAAHQEAABkcnMvZG93bnJl&#13;&#10;di54bWxQSwUGAAAAAAQABADzAAAAhwUAAAAA&#13;&#10;" filled="f" stroked="f" strokeweight=".5pt">
                <v:textbox>
                  <w:txbxContent>
                    <w:p w14:paraId="2D52EFFE" w14:textId="2A439BF2" w:rsidR="0095632F" w:rsidRPr="00E23ACE" w:rsidRDefault="0095632F" w:rsidP="00235853">
                      <w:pPr>
                        <w:pStyle w:val="Subtitle"/>
                        <w:rPr>
                          <w:rStyle w:val="SubtleEmphasis"/>
                        </w:rPr>
                      </w:pPr>
                      <w:r w:rsidRPr="00E23ACE">
                        <w:rPr>
                          <w:rStyle w:val="SubtleEmphasis"/>
                        </w:rPr>
                        <w:t xml:space="preserve">Disclaimer: The views expressed herein are solely those of the author and do not necessarily reflect </w:t>
                      </w:r>
                      <w:r w:rsidR="00E0232C" w:rsidRPr="00E23ACE">
                        <w:rPr>
                          <w:rStyle w:val="SubtleEmphasis"/>
                        </w:rPr>
                        <w:t>other authors or the Law Student Review</w:t>
                      </w:r>
                    </w:p>
                  </w:txbxContent>
                </v:textbox>
              </v:shape>
            </w:pict>
          </mc:Fallback>
        </mc:AlternateContent>
      </w:r>
      <w:r w:rsidR="008A391C">
        <w:rPr>
          <w:noProof/>
        </w:rPr>
        <mc:AlternateContent>
          <mc:Choice Requires="wps">
            <w:drawing>
              <wp:anchor distT="0" distB="0" distL="114300" distR="114300" simplePos="0" relativeHeight="251646972" behindDoc="0" locked="0" layoutInCell="1" allowOverlap="1" wp14:anchorId="2CEEBA33" wp14:editId="685847FB">
                <wp:simplePos x="0" y="0"/>
                <wp:positionH relativeFrom="column">
                  <wp:posOffset>-685165</wp:posOffset>
                </wp:positionH>
                <wp:positionV relativeFrom="paragraph">
                  <wp:posOffset>-926465</wp:posOffset>
                </wp:positionV>
                <wp:extent cx="7545720" cy="10668000"/>
                <wp:effectExtent l="0" t="0" r="10795" b="12700"/>
                <wp:wrapNone/>
                <wp:docPr id="1958028090" name="Rectangle 32"/>
                <wp:cNvGraphicFramePr/>
                <a:graphic xmlns:a="http://schemas.openxmlformats.org/drawingml/2006/main">
                  <a:graphicData uri="http://schemas.microsoft.com/office/word/2010/wordprocessingShape">
                    <wps:wsp>
                      <wps:cNvSpPr/>
                      <wps:spPr>
                        <a:xfrm>
                          <a:off x="0" y="0"/>
                          <a:ext cx="7545720" cy="10668000"/>
                        </a:xfrm>
                        <a:prstGeom prst="rect">
                          <a:avLst/>
                        </a:prstGeom>
                        <a:solidFill>
                          <a:schemeClr val="tx2"/>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3D01373" id="Rectangle 32" o:spid="_x0000_s1026" style="position:absolute;margin-left:-53.95pt;margin-top:-72.95pt;width:594.15pt;height:840pt;z-index:2516469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bPzqbgIAAEgFAAAOAAAAZHJzL2Uyb0RvYy54bWysVEtv2zAMvg/YfxB0X20HfS2oUwQtOgwo&#13;&#10;2mLt0LMqS7UAWdQoJU7260fJjpN1xQ7DLjJlkh9fH3VxueksWysMBlzNq6OSM+UkNMa91vz7082n&#13;&#10;c85CFK4RFpyq+VYFfrn4+OGi93M1gxZso5ARiAvz3te8jdHPiyLIVnUiHIFXjpQasBORrvhaNCh6&#13;&#10;Qu9sMSvL06IHbDyCVCHQ3+tByRcZX2sl473WQUVma065xXxiPl/SWSwuxPwVhW+NHNMQ/5BFJ4yj&#13;&#10;oBPUtYiCrdD8AdUZiRBAxyMJXQFaG6lyDVRNVb6p5rEVXuVaqDnBT20K/w9W3q0f/QNSG3of5oHE&#13;&#10;VMVGY5e+lB/b5GZtp2apTWSSfp6dHJ+czainknRVeXp6Xpa5n8Xe32OIXxR0LAk1RxpH7pJY34ZI&#13;&#10;Mcl0Z5LCBbCmuTHW5kuigLqyyNaChhc3szQs8jiwKvZJZylurUq+1n1TmpmG0pzlgJlPezAhpXKx&#13;&#10;GlStaNQQozrZlzB55JgZMCFrym7CHgF+T3SHPSQ72idXlek4OZd/S2xwnjxyZHBxcu6MA3wPwFJV&#13;&#10;Y+TBntI/aE0SX6DZPiBDGJYheHljaDy3IsQHgcR+miltdLynQ1voaw6jxFkL+PO9/8meSElaznra&#13;&#10;ppqHHyuBijP71RFdP1fHx2n98mXkDR5qXg41btVdAc28orfDyyySM0a7EzVC90yLv0xRSSWcpNg1&#13;&#10;lxF3l6s4bDk9HVItl9mMVs6LeOsevUzgqauJfk+bZ4F+5Ggkft/BbvPE/A1VB9vk6WC5iqBN5vG+&#13;&#10;r2O/aV0zccanJb0Hh/dstX8AF78AAAD//wMAUEsDBBQABgAIAAAAIQB7NYwo5QAAABQBAAAPAAAA&#13;&#10;ZHJzL2Rvd25yZXYueG1sTE/LboMwELxX6j9YW6m3xKYhLRBMFLVCPVQ5NO0HOLAFErxGtkPg7+uc&#13;&#10;2stqVjs7j3w76Z6NaF1nSEK0FMCQKlN31Ej4/ioXCTDnFdWqN4QSZnSwLe7vcpXV5kqfOB58w4II&#13;&#10;uUxJaL0fMs5d1aJWbmkGpHD7MVYrH1bb8NqqaxDXPX8S4plr1VFwaNWAry1W58NFS9hTqc+7k51t&#13;&#10;Mn7MaVq+j3haSfn4ML1twthtgHmc/N8H3DqE/FCEYEdzodqxXsIiEi9p4N5QvA7oxhGJiIEdA1qv&#13;&#10;4gh4kfP/ZYpfAAAA//8DAFBLAQItABQABgAIAAAAIQC2gziS/gAAAOEBAAATAAAAAAAAAAAAAAAA&#13;&#10;AAAAAABbQ29udGVudF9UeXBlc10ueG1sUEsBAi0AFAAGAAgAAAAhADj9If/WAAAAlAEAAAsAAAAA&#13;&#10;AAAAAAAAAAAALwEAAF9yZWxzLy5yZWxzUEsBAi0AFAAGAAgAAAAhANZs/OpuAgAASAUAAA4AAAAA&#13;&#10;AAAAAAAAAAAALgIAAGRycy9lMm9Eb2MueG1sUEsBAi0AFAAGAAgAAAAhAHs1jCjlAAAAFAEAAA8A&#13;&#10;AAAAAAAAAAAAAAAAyAQAAGRycy9kb3ducmV2LnhtbFBLBQYAAAAABAAEAPMAAADaBQAAAAA=&#13;&#10;" fillcolor="#0e2841 [3215]" strokecolor="#030e13 [484]" strokeweight="1pt"/>
            </w:pict>
          </mc:Fallback>
        </mc:AlternateContent>
      </w:r>
      <w:r w:rsidR="00EF6D7D">
        <w:rPr>
          <w:noProof/>
        </w:rPr>
        <mc:AlternateContent>
          <mc:Choice Requires="wps">
            <w:drawing>
              <wp:anchor distT="0" distB="0" distL="114300" distR="114300" simplePos="0" relativeHeight="251662336" behindDoc="0" locked="0" layoutInCell="1" allowOverlap="1" wp14:anchorId="0C3EA4BA" wp14:editId="6ACC2562">
                <wp:simplePos x="0" y="0"/>
                <wp:positionH relativeFrom="column">
                  <wp:posOffset>-685800</wp:posOffset>
                </wp:positionH>
                <wp:positionV relativeFrom="paragraph">
                  <wp:posOffset>-926592</wp:posOffset>
                </wp:positionV>
                <wp:extent cx="6668770" cy="0"/>
                <wp:effectExtent l="0" t="0" r="11430" b="12700"/>
                <wp:wrapNone/>
                <wp:docPr id="1913028425" name="Straight Connector 22"/>
                <wp:cNvGraphicFramePr/>
                <a:graphic xmlns:a="http://schemas.openxmlformats.org/drawingml/2006/main">
                  <a:graphicData uri="http://schemas.microsoft.com/office/word/2010/wordprocessingShape">
                    <wps:wsp>
                      <wps:cNvCnPr/>
                      <wps:spPr>
                        <a:xfrm>
                          <a:off x="0" y="0"/>
                          <a:ext cx="6668770"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cei="http://schemas.microsoft.com/office/word/2026/wordml/cei">
            <w:pict>
              <v:line w14:anchorId="0482638F" id="Straight Connector 22"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4pt,-72.95pt" to="471.1pt,-7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NM1CswEAANQDAAAOAAAAZHJzL2Uyb0RvYy54bWysU02P2yAQvVfqf0DcNzh7yK6sOHvY1fay&#13;&#10;alf9+AEEDzESMAho7Pz7DiR2Vm2lqlUvmIF5b948xtuHyVl2hJgM+o6vVw1n4BX2xh86/u3r8809&#13;&#10;ZylL30uLHjp+gsQfdu/fbcfQwi0OaHuIjEh8asfQ8SHn0AqR1ABOphUG8HSpMTqZKYwH0Uc5Eruz&#13;&#10;4rZpNmLE2IeIClKi06fzJd9Vfq1B5U9aJ8jMdpy05brGuu7LKnZb2R6iDINRFxnyH1Q4aTwVXaie&#13;&#10;ZJbsezS/UDmjIibUeaXQCdTaKKg9UDfr5qduvgwyQO2FzElhsSn9P1r18fjoXyPZMIbUpvAaSxeT&#13;&#10;jq58SR+bqlmnxSyYMlN0uNls7u/uyFM134krMMSUPwA6VjYdt8aXPmQrjy8pUzFKnVPKsfVlTWhN&#13;&#10;/2ysrUGZAHi0kR0lvd3+sC5vRbg3WRQVpLhKr7t8snBm/QyamZ7Ermv1OlVXTqkU+DzzWk/ZBaZJ&#13;&#10;wQJs/gy85Bco1In7G/CCqJXR5wXsjMf4u+p5miXrc/7swLnvYsEe+1N91GoNjU517jLmZTbfxhV+&#13;&#10;/Rl3PwAAAP//AwBQSwMEFAAGAAgAAAAhANwj5pzmAAAAEwEAAA8AAABkcnMvZG93bnJldi54bWxM&#13;&#10;j01Lw0AQhu+C/2EZwYu0uw1V0zSbErQKBUGtuXjbJmM2mp0N2U0T/73bg+hlmM933ifdTKZlR+xd&#13;&#10;Y0nCYi6AIZW2aqiWULw9zGJgziuqVGsJJXyjg012fpaqpLIjveJx72sWRMglSoL2vks4d6VGo9zc&#13;&#10;dkhh9mF7o3wo+5pXvRqDuGl5JMQNN6qh8EGrDu80ll/7wUjY5qN4z5+utvFQTMVOP/LP25dnKS8v&#13;&#10;pvt1CPkamMfJ/13AiSH4hywYO9iBKsdaCbOFiAORP2XL6xWwsLNaRhGww2+LZyn/z5L9AAAA//8D&#13;&#10;AFBLAQItABQABgAIAAAAIQC2gziS/gAAAOEBAAATAAAAAAAAAAAAAAAAAAAAAABbQ29udGVudF9U&#13;&#10;eXBlc10ueG1sUEsBAi0AFAAGAAgAAAAhADj9If/WAAAAlAEAAAsAAAAAAAAAAAAAAAAALwEAAF9y&#13;&#10;ZWxzLy5yZWxzUEsBAi0AFAAGAAgAAAAhAAE0zUKzAQAA1AMAAA4AAAAAAAAAAAAAAAAALgIAAGRy&#13;&#10;cy9lMm9Eb2MueG1sUEsBAi0AFAAGAAgAAAAhANwj5pzmAAAAEwEAAA8AAAAAAAAAAAAAAAAADQQA&#13;&#10;AGRycy9kb3ducmV2LnhtbFBLBQYAAAAABAAEAPMAAAAgBQAAAAA=&#13;&#10;" strokecolor="white [3212]" strokeweight=".5pt">
                <v:stroke joinstyle="miter"/>
              </v:line>
            </w:pict>
          </mc:Fallback>
        </mc:AlternateContent>
      </w:r>
    </w:p>
    <w:sectPr w:rsidR="000F108B" w:rsidSect="00334ADB">
      <w:footerReference w:type="even" r:id="rId8"/>
      <w:footerReference w:type="default" r:id="rId9"/>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88281" w14:textId="77777777" w:rsidR="00F61158" w:rsidRDefault="00F61158" w:rsidP="00235853">
      <w:r>
        <w:separator/>
      </w:r>
    </w:p>
  </w:endnote>
  <w:endnote w:type="continuationSeparator" w:id="0">
    <w:p w14:paraId="4B80EC18" w14:textId="77777777" w:rsidR="00F61158" w:rsidRDefault="00F61158" w:rsidP="002358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31162930"/>
      <w:docPartObj>
        <w:docPartGallery w:val="Page Numbers (Bottom of Page)"/>
        <w:docPartUnique/>
      </w:docPartObj>
    </w:sdtPr>
    <w:sdtContent>
      <w:p w14:paraId="4E6ABFC8" w14:textId="3653FED2" w:rsidR="00334ADB" w:rsidRDefault="00334ADB" w:rsidP="00235853">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D0A742B" w14:textId="77777777" w:rsidR="00334ADB" w:rsidRDefault="00334ADB" w:rsidP="002358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0F5DF" w14:textId="32A2F460" w:rsidR="00334ADB" w:rsidRDefault="00000000" w:rsidP="00235853">
    <w:pPr>
      <w:pStyle w:val="Footer"/>
      <w:jc w:val="right"/>
    </w:pPr>
    <w:sdt>
      <w:sdtPr>
        <w:rPr>
          <w:rStyle w:val="PageNumber"/>
        </w:rPr>
        <w:id w:val="1063142190"/>
        <w:docPartObj>
          <w:docPartGallery w:val="Page Numbers (Bottom of Page)"/>
          <w:docPartUnique/>
        </w:docPartObj>
      </w:sdtPr>
      <w:sdtContent>
        <w:r w:rsidR="00334ADB">
          <w:rPr>
            <w:rStyle w:val="PageNumber"/>
          </w:rPr>
          <w:fldChar w:fldCharType="begin"/>
        </w:r>
        <w:r w:rsidR="00334ADB">
          <w:rPr>
            <w:rStyle w:val="PageNumber"/>
          </w:rPr>
          <w:instrText xml:space="preserve"> PAGE </w:instrText>
        </w:r>
        <w:r w:rsidR="00334ADB">
          <w:rPr>
            <w:rStyle w:val="PageNumber"/>
          </w:rPr>
          <w:fldChar w:fldCharType="separate"/>
        </w:r>
        <w:r w:rsidR="00334ADB">
          <w:rPr>
            <w:rStyle w:val="PageNumber"/>
            <w:noProof/>
          </w:rPr>
          <w:t>3</w:t>
        </w:r>
        <w:r w:rsidR="00334ADB">
          <w:rPr>
            <w:rStyle w:val="PageNumber"/>
          </w:rPr>
          <w:fldChar w:fldCharType="end"/>
        </w:r>
      </w:sdtContent>
    </w:sdt>
    <w:r w:rsidR="00235853">
      <w:rPr>
        <w:rStyle w:val="PageNumber"/>
      </w:rPr>
      <w:t xml:space="preserve"> </w:t>
    </w:r>
    <w:r w:rsidR="00334ADB">
      <w:t>| 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07EE5" w14:textId="77777777" w:rsidR="00F61158" w:rsidRDefault="00F61158" w:rsidP="00235853">
      <w:r>
        <w:separator/>
      </w:r>
    </w:p>
  </w:footnote>
  <w:footnote w:type="continuationSeparator" w:id="0">
    <w:p w14:paraId="70417B01" w14:textId="77777777" w:rsidR="00F61158" w:rsidRDefault="00F61158" w:rsidP="00235853">
      <w:r>
        <w:continuationSeparator/>
      </w:r>
    </w:p>
  </w:footnote>
  <w:footnote w:id="1">
    <w:p w14:paraId="1DED53AB" w14:textId="0A7F9F59"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w:t>
      </w:r>
      <w:r w:rsidRPr="00E1272D">
        <w:rPr>
          <w:i/>
          <w:iCs/>
          <w:sz w:val="20"/>
          <w:szCs w:val="20"/>
        </w:rPr>
        <w:t>Student A v Council of Newington College</w:t>
      </w:r>
      <w:r w:rsidRPr="009B3EA1">
        <w:rPr>
          <w:sz w:val="20"/>
          <w:szCs w:val="20"/>
        </w:rPr>
        <w:t xml:space="preserve"> [2025] NSWSC 534 [1]</w:t>
      </w:r>
      <w:r w:rsidR="00E1272D">
        <w:rPr>
          <w:sz w:val="20"/>
          <w:szCs w:val="20"/>
        </w:rPr>
        <w:t>.</w:t>
      </w:r>
    </w:p>
  </w:footnote>
  <w:footnote w:id="2">
    <w:p w14:paraId="34AF92BA"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[5].</w:t>
      </w:r>
    </w:p>
  </w:footnote>
  <w:footnote w:id="3">
    <w:p w14:paraId="4E9CA79C"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[7].</w:t>
      </w:r>
    </w:p>
  </w:footnote>
  <w:footnote w:id="4">
    <w:p w14:paraId="6AD6F4CB"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[10].</w:t>
      </w:r>
    </w:p>
  </w:footnote>
  <w:footnote w:id="5">
    <w:p w14:paraId="537A09E1"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[8]. </w:t>
      </w:r>
    </w:p>
  </w:footnote>
  <w:footnote w:id="6">
    <w:p w14:paraId="0BD9D96E"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[11].</w:t>
      </w:r>
    </w:p>
  </w:footnote>
  <w:footnote w:id="7">
    <w:p w14:paraId="3F76F886"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[12].</w:t>
      </w:r>
    </w:p>
  </w:footnote>
  <w:footnote w:id="8">
    <w:p w14:paraId="522902EC"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w:t>
      </w:r>
    </w:p>
  </w:footnote>
  <w:footnote w:id="9">
    <w:p w14:paraId="0A61F433"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[130]. </w:t>
      </w:r>
    </w:p>
  </w:footnote>
  <w:footnote w:id="10">
    <w:p w14:paraId="6AE2018C"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[131].</w:t>
      </w:r>
    </w:p>
  </w:footnote>
  <w:footnote w:id="11">
    <w:p w14:paraId="7B623A76"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[132].</w:t>
      </w:r>
    </w:p>
  </w:footnote>
  <w:footnote w:id="12">
    <w:p w14:paraId="0269C292"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[90].</w:t>
      </w:r>
    </w:p>
  </w:footnote>
  <w:footnote w:id="13">
    <w:p w14:paraId="2E5A1EB3" w14:textId="77777777" w:rsidR="00A141B3" w:rsidRPr="009B3EA1" w:rsidRDefault="00A141B3" w:rsidP="00DB3253">
      <w:pPr>
        <w:pStyle w:val="Footer"/>
        <w:rPr>
          <w:sz w:val="20"/>
          <w:szCs w:val="20"/>
        </w:rPr>
      </w:pPr>
      <w:r w:rsidRPr="009B3EA1">
        <w:rPr>
          <w:sz w:val="20"/>
          <w:szCs w:val="20"/>
          <w:vertAlign w:val="superscript"/>
        </w:rPr>
        <w:footnoteRef/>
      </w:r>
      <w:r w:rsidRPr="009B3EA1">
        <w:rPr>
          <w:sz w:val="20"/>
          <w:szCs w:val="20"/>
        </w:rPr>
        <w:t xml:space="preserve"> Ibid [15].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08B"/>
    <w:rsid w:val="0007301A"/>
    <w:rsid w:val="0008172E"/>
    <w:rsid w:val="000A4193"/>
    <w:rsid w:val="000A7F76"/>
    <w:rsid w:val="000B2023"/>
    <w:rsid w:val="000D128E"/>
    <w:rsid w:val="000F108B"/>
    <w:rsid w:val="00111C95"/>
    <w:rsid w:val="00134090"/>
    <w:rsid w:val="00137E3E"/>
    <w:rsid w:val="00147DC9"/>
    <w:rsid w:val="00166E10"/>
    <w:rsid w:val="00175486"/>
    <w:rsid w:val="001A3BD0"/>
    <w:rsid w:val="001B7DFD"/>
    <w:rsid w:val="001C6A9D"/>
    <w:rsid w:val="001F059D"/>
    <w:rsid w:val="001F21E4"/>
    <w:rsid w:val="001F7F8C"/>
    <w:rsid w:val="0021596B"/>
    <w:rsid w:val="00220042"/>
    <w:rsid w:val="0023078B"/>
    <w:rsid w:val="00235853"/>
    <w:rsid w:val="00240E95"/>
    <w:rsid w:val="00262BED"/>
    <w:rsid w:val="0027444B"/>
    <w:rsid w:val="00285268"/>
    <w:rsid w:val="00294CA4"/>
    <w:rsid w:val="002D6AA4"/>
    <w:rsid w:val="002E12AB"/>
    <w:rsid w:val="002F23C0"/>
    <w:rsid w:val="00300E0C"/>
    <w:rsid w:val="0032017D"/>
    <w:rsid w:val="00334ADB"/>
    <w:rsid w:val="00341B1E"/>
    <w:rsid w:val="00344A17"/>
    <w:rsid w:val="00356093"/>
    <w:rsid w:val="003A02E1"/>
    <w:rsid w:val="003A1CFB"/>
    <w:rsid w:val="003B186A"/>
    <w:rsid w:val="003B7C76"/>
    <w:rsid w:val="003C2E5F"/>
    <w:rsid w:val="003E43B4"/>
    <w:rsid w:val="003E7BC4"/>
    <w:rsid w:val="00404131"/>
    <w:rsid w:val="00405FCE"/>
    <w:rsid w:val="004428B7"/>
    <w:rsid w:val="00454AE5"/>
    <w:rsid w:val="0046317F"/>
    <w:rsid w:val="00464656"/>
    <w:rsid w:val="00465919"/>
    <w:rsid w:val="0046610A"/>
    <w:rsid w:val="004763E3"/>
    <w:rsid w:val="00480B5D"/>
    <w:rsid w:val="00482078"/>
    <w:rsid w:val="00483774"/>
    <w:rsid w:val="00483FDC"/>
    <w:rsid w:val="004D2AC4"/>
    <w:rsid w:val="004D4240"/>
    <w:rsid w:val="004E3D64"/>
    <w:rsid w:val="004E66C5"/>
    <w:rsid w:val="004F4891"/>
    <w:rsid w:val="00531BB6"/>
    <w:rsid w:val="00553DD0"/>
    <w:rsid w:val="00564DFA"/>
    <w:rsid w:val="00571DCD"/>
    <w:rsid w:val="00580005"/>
    <w:rsid w:val="00580B86"/>
    <w:rsid w:val="0058507A"/>
    <w:rsid w:val="00596D9E"/>
    <w:rsid w:val="00596E11"/>
    <w:rsid w:val="005A2FB7"/>
    <w:rsid w:val="005A6F4D"/>
    <w:rsid w:val="005D092F"/>
    <w:rsid w:val="005D5BE7"/>
    <w:rsid w:val="005E1FFE"/>
    <w:rsid w:val="00601F4E"/>
    <w:rsid w:val="00602F53"/>
    <w:rsid w:val="006059CA"/>
    <w:rsid w:val="00610E85"/>
    <w:rsid w:val="00613015"/>
    <w:rsid w:val="006137B4"/>
    <w:rsid w:val="00621706"/>
    <w:rsid w:val="00630EB4"/>
    <w:rsid w:val="00634D86"/>
    <w:rsid w:val="00691C4F"/>
    <w:rsid w:val="006B0791"/>
    <w:rsid w:val="006B7BEF"/>
    <w:rsid w:val="006C0C11"/>
    <w:rsid w:val="006C458F"/>
    <w:rsid w:val="006F60E7"/>
    <w:rsid w:val="006F651C"/>
    <w:rsid w:val="00714231"/>
    <w:rsid w:val="00727A61"/>
    <w:rsid w:val="0076135F"/>
    <w:rsid w:val="0076785F"/>
    <w:rsid w:val="007769FF"/>
    <w:rsid w:val="007969BD"/>
    <w:rsid w:val="007A4BF8"/>
    <w:rsid w:val="007B1D20"/>
    <w:rsid w:val="007B71B0"/>
    <w:rsid w:val="007C4F96"/>
    <w:rsid w:val="007D2217"/>
    <w:rsid w:val="007F17E8"/>
    <w:rsid w:val="00805941"/>
    <w:rsid w:val="00806120"/>
    <w:rsid w:val="0080654C"/>
    <w:rsid w:val="008132C3"/>
    <w:rsid w:val="008215DC"/>
    <w:rsid w:val="00840943"/>
    <w:rsid w:val="00843BE6"/>
    <w:rsid w:val="0085433B"/>
    <w:rsid w:val="00893441"/>
    <w:rsid w:val="008A391C"/>
    <w:rsid w:val="008B0CF6"/>
    <w:rsid w:val="008B7194"/>
    <w:rsid w:val="008B7902"/>
    <w:rsid w:val="008F57CF"/>
    <w:rsid w:val="009035F2"/>
    <w:rsid w:val="00912B04"/>
    <w:rsid w:val="009142C9"/>
    <w:rsid w:val="00924A66"/>
    <w:rsid w:val="00930211"/>
    <w:rsid w:val="0093046D"/>
    <w:rsid w:val="00944B71"/>
    <w:rsid w:val="009470FA"/>
    <w:rsid w:val="0095632F"/>
    <w:rsid w:val="00957C20"/>
    <w:rsid w:val="00962EBB"/>
    <w:rsid w:val="009929D2"/>
    <w:rsid w:val="00997C34"/>
    <w:rsid w:val="009B3EA1"/>
    <w:rsid w:val="009C531C"/>
    <w:rsid w:val="009D06C6"/>
    <w:rsid w:val="009E1A7D"/>
    <w:rsid w:val="00A01517"/>
    <w:rsid w:val="00A03A12"/>
    <w:rsid w:val="00A0638E"/>
    <w:rsid w:val="00A141B3"/>
    <w:rsid w:val="00A502FB"/>
    <w:rsid w:val="00A540EA"/>
    <w:rsid w:val="00A830C0"/>
    <w:rsid w:val="00A97FC9"/>
    <w:rsid w:val="00AA3760"/>
    <w:rsid w:val="00AA67FB"/>
    <w:rsid w:val="00AA6CBF"/>
    <w:rsid w:val="00AB52FA"/>
    <w:rsid w:val="00AD2504"/>
    <w:rsid w:val="00B02D14"/>
    <w:rsid w:val="00B15DDE"/>
    <w:rsid w:val="00B33213"/>
    <w:rsid w:val="00B46C49"/>
    <w:rsid w:val="00B832BA"/>
    <w:rsid w:val="00B868C3"/>
    <w:rsid w:val="00B97C02"/>
    <w:rsid w:val="00BA00F7"/>
    <w:rsid w:val="00BA308E"/>
    <w:rsid w:val="00BA6609"/>
    <w:rsid w:val="00BB66EB"/>
    <w:rsid w:val="00BC443F"/>
    <w:rsid w:val="00BC6547"/>
    <w:rsid w:val="00BD62C4"/>
    <w:rsid w:val="00BE0138"/>
    <w:rsid w:val="00BE5553"/>
    <w:rsid w:val="00C00C1E"/>
    <w:rsid w:val="00C41993"/>
    <w:rsid w:val="00C508FF"/>
    <w:rsid w:val="00C55ECD"/>
    <w:rsid w:val="00C63EA7"/>
    <w:rsid w:val="00C65049"/>
    <w:rsid w:val="00C8782D"/>
    <w:rsid w:val="00C94C21"/>
    <w:rsid w:val="00CB7B0F"/>
    <w:rsid w:val="00CE2659"/>
    <w:rsid w:val="00D1061C"/>
    <w:rsid w:val="00D30760"/>
    <w:rsid w:val="00D5782C"/>
    <w:rsid w:val="00D67988"/>
    <w:rsid w:val="00D74462"/>
    <w:rsid w:val="00D75D0F"/>
    <w:rsid w:val="00D774EF"/>
    <w:rsid w:val="00D94C07"/>
    <w:rsid w:val="00DB3253"/>
    <w:rsid w:val="00DC1F28"/>
    <w:rsid w:val="00DE365C"/>
    <w:rsid w:val="00DE6541"/>
    <w:rsid w:val="00DE7698"/>
    <w:rsid w:val="00DF314C"/>
    <w:rsid w:val="00E00CF1"/>
    <w:rsid w:val="00E0232C"/>
    <w:rsid w:val="00E030D6"/>
    <w:rsid w:val="00E1272D"/>
    <w:rsid w:val="00E160C6"/>
    <w:rsid w:val="00E179B4"/>
    <w:rsid w:val="00E23ACE"/>
    <w:rsid w:val="00E35F81"/>
    <w:rsid w:val="00E45958"/>
    <w:rsid w:val="00E6116E"/>
    <w:rsid w:val="00E6236F"/>
    <w:rsid w:val="00E660C7"/>
    <w:rsid w:val="00E95486"/>
    <w:rsid w:val="00EB17CA"/>
    <w:rsid w:val="00EC40F3"/>
    <w:rsid w:val="00EF6D7D"/>
    <w:rsid w:val="00EF7F99"/>
    <w:rsid w:val="00F05EA0"/>
    <w:rsid w:val="00F10638"/>
    <w:rsid w:val="00F1081F"/>
    <w:rsid w:val="00F15FF2"/>
    <w:rsid w:val="00F166DC"/>
    <w:rsid w:val="00F22977"/>
    <w:rsid w:val="00F3602A"/>
    <w:rsid w:val="00F43D75"/>
    <w:rsid w:val="00F52A96"/>
    <w:rsid w:val="00F61158"/>
    <w:rsid w:val="00F6794E"/>
    <w:rsid w:val="00F73151"/>
    <w:rsid w:val="00F74AD5"/>
    <w:rsid w:val="00F76D99"/>
    <w:rsid w:val="00F772BB"/>
    <w:rsid w:val="00F81255"/>
    <w:rsid w:val="00F84D64"/>
    <w:rsid w:val="00F972AD"/>
    <w:rsid w:val="00FA4988"/>
    <w:rsid w:val="00FA4E12"/>
    <w:rsid w:val="00FA7302"/>
    <w:rsid w:val="00FB2581"/>
    <w:rsid w:val="00FB5B18"/>
    <w:rsid w:val="00FC58ED"/>
    <w:rsid w:val="00FD42E0"/>
    <w:rsid w:val="00FD531E"/>
    <w:rsid w:val="00FE034A"/>
    <w:rsid w:val="00FE621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F47C0F"/>
  <w15:chartTrackingRefBased/>
  <w15:docId w15:val="{5B7C685B-599E-F249-9F2E-FA1E023E8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5853"/>
    <w:pPr>
      <w:spacing w:after="240" w:line="360" w:lineRule="auto"/>
    </w:pPr>
    <w:rPr>
      <w:rFonts w:ascii="Times New Roman" w:hAnsi="Times New Roman" w:cs="Times New Roman"/>
    </w:rPr>
  </w:style>
  <w:style w:type="paragraph" w:styleId="Heading1">
    <w:name w:val="heading 1"/>
    <w:basedOn w:val="Normal"/>
    <w:next w:val="Normal"/>
    <w:link w:val="Heading1Char"/>
    <w:uiPriority w:val="9"/>
    <w:qFormat/>
    <w:rsid w:val="00E23ACE"/>
    <w:pPr>
      <w:jc w:val="center"/>
      <w:outlineLvl w:val="0"/>
    </w:pPr>
    <w:rPr>
      <w:b/>
      <w:bCs/>
      <w:color w:val="000000" w:themeColor="text1"/>
      <w:sz w:val="28"/>
      <w:szCs w:val="28"/>
    </w:rPr>
  </w:style>
  <w:style w:type="paragraph" w:styleId="Heading2">
    <w:name w:val="heading 2"/>
    <w:basedOn w:val="Normal"/>
    <w:next w:val="Normal"/>
    <w:link w:val="Heading2Char"/>
    <w:uiPriority w:val="9"/>
    <w:unhideWhenUsed/>
    <w:qFormat/>
    <w:rsid w:val="00235853"/>
    <w:pPr>
      <w:outlineLvl w:val="1"/>
    </w:pPr>
    <w:rPr>
      <w:u w:val="single"/>
    </w:rPr>
  </w:style>
  <w:style w:type="paragraph" w:styleId="Heading3">
    <w:name w:val="heading 3"/>
    <w:basedOn w:val="Normal"/>
    <w:next w:val="Normal"/>
    <w:link w:val="Heading3Char"/>
    <w:uiPriority w:val="9"/>
    <w:semiHidden/>
    <w:unhideWhenUsed/>
    <w:qFormat/>
    <w:rsid w:val="000F10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F10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F10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F108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108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108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108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ACE"/>
    <w:rPr>
      <w:rFonts w:ascii="Times New Roman" w:hAnsi="Times New Roman" w:cs="Times New Roman"/>
      <w:b/>
      <w:bCs/>
      <w:color w:val="000000" w:themeColor="text1"/>
      <w:sz w:val="28"/>
      <w:szCs w:val="28"/>
    </w:rPr>
  </w:style>
  <w:style w:type="character" w:customStyle="1" w:styleId="Heading2Char">
    <w:name w:val="Heading 2 Char"/>
    <w:basedOn w:val="DefaultParagraphFont"/>
    <w:link w:val="Heading2"/>
    <w:uiPriority w:val="9"/>
    <w:rsid w:val="00235853"/>
    <w:rPr>
      <w:rFonts w:ascii="Times New Roman" w:hAnsi="Times New Roman" w:cs="Times New Roman"/>
      <w:u w:val="single"/>
    </w:rPr>
  </w:style>
  <w:style w:type="character" w:customStyle="1" w:styleId="Heading3Char">
    <w:name w:val="Heading 3 Char"/>
    <w:basedOn w:val="DefaultParagraphFont"/>
    <w:link w:val="Heading3"/>
    <w:uiPriority w:val="9"/>
    <w:semiHidden/>
    <w:rsid w:val="000F10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F10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F10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F10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F10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F10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F108B"/>
    <w:rPr>
      <w:rFonts w:eastAsiaTheme="majorEastAsia" w:cstheme="majorBidi"/>
      <w:color w:val="272727" w:themeColor="text1" w:themeTint="D8"/>
    </w:rPr>
  </w:style>
  <w:style w:type="paragraph" w:styleId="Title">
    <w:name w:val="Title"/>
    <w:basedOn w:val="Normal"/>
    <w:next w:val="Normal"/>
    <w:link w:val="TitleChar"/>
    <w:uiPriority w:val="10"/>
    <w:qFormat/>
    <w:rsid w:val="001C6A9D"/>
    <w:pPr>
      <w:jc w:val="center"/>
    </w:pPr>
    <w:rPr>
      <w:color w:val="FFFFFF" w:themeColor="background1"/>
      <w:sz w:val="48"/>
      <w:szCs w:val="48"/>
    </w:rPr>
  </w:style>
  <w:style w:type="character" w:customStyle="1" w:styleId="TitleChar">
    <w:name w:val="Title Char"/>
    <w:basedOn w:val="DefaultParagraphFont"/>
    <w:link w:val="Title"/>
    <w:uiPriority w:val="10"/>
    <w:rsid w:val="001C6A9D"/>
    <w:rPr>
      <w:rFonts w:ascii="Times New Roman" w:hAnsi="Times New Roman" w:cs="Times New Roman"/>
      <w:color w:val="FFFFFF" w:themeColor="background1"/>
      <w:sz w:val="48"/>
      <w:szCs w:val="48"/>
    </w:rPr>
  </w:style>
  <w:style w:type="paragraph" w:styleId="Subtitle">
    <w:name w:val="Subtitle"/>
    <w:basedOn w:val="Normal"/>
    <w:next w:val="Normal"/>
    <w:link w:val="SubtitleChar"/>
    <w:uiPriority w:val="11"/>
    <w:qFormat/>
    <w:rsid w:val="00262BED"/>
    <w:pPr>
      <w:spacing w:after="0"/>
      <w:jc w:val="center"/>
    </w:pPr>
    <w:rPr>
      <w:i/>
      <w:iCs/>
      <w:color w:val="FFFFFF" w:themeColor="background1"/>
      <w:sz w:val="36"/>
      <w:szCs w:val="36"/>
    </w:rPr>
  </w:style>
  <w:style w:type="character" w:customStyle="1" w:styleId="SubtitleChar">
    <w:name w:val="Subtitle Char"/>
    <w:basedOn w:val="DefaultParagraphFont"/>
    <w:link w:val="Subtitle"/>
    <w:uiPriority w:val="11"/>
    <w:rsid w:val="00262BED"/>
    <w:rPr>
      <w:rFonts w:ascii="Times New Roman" w:hAnsi="Times New Roman" w:cs="Times New Roman"/>
      <w:i/>
      <w:iCs/>
      <w:color w:val="FFFFFF" w:themeColor="background1"/>
      <w:sz w:val="36"/>
      <w:szCs w:val="36"/>
    </w:rPr>
  </w:style>
  <w:style w:type="paragraph" w:styleId="Quote">
    <w:name w:val="Quote"/>
    <w:basedOn w:val="Normal"/>
    <w:next w:val="Normal"/>
    <w:link w:val="QuoteChar"/>
    <w:uiPriority w:val="29"/>
    <w:qFormat/>
    <w:rsid w:val="000F108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108B"/>
    <w:rPr>
      <w:i/>
      <w:iCs/>
      <w:color w:val="404040" w:themeColor="text1" w:themeTint="BF"/>
    </w:rPr>
  </w:style>
  <w:style w:type="paragraph" w:styleId="ListParagraph">
    <w:name w:val="List Paragraph"/>
    <w:basedOn w:val="Normal"/>
    <w:uiPriority w:val="34"/>
    <w:qFormat/>
    <w:rsid w:val="000F108B"/>
    <w:pPr>
      <w:ind w:left="720"/>
      <w:contextualSpacing/>
    </w:pPr>
  </w:style>
  <w:style w:type="character" w:styleId="IntenseEmphasis">
    <w:name w:val="Intense Emphasis"/>
    <w:basedOn w:val="DefaultParagraphFont"/>
    <w:uiPriority w:val="21"/>
    <w:qFormat/>
    <w:rsid w:val="000F108B"/>
    <w:rPr>
      <w:i/>
      <w:iCs/>
      <w:color w:val="0F4761" w:themeColor="accent1" w:themeShade="BF"/>
    </w:rPr>
  </w:style>
  <w:style w:type="paragraph" w:styleId="IntenseQuote">
    <w:name w:val="Intense Quote"/>
    <w:basedOn w:val="Normal"/>
    <w:next w:val="Normal"/>
    <w:link w:val="IntenseQuoteChar"/>
    <w:uiPriority w:val="30"/>
    <w:qFormat/>
    <w:rsid w:val="000F10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F108B"/>
    <w:rPr>
      <w:i/>
      <w:iCs/>
      <w:color w:val="0F4761" w:themeColor="accent1" w:themeShade="BF"/>
    </w:rPr>
  </w:style>
  <w:style w:type="character" w:styleId="IntenseReference">
    <w:name w:val="Intense Reference"/>
    <w:basedOn w:val="DefaultParagraphFont"/>
    <w:uiPriority w:val="32"/>
    <w:qFormat/>
    <w:rsid w:val="000F108B"/>
    <w:rPr>
      <w:b/>
      <w:bCs/>
      <w:smallCaps/>
      <w:color w:val="0F4761" w:themeColor="accent1" w:themeShade="BF"/>
      <w:spacing w:val="5"/>
    </w:rPr>
  </w:style>
  <w:style w:type="paragraph" w:styleId="Header">
    <w:name w:val="header"/>
    <w:basedOn w:val="Normal"/>
    <w:link w:val="HeaderChar"/>
    <w:uiPriority w:val="99"/>
    <w:unhideWhenUsed/>
    <w:rsid w:val="00334A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4ADB"/>
    <w:rPr>
      <w:rFonts w:ascii="Times New Roman" w:hAnsi="Times New Roman" w:cs="Times New Roman"/>
      <w:sz w:val="22"/>
      <w:szCs w:val="22"/>
    </w:rPr>
  </w:style>
  <w:style w:type="paragraph" w:styleId="Footer">
    <w:name w:val="footer"/>
    <w:basedOn w:val="Normal"/>
    <w:link w:val="FooterChar"/>
    <w:uiPriority w:val="99"/>
    <w:unhideWhenUsed/>
    <w:rsid w:val="00334A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4ADB"/>
    <w:rPr>
      <w:rFonts w:ascii="Times New Roman" w:hAnsi="Times New Roman" w:cs="Times New Roman"/>
      <w:sz w:val="22"/>
      <w:szCs w:val="22"/>
    </w:rPr>
  </w:style>
  <w:style w:type="character" w:styleId="PageNumber">
    <w:name w:val="page number"/>
    <w:basedOn w:val="DefaultParagraphFont"/>
    <w:uiPriority w:val="99"/>
    <w:semiHidden/>
    <w:unhideWhenUsed/>
    <w:rsid w:val="00334ADB"/>
  </w:style>
  <w:style w:type="character" w:styleId="SubtleEmphasis">
    <w:name w:val="Subtle Emphasis"/>
    <w:uiPriority w:val="19"/>
    <w:qFormat/>
    <w:rsid w:val="00E23ACE"/>
    <w:rPr>
      <w:sz w:val="24"/>
      <w:szCs w:val="24"/>
    </w:rPr>
  </w:style>
  <w:style w:type="character" w:styleId="Strong">
    <w:name w:val="Strong"/>
    <w:uiPriority w:val="22"/>
    <w:qFormat/>
    <w:rsid w:val="001C6A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A8C12E-0CC6-9048-B462-92C22EB89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967</Words>
  <Characters>5516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Macvean</dc:creator>
  <cp:keywords/>
  <dc:description/>
  <cp:lastModifiedBy>Monica Danielle Arucan</cp:lastModifiedBy>
  <cp:revision>3</cp:revision>
  <dcterms:created xsi:type="dcterms:W3CDTF">2026-07-29T04:08:00Z</dcterms:created>
  <dcterms:modified xsi:type="dcterms:W3CDTF">2026-08-15T08:43:00Z</dcterms:modified>
</cp:coreProperties>
</file>