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KLYRO</w:t>
        <w:br/>
        <w:t>Information Security Policy &amp; Procedures</w:t>
      </w:r>
    </w:p>
    <w:p>
      <w:pPr>
        <w:jc w:val="center"/>
      </w:pPr>
      <w:r>
        <w:rPr>
          <w:b/>
          <w:sz w:val="21"/>
        </w:rPr>
        <w:t>Version 1.0  |  Effective: August 27, 2026</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Policy owner</w:t>
            </w:r>
          </w:p>
        </w:tc>
        <w:tc>
          <w:tcPr>
            <w:tcW w:type="dxa" w:w="5040"/>
            <w:vAlign w:val="center"/>
          </w:tcPr>
          <w:p>
            <w:r>
              <w:t>Klyro Management</w:t>
            </w:r>
          </w:p>
        </w:tc>
      </w:tr>
      <w:tr>
        <w:tc>
          <w:tcPr>
            <w:tcW w:type="dxa" w:w="5040"/>
            <w:vAlign w:val="center"/>
          </w:tcPr>
          <w:p>
            <w:r>
              <w:rPr>
                <w:b/>
              </w:rPr>
              <w:t>Applies to</w:t>
            </w:r>
          </w:p>
        </w:tc>
        <w:tc>
          <w:tcPr>
            <w:tcW w:type="dxa" w:w="5040"/>
            <w:vAlign w:val="center"/>
          </w:tcPr>
          <w:p>
            <w:r>
              <w:t>Klyro systems, personnel, contractors, vendors, and customer financial data</w:t>
            </w:r>
          </w:p>
        </w:tc>
      </w:tr>
      <w:tr>
        <w:tc>
          <w:tcPr>
            <w:tcW w:type="dxa" w:w="5040"/>
            <w:vAlign w:val="center"/>
          </w:tcPr>
          <w:p>
            <w:r>
              <w:rPr>
                <w:b/>
              </w:rPr>
              <w:t>Review frequency</w:t>
            </w:r>
          </w:p>
        </w:tc>
        <w:tc>
          <w:tcPr>
            <w:tcW w:type="dxa" w:w="5040"/>
            <w:vAlign w:val="center"/>
          </w:tcPr>
          <w:p>
            <w:r>
              <w:t>At least annually and after material security incidents or architecture changes</w:t>
            </w:r>
          </w:p>
        </w:tc>
      </w:tr>
      <w:tr>
        <w:tc>
          <w:tcPr>
            <w:tcW w:type="dxa" w:w="5040"/>
            <w:vAlign w:val="center"/>
          </w:tcPr>
          <w:p>
            <w:r>
              <w:rPr>
                <w:b/>
              </w:rPr>
              <w:t>Classification</w:t>
            </w:r>
          </w:p>
        </w:tc>
        <w:tc>
          <w:tcPr>
            <w:tcW w:type="dxa" w:w="5040"/>
            <w:vAlign w:val="center"/>
          </w:tcPr>
          <w:p>
            <w:r>
              <w:t>Internal</w:t>
            </w:r>
          </w:p>
        </w:tc>
      </w:tr>
      <w:tr>
        <w:tc>
          <w:tcPr>
            <w:tcW w:type="dxa" w:w="5040"/>
            <w:vAlign w:val="center"/>
          </w:tcPr>
          <w:p>
            <w:r>
              <w:rPr>
                <w:b/>
              </w:rPr>
              <w:t>Approval</w:t>
            </w:r>
          </w:p>
        </w:tc>
        <w:tc>
          <w:tcPr>
            <w:tcW w:type="dxa" w:w="5040"/>
            <w:vAlign w:val="center"/>
          </w:tcPr>
          <w:p>
            <w:r>
              <w:t>Owner/Administrator approval required; see Adoption Record at end</w:t>
            </w:r>
          </w:p>
        </w:tc>
      </w:tr>
    </w:tbl>
    <w:p/>
    <w:p>
      <w:pPr>
        <w:pStyle w:val="Heading1"/>
      </w:pPr>
      <w:r>
        <w:t>1. Purpose and Security Objectives</w:t>
      </w:r>
    </w:p>
    <w:p>
      <w:r>
        <w:t>Klyro maintains this policy to identify, mitigate, and monitor information-security risks relevant to its personal-finance application and supporting infrastructure. The objectives are to protect the confidentiality, integrity, and availability of customer information; restrict access to legitimate business need; secure credentials and financial-data integrations; detect and respond to unauthorized activity; and maintain security controls proportionate to Klyro's size, architecture, and risk profile.</w:t>
      </w:r>
    </w:p>
    <w:p>
      <w:r>
        <w:t>This policy is designed to be operational: each control below identifies a required practice, review activity, or response procedure. Records of material reviews, incidents, access changes, and remediation actions should be retained as evidence that the policy is being followed.</w:t>
      </w:r>
    </w:p>
    <w:p>
      <w:pPr>
        <w:pStyle w:val="Heading1"/>
      </w:pPr>
      <w:r>
        <w:t>2. Scope</w:t>
      </w:r>
    </w:p>
    <w:p>
      <w:r>
        <w:t>This policy applies to Klyro production, development, and test systems; source code; Supabase databases and Edge Functions; Framer-hosted application components; Plaid integrations; authentication systems; administrative accounts; secrets; logs; backups; customer support workflows; and any device or person with administrative access to Klyro systems.</w:t>
      </w:r>
    </w:p>
    <w:p>
      <w:r>
        <w:t>Customer financial information received through Plaid or entered directly into Klyro is treated as sensitive information and must receive the protections in this policy.</w:t>
      </w:r>
    </w:p>
    <w:p>
      <w:pPr>
        <w:pStyle w:val="Heading1"/>
      </w:pPr>
      <w:r>
        <w:t>3. Roles and Responsibilities</w:t>
      </w:r>
    </w:p>
    <w:p>
      <w:pPr>
        <w:pStyle w:val="ListBullet"/>
      </w:pPr>
      <w:r>
        <w:t>Klyro Management is accountable for the security program, risk acceptance, vendor selection, incident decisions, and annual policy review.</w:t>
      </w:r>
    </w:p>
    <w:p>
      <w:pPr>
        <w:pStyle w:val="ListBullet"/>
      </w:pPr>
      <w:r>
        <w:t>Administrators and developers must use only the access needed for their duties, protect credentials, follow secure-development procedures, and report suspected security events promptly.</w:t>
      </w:r>
    </w:p>
    <w:p>
      <w:pPr>
        <w:pStyle w:val="ListBullet"/>
      </w:pPr>
      <w:r>
        <w:t>Contractors or third parties with access to Klyro systems must be authorized, limited to a legitimate business need, and have access removed when no longer required.</w:t>
      </w:r>
    </w:p>
    <w:p>
      <w:pPr>
        <w:pStyle w:val="ListBullet"/>
      </w:pPr>
      <w:r>
        <w:t>No individual may bypass security controls for convenience or place production secrets in client-side code, public repositories, tickets, screenshots, or documentation intended for public distribution.</w:t>
      </w:r>
    </w:p>
    <w:p>
      <w:pPr>
        <w:pStyle w:val="Heading1"/>
      </w:pPr>
      <w:r>
        <w:t>4. Risk Identification, Assessment, and Monitoring</w:t>
      </w:r>
    </w:p>
    <w:p>
      <w:pPr>
        <w:pStyle w:val="Heading2"/>
      </w:pPr>
      <w:r>
        <w:t>4.1 Risk assessment</w:t>
      </w:r>
    </w:p>
    <w:p>
      <w:r>
        <w:t>Klyro will review material information-security risks at least annually and whenever a major feature, financial-data integration, authentication change, or infrastructure change is introduced. Risks are evaluated based on likelihood and potential impact to customer data, service availability, regulatory obligations, and business operations.</w:t>
      </w:r>
    </w:p>
    <w:p>
      <w:pPr>
        <w:pStyle w:val="Heading2"/>
      </w:pPr>
      <w:r>
        <w:t>4.2 Core risks monitored</w:t>
      </w:r>
    </w:p>
    <w:p>
      <w:pPr>
        <w:pStyle w:val="ListBullet"/>
      </w:pPr>
      <w:r>
        <w:t>Unauthorized access to customer accounts or financial data.</w:t>
      </w:r>
    </w:p>
    <w:p>
      <w:pPr>
        <w:pStyle w:val="ListBullet"/>
      </w:pPr>
      <w:r>
        <w:t>Exposure of API keys, Plaid access tokens, Supabase privileged credentials, or other secrets.</w:t>
      </w:r>
    </w:p>
    <w:p>
      <w:pPr>
        <w:pStyle w:val="ListBullet"/>
      </w:pPr>
      <w:r>
        <w:t>Cross-user data exposure caused by authorization or Row Level Security failures.</w:t>
      </w:r>
    </w:p>
    <w:p>
      <w:pPr>
        <w:pStyle w:val="ListBullet"/>
      </w:pPr>
      <w:r>
        <w:t>Vulnerable or outdated application dependencies.</w:t>
      </w:r>
    </w:p>
    <w:p>
      <w:pPr>
        <w:pStyle w:val="ListBullet"/>
      </w:pPr>
      <w:r>
        <w:t>Abuse of authentication, session, or administrative privileges.</w:t>
      </w:r>
    </w:p>
    <w:p>
      <w:pPr>
        <w:pStyle w:val="ListBullet"/>
      </w:pPr>
      <w:r>
        <w:t>Loss, corruption, or unauthorized modification of customer data.</w:t>
      </w:r>
    </w:p>
    <w:p>
      <w:pPr>
        <w:pStyle w:val="ListBullet"/>
      </w:pPr>
      <w:r>
        <w:t>Third-party/vendor compromise or service failure.</w:t>
      </w:r>
    </w:p>
    <w:p>
      <w:pPr>
        <w:pStyle w:val="ListBullet"/>
      </w:pPr>
      <w:r>
        <w:t>Insufficient logging, monitoring, or incident response.</w:t>
      </w:r>
    </w:p>
    <w:p>
      <w:pPr>
        <w:pStyle w:val="Heading2"/>
      </w:pPr>
      <w:r>
        <w:t>4.3 Risk register</w:t>
      </w:r>
    </w:p>
    <w:p>
      <w:r>
        <w:t>Material risks and remediation actions should be recorded with: risk description, affected system/data, likelihood, impact, mitigation, owner, target date, and status. High-impact risks are prioritized for remediation and may not be knowingly accepted without management approval.</w:t>
      </w:r>
    </w:p>
    <w:p>
      <w:pPr>
        <w:pStyle w:val="Heading1"/>
      </w:pPr>
      <w:r>
        <w:t>5. Access Control and Authentication</w:t>
      </w:r>
    </w:p>
    <w:p>
      <w:pPr>
        <w:pStyle w:val="ListBullet"/>
      </w:pPr>
      <w:r>
        <w:t>Access is granted according to least privilege and legitimate business need.</w:t>
      </w:r>
    </w:p>
    <w:p>
      <w:pPr>
        <w:pStyle w:val="ListBullet"/>
      </w:pPr>
      <w:r>
        <w:t>Administrative access to Supabase, Plaid, hosting, source code, and other critical services must use individual accounts rather than shared credentials whenever supported.</w:t>
      </w:r>
    </w:p>
    <w:p>
      <w:pPr>
        <w:pStyle w:val="ListBullet"/>
      </w:pPr>
      <w:r>
        <w:t>Multi-factor authentication must be enabled for critical administrative services whenever the provider supports it.</w:t>
      </w:r>
    </w:p>
    <w:p>
      <w:pPr>
        <w:pStyle w:val="ListBullet"/>
      </w:pPr>
      <w:r>
        <w:t>Customer access is authenticated through Klyro's designated authentication system; authorization must be enforced server-side and at the database layer where applicable.</w:t>
      </w:r>
    </w:p>
    <w:p>
      <w:pPr>
        <w:pStyle w:val="ListBullet"/>
      </w:pPr>
      <w:r>
        <w:t>Supabase Row Level Security (RLS) must remain enabled for customer-owned financial records so authenticated users can access only records authorized for their user identity.</w:t>
      </w:r>
    </w:p>
    <w:p>
      <w:pPr>
        <w:pStyle w:val="ListBullet"/>
      </w:pPr>
      <w:r>
        <w:t>Administrative and contractor access must be reviewed at least quarterly and promptly removed when no longer needed.</w:t>
      </w:r>
    </w:p>
    <w:p>
      <w:pPr>
        <w:pStyle w:val="ListBullet"/>
      </w:pPr>
      <w:r>
        <w:t>Suspected compromised credentials must be revoked or rotated immediately.</w:t>
      </w:r>
    </w:p>
    <w:p>
      <w:pPr>
        <w:pStyle w:val="Heading1"/>
      </w:pPr>
      <w:r>
        <w:t>6. Secrets and Credential Management</w:t>
      </w:r>
    </w:p>
    <w:p>
      <w:pPr>
        <w:pStyle w:val="ListBullet"/>
      </w:pPr>
      <w:r>
        <w:t>Production secrets must never be embedded in Framer/TSX client code or otherwise delivered to a customer's browser.</w:t>
      </w:r>
    </w:p>
    <w:p>
      <w:pPr>
        <w:pStyle w:val="ListBullet"/>
      </w:pPr>
      <w:r>
        <w:t>Plaid secrets and other privileged integration credentials must be stored in server-side secret/environment-variable facilities.</w:t>
      </w:r>
    </w:p>
    <w:p>
      <w:pPr>
        <w:pStyle w:val="ListBullet"/>
      </w:pPr>
      <w:r>
        <w:t>Plaid access tokens must remain server-side and must not be exposed through client APIs, UI components, logs intended for end users, or browser storage.</w:t>
      </w:r>
    </w:p>
    <w:p>
      <w:pPr>
        <w:pStyle w:val="ListBullet"/>
      </w:pPr>
      <w:r>
        <w:t>Supabase service-role credentials must never be exposed client-side.</w:t>
      </w:r>
    </w:p>
    <w:p>
      <w:pPr>
        <w:pStyle w:val="ListBullet"/>
      </w:pPr>
      <w:r>
        <w:t>Credentials must be transmitted only over encrypted connections and stored using provider-supported secure secret storage.</w:t>
      </w:r>
    </w:p>
    <w:p>
      <w:pPr>
        <w:pStyle w:val="ListBullet"/>
      </w:pPr>
      <w:r>
        <w:t>Secrets are rotated after suspected exposure, personnel/access changes when appropriate, and periodically based on risk and provider capabilities.</w:t>
      </w:r>
    </w:p>
    <w:p>
      <w:pPr>
        <w:pStyle w:val="ListBullet"/>
      </w:pPr>
      <w:r>
        <w:t>Test/Sandbox credentials and Production credentials must be kept logically separate.</w:t>
      </w:r>
    </w:p>
    <w:p>
      <w:pPr>
        <w:pStyle w:val="Heading1"/>
      </w:pPr>
      <w:r>
        <w:t>7. Data Protection and Privacy</w:t>
      </w:r>
    </w:p>
    <w:p>
      <w:pPr>
        <w:pStyle w:val="ListBullet"/>
      </w:pPr>
      <w:r>
        <w:t>Klyro collects and retains only data needed for approved product functionality and support.</w:t>
      </w:r>
    </w:p>
    <w:p>
      <w:pPr>
        <w:pStyle w:val="ListBullet"/>
      </w:pPr>
      <w:r>
        <w:t>Sensitive customer data must be protected in transit using HTTPS/TLS and at rest using the security controls of approved infrastructure providers.</w:t>
      </w:r>
    </w:p>
    <w:p>
      <w:pPr>
        <w:pStyle w:val="ListBullet"/>
      </w:pPr>
      <w:r>
        <w:t>Financial-data access must be scoped to the products and purposes disclosed to and authorized by the customer.</w:t>
      </w:r>
    </w:p>
    <w:p>
      <w:pPr>
        <w:pStyle w:val="ListBullet"/>
      </w:pPr>
      <w:r>
        <w:t>Klyro must not intentionally expose one user's financial information to another user.</w:t>
      </w:r>
    </w:p>
    <w:p>
      <w:pPr>
        <w:pStyle w:val="ListBullet"/>
      </w:pPr>
      <w:r>
        <w:t>Customer-facing privacy controls, such as hidden balances, must be consistently applied to connected and manually entered financial data where implemented.</w:t>
      </w:r>
    </w:p>
    <w:p>
      <w:pPr>
        <w:pStyle w:val="ListBullet"/>
      </w:pPr>
      <w:r>
        <w:t>Sensitive production data must not be copied into development/test environments unless necessary and appropriately protected.</w:t>
      </w:r>
    </w:p>
    <w:p>
      <w:pPr>
        <w:pStyle w:val="ListBullet"/>
      </w:pPr>
      <w:r>
        <w:t>Data deletion/disconnection procedures must remove or disable access to financial-data connections when a customer revokes authorization, subject to legal or operational retention requirements.</w:t>
      </w:r>
    </w:p>
    <w:p>
      <w:pPr>
        <w:pStyle w:val="Heading1"/>
      </w:pPr>
      <w:r>
        <w:t>8. Plaid and Financial-Data Integration Security</w:t>
      </w:r>
    </w:p>
    <w:p>
      <w:pPr>
        <w:pStyle w:val="ListBullet"/>
      </w:pPr>
      <w:r>
        <w:t>Plaid Link is used for institution authentication; Klyro must not request or store a customer's bank password.</w:t>
      </w:r>
    </w:p>
    <w:p>
      <w:pPr>
        <w:pStyle w:val="ListBullet"/>
      </w:pPr>
      <w:r>
        <w:t>Temporary Plaid public tokens are exchanged server-side for access tokens through protected backend functions.</w:t>
      </w:r>
    </w:p>
    <w:p>
      <w:pPr>
        <w:pStyle w:val="ListBullet"/>
      </w:pPr>
      <w:r>
        <w:t>Plaid access tokens are stored only in protected server-side systems and associated with the correct authenticated Klyro user.</w:t>
      </w:r>
    </w:p>
    <w:p>
      <w:pPr>
        <w:pStyle w:val="ListBullet"/>
      </w:pPr>
      <w:r>
        <w:t>Privileged Plaid API operations are performed through backend services/Edge Functions, not directly from browser code.</w:t>
      </w:r>
    </w:p>
    <w:p>
      <w:pPr>
        <w:pStyle w:val="ListBullet"/>
      </w:pPr>
      <w:r>
        <w:t>Production Plaid credentials must be distinct from Sandbox credentials.</w:t>
      </w:r>
    </w:p>
    <w:p>
      <w:pPr>
        <w:pStyle w:val="ListBullet"/>
      </w:pPr>
      <w:r>
        <w:t>Plaid connection removal must use the appropriate server-side Item removal/revocation flow before Klyro considers the connection fully disconnected.</w:t>
      </w:r>
    </w:p>
    <w:p>
      <w:pPr>
        <w:pStyle w:val="ListBullet"/>
      </w:pPr>
      <w:r>
        <w:t>Klyro will review Plaid security and integration requirements before Production launch and after material Plaid integration changes.</w:t>
      </w:r>
    </w:p>
    <w:p>
      <w:pPr>
        <w:pStyle w:val="Heading1"/>
      </w:pPr>
      <w:r>
        <w:t>9. Secure Development and Change Management</w:t>
      </w:r>
    </w:p>
    <w:p>
      <w:pPr>
        <w:pStyle w:val="ListBullet"/>
      </w:pPr>
      <w:r>
        <w:t>Security-sensitive changes must be reviewed before Production deployment, with particular attention to authentication, authorization, RLS, secrets, financial-data flows, and Edge Functions.</w:t>
      </w:r>
    </w:p>
    <w:p>
      <w:pPr>
        <w:pStyle w:val="ListBullet"/>
      </w:pPr>
      <w:r>
        <w:t>New database tables containing user data must use appropriate authorization controls and RLS policies before Production use.</w:t>
      </w:r>
    </w:p>
    <w:p>
      <w:pPr>
        <w:pStyle w:val="ListBullet"/>
      </w:pPr>
      <w:r>
        <w:t>Dependencies must be monitored and updated in a timely manner when security fixes are available and compatible.</w:t>
      </w:r>
    </w:p>
    <w:p>
      <w:pPr>
        <w:pStyle w:val="ListBullet"/>
      </w:pPr>
      <w:r>
        <w:t>Secrets must not be committed to source control.</w:t>
      </w:r>
    </w:p>
    <w:p>
      <w:pPr>
        <w:pStyle w:val="ListBullet"/>
      </w:pPr>
      <w:r>
        <w:t>Development and Sandbox testing should be used before enabling new financial-data behavior for real customers.</w:t>
      </w:r>
    </w:p>
    <w:p>
      <w:pPr>
        <w:pStyle w:val="ListBullet"/>
      </w:pPr>
      <w:r>
        <w:t>Material security-related changes should have a rollback or recovery path appropriate to the change.</w:t>
      </w:r>
    </w:p>
    <w:p>
      <w:pPr>
        <w:pStyle w:val="Heading1"/>
      </w:pPr>
      <w:r>
        <w:t>10. Vulnerability and Patch Management</w:t>
      </w:r>
    </w:p>
    <w:p>
      <w:r>
        <w:t>Klyro will monitor its application dependencies, infrastructure-provider notices, and security advisories relevant to its stack. Critical or actively exploited vulnerabilities affecting Klyro should be evaluated immediately and remediated as soon as practicable. High-risk issues receive priority over routine feature work.</w:t>
      </w:r>
    </w:p>
    <w:p>
      <w:pPr>
        <w:pStyle w:val="ListBullet"/>
      </w:pPr>
      <w:r>
        <w:t>Critical/actively exploited: immediate assessment and expedited remediation.</w:t>
      </w:r>
    </w:p>
    <w:p>
      <w:pPr>
        <w:pStyle w:val="ListBullet"/>
      </w:pPr>
      <w:r>
        <w:t>High severity: target remediation within 14 days where feasible.</w:t>
      </w:r>
    </w:p>
    <w:p>
      <w:pPr>
        <w:pStyle w:val="ListBullet"/>
      </w:pPr>
      <w:r>
        <w:t>Medium severity: target remediation within 30 days where feasible.</w:t>
      </w:r>
    </w:p>
    <w:p>
      <w:pPr>
        <w:pStyle w:val="ListBullet"/>
      </w:pPr>
      <w:r>
        <w:t>Low severity: address through normal maintenance based on risk.</w:t>
      </w:r>
    </w:p>
    <w:p>
      <w:r>
        <w:t>If a target cannot reasonably be met, the reason, compensating control, and revised remediation date should be documented.</w:t>
      </w:r>
    </w:p>
    <w:p>
      <w:pPr>
        <w:pStyle w:val="Heading1"/>
      </w:pPr>
      <w:r>
        <w:t>11. Logging and Security Monitoring</w:t>
      </w:r>
    </w:p>
    <w:p>
      <w:pPr>
        <w:pStyle w:val="ListBullet"/>
      </w:pPr>
      <w:r>
        <w:t>Klyro will retain and review available authentication, database, Edge Function, and provider logs appropriate to the risk of the system.</w:t>
      </w:r>
    </w:p>
    <w:p>
      <w:pPr>
        <w:pStyle w:val="ListBullet"/>
      </w:pPr>
      <w:r>
        <w:t>Events suggesting unauthorized access, repeated authentication failure, unexpected privilege use, token/credential misuse, or anomalous backend errors must be investigated when detected.</w:t>
      </w:r>
    </w:p>
    <w:p>
      <w:pPr>
        <w:pStyle w:val="ListBullet"/>
      </w:pPr>
      <w:r>
        <w:t>Security-relevant logs must avoid unnecessarily recording secrets, Plaid access tokens, passwords, or full sensitive credentials.</w:t>
      </w:r>
    </w:p>
    <w:p>
      <w:pPr>
        <w:pStyle w:val="ListBullet"/>
      </w:pPr>
      <w:r>
        <w:t>Material security events and their disposition should be documented.</w:t>
      </w:r>
    </w:p>
    <w:p>
      <w:pPr>
        <w:pStyle w:val="ListBullet"/>
      </w:pPr>
      <w:r>
        <w:t>Monitoring coverage will be reviewed at least quarterly and when major infrastructure changes occur.</w:t>
      </w:r>
    </w:p>
    <w:p>
      <w:pPr>
        <w:pStyle w:val="Heading1"/>
      </w:pPr>
      <w:r>
        <w:t>12. Incident Response Procedure</w:t>
      </w:r>
    </w:p>
    <w:p>
      <w:pPr>
        <w:pStyle w:val="Heading2"/>
      </w:pPr>
      <w:r>
        <w:t>12.1 Identification and containment</w:t>
      </w:r>
    </w:p>
    <w:p>
      <w:pPr>
        <w:pStyle w:val="ListBullet"/>
      </w:pPr>
      <w:r>
        <w:t>Treat suspected unauthorized access, credential exposure, cross-user data access, malware, destructive activity, or sensitive-data disclosure as a potential security incident.</w:t>
      </w:r>
    </w:p>
    <w:p>
      <w:pPr>
        <w:pStyle w:val="ListBullet"/>
      </w:pPr>
      <w:r>
        <w:t>Preserve relevant logs and evidence.</w:t>
      </w:r>
    </w:p>
    <w:p>
      <w:pPr>
        <w:pStyle w:val="ListBullet"/>
      </w:pPr>
      <w:r>
        <w:t>Contain the event by revoking sessions, disabling affected functions, restricting access, or rotating credentials as appropriate.</w:t>
      </w:r>
    </w:p>
    <w:p>
      <w:pPr>
        <w:pStyle w:val="Heading2"/>
      </w:pPr>
      <w:r>
        <w:t>12.2 Investigation and remediation</w:t>
      </w:r>
    </w:p>
    <w:p>
      <w:pPr>
        <w:pStyle w:val="ListBullet"/>
      </w:pPr>
      <w:r>
        <w:t>Determine affected systems, data, users, time period, and root cause.</w:t>
      </w:r>
    </w:p>
    <w:p>
      <w:pPr>
        <w:pStyle w:val="ListBullet"/>
      </w:pPr>
      <w:r>
        <w:t>Correct the vulnerability or configuration issue and validate the fix.</w:t>
      </w:r>
    </w:p>
    <w:p>
      <w:pPr>
        <w:pStyle w:val="ListBullet"/>
      </w:pPr>
      <w:r>
        <w:t>Rotate affected credentials/tokens and review adjacent systems for similar exposure.</w:t>
      </w:r>
    </w:p>
    <w:p>
      <w:pPr>
        <w:pStyle w:val="Heading2"/>
      </w:pPr>
      <w:r>
        <w:t>12.3 Notification and recovery</w:t>
      </w:r>
    </w:p>
    <w:p>
      <w:pPr>
        <w:pStyle w:val="ListBullet"/>
      </w:pPr>
      <w:r>
        <w:t>Notify affected service providers, including Plaid, when required by contract or when their credentials/data may be affected.</w:t>
      </w:r>
    </w:p>
    <w:p>
      <w:pPr>
        <w:pStyle w:val="ListBullet"/>
      </w:pPr>
      <w:r>
        <w:t>Assess applicable legal or customer-notification obligations and obtain professional legal/compliance advice when necessary.</w:t>
      </w:r>
    </w:p>
    <w:p>
      <w:pPr>
        <w:pStyle w:val="ListBullet"/>
      </w:pPr>
      <w:r>
        <w:t>Restore services only after reasonable validation that the immediate risk has been controlled.</w:t>
      </w:r>
    </w:p>
    <w:p>
      <w:pPr>
        <w:pStyle w:val="ListBullet"/>
      </w:pPr>
      <w:r>
        <w:t>Perform a post-incident review and update controls, procedures, or training as appropriate.</w:t>
      </w:r>
    </w:p>
    <w:p>
      <w:pPr>
        <w:pStyle w:val="Heading1"/>
      </w:pPr>
      <w:r>
        <w:t>13. Vendor and Third-Party Risk</w:t>
      </w:r>
    </w:p>
    <w:p>
      <w:r>
        <w:t>Before relying on a vendor to host, process, transmit, or secure sensitive Klyro data, Klyro will consider the vendor's security capabilities, purpose, access level, and available contractual/privacy terms. Critical vendors should be reviewed at onboarding and periodically thereafter.</w:t>
      </w:r>
    </w:p>
    <w:p>
      <w:pPr>
        <w:pStyle w:val="ListBullet"/>
      </w:pPr>
      <w:r>
        <w:t>Grant third parties only the data/access required for the approved use case.</w:t>
      </w:r>
    </w:p>
    <w:p>
      <w:pPr>
        <w:pStyle w:val="ListBullet"/>
      </w:pPr>
      <w:r>
        <w:t>Use vendor security features such as MFA, encryption, RLS/access controls, logs, and secret management where available.</w:t>
      </w:r>
    </w:p>
    <w:p>
      <w:pPr>
        <w:pStyle w:val="ListBullet"/>
      </w:pPr>
      <w:r>
        <w:t>Review material security or privacy notices from critical vendors.</w:t>
      </w:r>
    </w:p>
    <w:p>
      <w:pPr>
        <w:pStyle w:val="ListBullet"/>
      </w:pPr>
      <w:r>
        <w:t>Remove integrations and credentials that are no longer required.</w:t>
      </w:r>
    </w:p>
    <w:p>
      <w:pPr>
        <w:pStyle w:val="Heading1"/>
      </w:pPr>
      <w:r>
        <w:t>14. Business Continuity, Backup, and Recovery</w:t>
      </w:r>
    </w:p>
    <w:p>
      <w:r>
        <w:t>Klyro will use the backup, recovery, and availability capabilities of its approved infrastructure providers as appropriate to the service. Material schema/configuration changes should be recoverable through migrations, source control, configuration records, or provider recovery capabilities. Following a material outage or data-integrity event, Klyro will validate system integrity before resuming normal operation.</w:t>
      </w:r>
    </w:p>
    <w:p>
      <w:pPr>
        <w:pStyle w:val="Heading1"/>
      </w:pPr>
      <w:r>
        <w:t>15. Security Awareness and Personnel Practices</w:t>
      </w:r>
    </w:p>
    <w:p>
      <w:pPr>
        <w:pStyle w:val="ListBullet"/>
      </w:pPr>
      <w:r>
        <w:t>Anyone with administrative or development access must understand this policy before receiving or retaining privileged access.</w:t>
      </w:r>
    </w:p>
    <w:p>
      <w:pPr>
        <w:pStyle w:val="ListBullet"/>
      </w:pPr>
      <w:r>
        <w:t>Personnel must recognize phishing/social-engineering risk and verify unusual requests involving credentials, account recovery, money, or customer data.</w:t>
      </w:r>
    </w:p>
    <w:p>
      <w:pPr>
        <w:pStyle w:val="ListBullet"/>
      </w:pPr>
      <w:r>
        <w:t>Credentials may not be shared through insecure channels.</w:t>
      </w:r>
    </w:p>
    <w:p>
      <w:pPr>
        <w:pStyle w:val="ListBullet"/>
      </w:pPr>
      <w:r>
        <w:t>Security incidents and suspected exposures must be reported promptly to Klyro Management.</w:t>
      </w:r>
    </w:p>
    <w:p>
      <w:pPr>
        <w:pStyle w:val="Heading1"/>
      </w:pPr>
      <w:r>
        <w:t>16. Policy Review and Evidence</w:t>
      </w:r>
    </w:p>
    <w:p>
      <w:r>
        <w:t>This policy will be reviewed at least annually and after significant security incidents, material architecture changes, or major changes to the types of financial data Klyro processes. The review should confirm that documented controls match actual practice.</w:t>
      </w:r>
    </w:p>
    <w:p>
      <w:r>
        <w:t>Klyro should retain practical evidence of operationalization, including relevant access reviews, migration/security changes, dependency remediation, incident records (including 'no incidents' review notes where appropriate), vendor reviews, and policy review dates.</w:t>
      </w:r>
    </w:p>
    <w:p>
      <w:pPr>
        <w:pStyle w:val="Heading1"/>
      </w:pPr>
      <w:r>
        <w:t>17. Minimum Operational Security Checklist</w:t>
      </w:r>
    </w:p>
    <w:p>
      <w:r>
        <w:t>☐ Critical administrator accounts use MFA where supported.</w:t>
      </w:r>
    </w:p>
    <w:p>
      <w:r>
        <w:t>☐ Production secrets are stored server-side and are absent from Framer/client code.</w:t>
      </w:r>
    </w:p>
    <w:p>
      <w:r>
        <w:t>☐ Plaid access tokens and Supabase service-role credentials are not exposed client-side.</w:t>
      </w:r>
    </w:p>
    <w:p>
      <w:r>
        <w:t>☐ RLS is enabled and tested for customer-owned financial tables.</w:t>
      </w:r>
    </w:p>
    <w:p>
      <w:r>
        <w:t>☐ Administrative access is reviewed quarterly.</w:t>
      </w:r>
    </w:p>
    <w:p>
      <w:r>
        <w:t>☐ Security/provider logs are reviewed quarterly and after suspected incidents.</w:t>
      </w:r>
    </w:p>
    <w:p>
      <w:r>
        <w:t>☐ Dependencies/security advisories are reviewed at least monthly.</w:t>
      </w:r>
    </w:p>
    <w:p>
      <w:r>
        <w:t>☐ Material vulnerabilities are tracked through remediation.</w:t>
      </w:r>
    </w:p>
    <w:p>
      <w:r>
        <w:t>☐ New financial-data features receive a security review before Production launch.</w:t>
      </w:r>
    </w:p>
    <w:p>
      <w:r>
        <w:t>☐ Incident-response contact and credential-rotation procedures remain current.</w:t>
      </w:r>
    </w:p>
    <w:p>
      <w:r>
        <w:t>☐ This policy is reviewed at least annually.</w:t>
      </w:r>
    </w:p>
    <w:p>
      <w:pPr>
        <w:pStyle w:val="Heading1"/>
      </w:pPr>
      <w:r>
        <w:t>18. Adoption Record</w:t>
      </w:r>
    </w:p>
    <w:p>
      <w:r>
        <w:t>This document becomes Klyro's active information-security policy when approved by Klyro Management. Approval means Klyro commits to follow the procedures above, maintain reasonable evidence of their operation, and update the document when actual practices materially change.</w:t>
      </w:r>
    </w:p>
    <w:tbl>
      <w:tblPr>
        <w:tblStyle w:val="TableGrid"/>
        <w:tblW w:type="auto" w:w="0"/>
        <w:jc w:val="center"/>
        <w:tblLook w:firstColumn="1" w:firstRow="1" w:lastColumn="0" w:lastRow="0" w:noHBand="0" w:noVBand="1" w:val="04A0"/>
      </w:tblPr>
      <w:tblGrid>
        <w:gridCol w:w="5040"/>
        <w:gridCol w:w="5040"/>
      </w:tblGrid>
      <w:tr>
        <w:tc>
          <w:tcPr>
            <w:tcW w:type="dxa" w:w="5040"/>
          </w:tcPr>
          <w:p>
            <w:r>
              <w:rPr>
                <w:b/>
              </w:rPr>
              <w:t>Approved by</w:t>
            </w:r>
          </w:p>
        </w:tc>
        <w:tc>
          <w:tcPr>
            <w:tcW w:type="dxa" w:w="5040"/>
          </w:tcPr>
          <w:p>
            <w:r>
              <w:t>________________________________________</w:t>
            </w:r>
          </w:p>
        </w:tc>
      </w:tr>
      <w:tr>
        <w:tc>
          <w:tcPr>
            <w:tcW w:type="dxa" w:w="5040"/>
          </w:tcPr>
          <w:p>
            <w:r>
              <w:rPr>
                <w:b/>
              </w:rPr>
              <w:t>Role</w:t>
            </w:r>
          </w:p>
        </w:tc>
        <w:tc>
          <w:tcPr>
            <w:tcW w:type="dxa" w:w="5040"/>
          </w:tcPr>
          <w:p>
            <w:r>
              <w:t>Owner / Administrator</w:t>
            </w:r>
          </w:p>
        </w:tc>
      </w:tr>
      <w:tr>
        <w:tc>
          <w:tcPr>
            <w:tcW w:type="dxa" w:w="5040"/>
          </w:tcPr>
          <w:p>
            <w:r>
              <w:rPr>
                <w:b/>
              </w:rPr>
              <w:t>Approval date</w:t>
            </w:r>
          </w:p>
        </w:tc>
        <w:tc>
          <w:tcPr>
            <w:tcW w:type="dxa" w:w="5040"/>
          </w:tcPr>
          <w:p>
            <w:r>
              <w:t>________________________________________</w:t>
            </w:r>
          </w:p>
        </w:tc>
      </w:tr>
      <w:tr>
        <w:tc>
          <w:tcPr>
            <w:tcW w:type="dxa" w:w="5040"/>
          </w:tcPr>
          <w:p>
            <w:r>
              <w:rPr>
                <w:b/>
              </w:rPr>
              <w:t>Next scheduled review</w:t>
            </w:r>
          </w:p>
        </w:tc>
        <w:tc>
          <w:tcPr>
            <w:tcW w:type="dxa" w:w="5040"/>
          </w:tcPr>
          <w:p>
            <w:r>
              <w:t>No later than 12 months after approval</w:t>
            </w:r>
          </w:p>
        </w:tc>
      </w:tr>
    </w:tbl>
    <w:p/>
    <w:p>
      <w:pPr>
        <w:jc w:val="center"/>
      </w:pPr>
      <w:r>
        <w:rPr>
          <w:i/>
          <w:sz w:val="16"/>
        </w:rPr>
        <w:t>Klyro Information Security Policy &amp; Procedures — Version 1.0</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Klyro • Internal Security Documentation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