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B187A" w14:textId="716D48D3" w:rsidR="007E41AB" w:rsidRPr="007E41AB" w:rsidRDefault="007E41AB" w:rsidP="007E41AB">
      <w:pPr>
        <w:pStyle w:val="Header"/>
        <w:rPr>
          <w:rFonts w:ascii="Arial" w:hAnsi="Arial" w:cs="Arial"/>
          <w:i/>
          <w:iCs/>
          <w:color w:val="FF0000"/>
          <w:sz w:val="22"/>
          <w:szCs w:val="22"/>
        </w:rPr>
      </w:pPr>
      <w:bookmarkStart w:id="0" w:name="_Toc194497004"/>
      <w:r w:rsidRPr="00245073">
        <w:rPr>
          <w:rFonts w:ascii="Arial" w:hAnsi="Arial" w:cs="Arial"/>
          <w:i/>
          <w:iCs/>
          <w:color w:val="FF0000"/>
          <w:sz w:val="22"/>
          <w:szCs w:val="22"/>
        </w:rPr>
        <w:t>These sample Outside Counsel Billing Guidelines were created by Poppy Legal. This document is intended as a starting point and should be customized to reflect your company's specific requirements, policies, and philosophy. Review each section carefully and replace bracketed text with your organization's details.</w:t>
      </w:r>
    </w:p>
    <w:p w14:paraId="4BE720B8" w14:textId="6172F85C" w:rsidR="004D63F6" w:rsidRPr="004D63F6" w:rsidRDefault="004D63F6" w:rsidP="00245073">
      <w:pPr>
        <w:pStyle w:val="Heading1"/>
        <w:spacing w:before="120"/>
        <w:ind w:left="360" w:hanging="360"/>
        <w:jc w:val="center"/>
        <w:rPr>
          <w:rFonts w:ascii="Arial" w:eastAsia="Times New Roman" w:hAnsi="Arial" w:cs="Arial"/>
          <w:b/>
          <w:bCs/>
          <w:color w:val="000000" w:themeColor="text1"/>
          <w:sz w:val="24"/>
          <w:szCs w:val="24"/>
        </w:rPr>
      </w:pPr>
      <w:r w:rsidRPr="004D63F6">
        <w:rPr>
          <w:rFonts w:ascii="Arial" w:eastAsia="Times New Roman" w:hAnsi="Arial" w:cs="Arial"/>
          <w:b/>
          <w:bCs/>
          <w:color w:val="000000" w:themeColor="text1"/>
          <w:sz w:val="24"/>
          <w:szCs w:val="24"/>
        </w:rPr>
        <w:t>Sample Outside Counsel Billing Guidelines</w:t>
      </w:r>
      <w:bookmarkEnd w:id="0"/>
    </w:p>
    <w:p w14:paraId="7CDF1555" w14:textId="77777777" w:rsidR="004D63F6" w:rsidRDefault="004D63F6" w:rsidP="004D63F6">
      <w:pPr>
        <w:spacing w:after="0" w:line="240" w:lineRule="auto"/>
        <w:rPr>
          <w:rFonts w:ascii="Arial" w:eastAsia="Times New Roman" w:hAnsi="Arial" w:cs="Arial"/>
          <w:b/>
          <w:bCs/>
          <w:kern w:val="0"/>
          <w:sz w:val="22"/>
          <w:szCs w:val="22"/>
          <w14:ligatures w14:val="none"/>
        </w:rPr>
      </w:pPr>
    </w:p>
    <w:p w14:paraId="15426859" w14:textId="77777777" w:rsidR="004D63F6" w:rsidRPr="00C179FA"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C179FA">
        <w:rPr>
          <w:rFonts w:ascii="Arial" w:eastAsia="Times New Roman" w:hAnsi="Arial" w:cs="Arial"/>
          <w:b/>
          <w:bCs/>
          <w:kern w:val="0"/>
          <w:sz w:val="22"/>
          <w:szCs w:val="22"/>
          <w14:ligatures w14:val="none"/>
        </w:rPr>
        <w:t>Introduction and Philosophy</w:t>
      </w:r>
    </w:p>
    <w:p w14:paraId="2FA9EB96"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24BF9763" w14:textId="77777777" w:rsidR="004D63F6" w:rsidRDefault="004D63F6" w:rsidP="004D63F6">
      <w:p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These Billing Guidelines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Guidelines</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 outline the expectations and procedures for billing for legal services rendered to [Company Name]. We view these Guidelines as a foundation for a collaborative and efficient working relationship with our outside counsel partners. Our objective is to ensure transparency, predictability, and value in the delivery of legal services, leveraging modern practices and technologies where appropriate. Adherence to these Guidelines is required unless a specific exception is granted in writing by [Name/Title, e.g., the General Counsel or designated Legal Operations contact].</w:t>
      </w:r>
    </w:p>
    <w:p w14:paraId="651F65CA" w14:textId="77777777" w:rsidR="004D63F6" w:rsidRDefault="004D63F6" w:rsidP="004D63F6">
      <w:pPr>
        <w:spacing w:after="0" w:line="240" w:lineRule="auto"/>
        <w:rPr>
          <w:rFonts w:ascii="Arial" w:eastAsia="Times New Roman" w:hAnsi="Arial" w:cs="Arial"/>
          <w:kern w:val="0"/>
          <w:sz w:val="22"/>
          <w:szCs w:val="22"/>
          <w14:ligatures w14:val="none"/>
        </w:rPr>
      </w:pPr>
    </w:p>
    <w:p w14:paraId="0090D266" w14:textId="77777777" w:rsidR="004D63F6" w:rsidRDefault="004D63F6" w:rsidP="004D63F6">
      <w:pPr>
        <w:spacing w:after="0" w:line="240" w:lineRule="auto"/>
        <w:rPr>
          <w:rFonts w:ascii="Arial" w:eastAsia="Times New Roman" w:hAnsi="Arial" w:cs="Arial"/>
          <w:kern w:val="0"/>
          <w:sz w:val="22"/>
          <w:szCs w:val="22"/>
          <w14:ligatures w14:val="none"/>
        </w:rPr>
      </w:pPr>
      <w:r w:rsidRPr="006F0956">
        <w:rPr>
          <w:rFonts w:ascii="Arial" w:eastAsia="Times New Roman" w:hAnsi="Arial" w:cs="Arial"/>
          <w:kern w:val="0"/>
          <w:sz w:val="22"/>
          <w:szCs w:val="22"/>
          <w14:ligatures w14:val="none"/>
        </w:rPr>
        <w:t>[Company Name] reserves the right to modify these Guidelines periodically. Notice of significant modifications will be provided to outside counsel via [Method, e.g., email] at least [Notice Period, e.g., 30 days] prior to the effective date of the changes.</w:t>
      </w:r>
    </w:p>
    <w:p w14:paraId="4EE448A1"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26C31D76" w14:textId="77777777" w:rsidR="004D63F6" w:rsidRPr="00C179FA"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C179FA">
        <w:rPr>
          <w:rFonts w:ascii="Arial" w:eastAsia="Times New Roman" w:hAnsi="Arial" w:cs="Arial"/>
          <w:b/>
          <w:bCs/>
          <w:kern w:val="0"/>
          <w:sz w:val="22"/>
          <w:szCs w:val="22"/>
          <w14:ligatures w14:val="none"/>
        </w:rPr>
        <w:t>Matter Management</w:t>
      </w:r>
    </w:p>
    <w:p w14:paraId="264DF60F"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17E56E26" w14:textId="77777777" w:rsidR="004D63F6" w:rsidRDefault="004D63F6" w:rsidP="004D63F6">
      <w:pPr>
        <w:numPr>
          <w:ilvl w:val="0"/>
          <w:numId w:val="1"/>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Matter Initiation:</w:t>
      </w:r>
      <w:r w:rsidRPr="00C179FA">
        <w:rPr>
          <w:rFonts w:ascii="Arial" w:eastAsia="Times New Roman" w:hAnsi="Arial" w:cs="Arial"/>
          <w:kern w:val="0"/>
          <w:sz w:val="22"/>
          <w:szCs w:val="22"/>
          <w14:ligatures w14:val="none"/>
        </w:rPr>
        <w:t xml:space="preserve"> For each new matter, outside counsel must obtain engagement confirmation from the supervising [Company Name] attorney. This confirmation will include, at minimum, a defined matter scope, matter type, key contacts, and anticipated timelines. For matters anticipated to exceed [Dollar Threshold, e.g., $25,000], a more detailed scope, including key deliverables and milestones, may be required.</w:t>
      </w:r>
    </w:p>
    <w:p w14:paraId="57BF7355" w14:textId="77777777" w:rsidR="004D63F6" w:rsidRPr="00C179FA" w:rsidRDefault="004D63F6" w:rsidP="004D63F6">
      <w:pPr>
        <w:spacing w:after="0" w:line="240" w:lineRule="auto"/>
        <w:ind w:left="720"/>
        <w:rPr>
          <w:rFonts w:ascii="Arial" w:eastAsia="Times New Roman" w:hAnsi="Arial" w:cs="Arial"/>
          <w:kern w:val="0"/>
          <w:sz w:val="22"/>
          <w:szCs w:val="22"/>
          <w14:ligatures w14:val="none"/>
        </w:rPr>
      </w:pPr>
    </w:p>
    <w:p w14:paraId="66B86150" w14:textId="77777777" w:rsidR="004D63F6" w:rsidRDefault="004D63F6" w:rsidP="004D63F6">
      <w:pPr>
        <w:numPr>
          <w:ilvl w:val="0"/>
          <w:numId w:val="1"/>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Budgeting:</w:t>
      </w:r>
      <w:r w:rsidRPr="00C179FA">
        <w:rPr>
          <w:rFonts w:ascii="Arial" w:eastAsia="Times New Roman" w:hAnsi="Arial" w:cs="Arial"/>
          <w:kern w:val="0"/>
          <w:sz w:val="22"/>
          <w:szCs w:val="22"/>
          <w14:ligatures w14:val="none"/>
        </w:rPr>
        <w:t xml:space="preserve"> Counsel must provide a budget estimate upon request. Depending on matter complexity and anticipated fees, this may range from a high-level estimate to a detailed, phase-based or task-based budget. Budgets must be reviewed [Frequency, e.g., quarterly or upon reaching 75% of budget] and updated promptly with approval from the supervising [Company Name] attorney if material changes are anticipated.</w:t>
      </w:r>
    </w:p>
    <w:p w14:paraId="4A7A274F"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4B42D518" w14:textId="77777777" w:rsidR="004D63F6" w:rsidRDefault="004D63F6" w:rsidP="004D63F6">
      <w:pPr>
        <w:numPr>
          <w:ilvl w:val="0"/>
          <w:numId w:val="1"/>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Staffing Plans:</w:t>
      </w:r>
      <w:r w:rsidRPr="00C179FA">
        <w:rPr>
          <w:rFonts w:ascii="Arial" w:eastAsia="Times New Roman" w:hAnsi="Arial" w:cs="Arial"/>
          <w:kern w:val="0"/>
          <w:sz w:val="22"/>
          <w:szCs w:val="22"/>
          <w14:ligatures w14:val="none"/>
        </w:rPr>
        <w:t xml:space="preserve"> Proposed staffing, including timekeepers and their applicable rates, requires approval at the outset of the matter. Significant changes to the staffing plan or timekeeper rates during a matter require pre-approval. Staffing should align expertise and seniority with matter complexity and requirements. We encourage continuity and request no-charge transition time if staffing changes are unavoidable.</w:t>
      </w:r>
    </w:p>
    <w:p w14:paraId="5DF5D9ED"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3BB63BA1" w14:textId="77777777" w:rsidR="004D63F6" w:rsidRDefault="004D63F6" w:rsidP="004D63F6">
      <w:pPr>
        <w:numPr>
          <w:ilvl w:val="0"/>
          <w:numId w:val="1"/>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Communication:</w:t>
      </w:r>
      <w:r w:rsidRPr="00C179FA">
        <w:rPr>
          <w:rFonts w:ascii="Arial" w:eastAsia="Times New Roman" w:hAnsi="Arial" w:cs="Arial"/>
          <w:kern w:val="0"/>
          <w:sz w:val="22"/>
          <w:szCs w:val="22"/>
          <w14:ligatures w14:val="none"/>
        </w:rPr>
        <w:t xml:space="preserve"> Counsel is expected to maintain regular communication regarding matter status as agreed with the supervising [Company Name] attorney. Please adhere to the agreed-upon reporting cadence and escalation path.</w:t>
      </w:r>
    </w:p>
    <w:p w14:paraId="591A63DB"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6475B6A0" w14:textId="77777777" w:rsidR="004D63F6"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10245D">
        <w:rPr>
          <w:rFonts w:ascii="Arial" w:eastAsia="Times New Roman" w:hAnsi="Arial" w:cs="Arial"/>
          <w:b/>
          <w:bCs/>
          <w:kern w:val="0"/>
          <w:sz w:val="22"/>
          <w:szCs w:val="22"/>
          <w14:ligatures w14:val="none"/>
        </w:rPr>
        <w:t>Invoice Content and Format</w:t>
      </w:r>
    </w:p>
    <w:p w14:paraId="12EC11D0" w14:textId="77777777" w:rsidR="004D63F6" w:rsidRPr="0010245D" w:rsidRDefault="004D63F6" w:rsidP="004D63F6">
      <w:pPr>
        <w:pStyle w:val="ListParagraph"/>
        <w:spacing w:after="0" w:line="240" w:lineRule="auto"/>
        <w:rPr>
          <w:rFonts w:ascii="Arial" w:eastAsia="Times New Roman" w:hAnsi="Arial" w:cs="Arial"/>
          <w:b/>
          <w:bCs/>
          <w:kern w:val="0"/>
          <w:sz w:val="22"/>
          <w:szCs w:val="22"/>
          <w14:ligatures w14:val="none"/>
        </w:rPr>
      </w:pPr>
    </w:p>
    <w:p w14:paraId="05740B71" w14:textId="77777777" w:rsidR="004D63F6" w:rsidRDefault="004D63F6" w:rsidP="004D63F6">
      <w:pPr>
        <w:numPr>
          <w:ilvl w:val="0"/>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Narrative Detail:</w:t>
      </w:r>
      <w:r w:rsidRPr="00C179FA">
        <w:rPr>
          <w:rFonts w:ascii="Arial" w:eastAsia="Times New Roman" w:hAnsi="Arial" w:cs="Arial"/>
          <w:kern w:val="0"/>
          <w:sz w:val="22"/>
          <w:szCs w:val="22"/>
          <w14:ligatures w14:val="none"/>
        </w:rPr>
        <w:t xml:space="preserve"> Each time entry must contain a detailed narrative describing the specific task performed, enabling meaningful review. Vague descriptions (e.g.,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Legal research,</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Analysis,</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Meeting</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 xml:space="preserve">) are insufficient. Narratives should provide context </w:t>
      </w:r>
      <w:r w:rsidRPr="00C179FA">
        <w:rPr>
          <w:rFonts w:ascii="Arial" w:eastAsia="Times New Roman" w:hAnsi="Arial" w:cs="Arial"/>
          <w:kern w:val="0"/>
          <w:sz w:val="22"/>
          <w:szCs w:val="22"/>
          <w14:ligatures w14:val="none"/>
        </w:rPr>
        <w:lastRenderedPageBreak/>
        <w:t xml:space="preserve">where appropriate and use consistent terminology. Example: Instead of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Drafted motion,</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 xml:space="preserve"> use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Drafted motion to dismiss based on lack of personal jurisdiction.</w:t>
      </w:r>
      <w:r>
        <w:rPr>
          <w:rFonts w:ascii="Arial" w:eastAsia="Times New Roman" w:hAnsi="Arial" w:cs="Arial"/>
          <w:kern w:val="0"/>
          <w:sz w:val="22"/>
          <w:szCs w:val="22"/>
          <w14:ligatures w14:val="none"/>
        </w:rPr>
        <w:t>”</w:t>
      </w:r>
    </w:p>
    <w:p w14:paraId="4FE7AE57" w14:textId="77777777" w:rsidR="004D63F6" w:rsidRDefault="004D63F6" w:rsidP="004D63F6">
      <w:pPr>
        <w:spacing w:after="0" w:line="240" w:lineRule="auto"/>
        <w:ind w:left="720"/>
        <w:rPr>
          <w:rFonts w:ascii="Arial" w:eastAsia="Times New Roman" w:hAnsi="Arial" w:cs="Arial"/>
          <w:kern w:val="0"/>
          <w:sz w:val="22"/>
          <w:szCs w:val="22"/>
          <w14:ligatures w14:val="none"/>
        </w:rPr>
      </w:pPr>
    </w:p>
    <w:p w14:paraId="0618139B" w14:textId="77777777" w:rsidR="004D63F6" w:rsidRDefault="004D63F6" w:rsidP="004D63F6">
      <w:pPr>
        <w:numPr>
          <w:ilvl w:val="1"/>
          <w:numId w:val="2"/>
        </w:numPr>
        <w:spacing w:after="0" w:line="240" w:lineRule="auto"/>
        <w:rPr>
          <w:rFonts w:ascii="Arial" w:eastAsia="Times New Roman" w:hAnsi="Arial" w:cs="Arial"/>
          <w:kern w:val="0"/>
          <w:sz w:val="22"/>
          <w:szCs w:val="22"/>
          <w14:ligatures w14:val="none"/>
        </w:rPr>
      </w:pPr>
      <w:r>
        <w:rPr>
          <w:rFonts w:ascii="Arial" w:eastAsia="Times New Roman" w:hAnsi="Arial" w:cs="Arial"/>
          <w:b/>
          <w:bCs/>
          <w:kern w:val="0"/>
          <w:sz w:val="22"/>
          <w:szCs w:val="22"/>
          <w14:ligatures w14:val="none"/>
        </w:rPr>
        <w:t xml:space="preserve">Block Billing Prohibited:  </w:t>
      </w:r>
      <w:r>
        <w:rPr>
          <w:rFonts w:ascii="Arial" w:eastAsia="Times New Roman" w:hAnsi="Arial" w:cs="Arial"/>
          <w:kern w:val="0"/>
          <w:sz w:val="22"/>
          <w:szCs w:val="22"/>
          <w14:ligatures w14:val="none"/>
        </w:rPr>
        <w:t>Each time entry must represent a single task or activity.  Grouping multiple distinct tasks into a single time entry (“block billing”) is prohibited.</w:t>
      </w:r>
    </w:p>
    <w:p w14:paraId="64B4C62C" w14:textId="77777777" w:rsidR="004D63F6" w:rsidRDefault="004D63F6" w:rsidP="004D63F6">
      <w:pPr>
        <w:spacing w:after="0" w:line="240" w:lineRule="auto"/>
        <w:ind w:left="1440"/>
        <w:rPr>
          <w:rFonts w:ascii="Arial" w:eastAsia="Times New Roman" w:hAnsi="Arial" w:cs="Arial"/>
          <w:kern w:val="0"/>
          <w:sz w:val="22"/>
          <w:szCs w:val="22"/>
          <w14:ligatures w14:val="none"/>
        </w:rPr>
      </w:pPr>
    </w:p>
    <w:p w14:paraId="06236DEA" w14:textId="77777777" w:rsidR="004D63F6" w:rsidRDefault="004D63F6" w:rsidP="004D63F6">
      <w:pPr>
        <w:numPr>
          <w:ilvl w:val="1"/>
          <w:numId w:val="2"/>
        </w:numPr>
        <w:spacing w:after="0" w:line="240" w:lineRule="auto"/>
        <w:rPr>
          <w:rFonts w:ascii="Arial" w:eastAsia="Times New Roman" w:hAnsi="Arial" w:cs="Arial"/>
          <w:kern w:val="0"/>
          <w:sz w:val="22"/>
          <w:szCs w:val="22"/>
          <w14:ligatures w14:val="none"/>
        </w:rPr>
      </w:pPr>
      <w:r>
        <w:rPr>
          <w:rFonts w:ascii="Arial" w:eastAsia="Times New Roman" w:hAnsi="Arial" w:cs="Arial"/>
          <w:b/>
          <w:bCs/>
          <w:kern w:val="0"/>
          <w:sz w:val="22"/>
          <w:szCs w:val="22"/>
          <w14:ligatures w14:val="none"/>
        </w:rPr>
        <w:t>Basic Legal Research:</w:t>
      </w:r>
      <w:r>
        <w:rPr>
          <w:rFonts w:ascii="Arial" w:eastAsia="Times New Roman" w:hAnsi="Arial" w:cs="Arial"/>
          <w:kern w:val="0"/>
          <w:sz w:val="22"/>
          <w:szCs w:val="22"/>
          <w14:ligatures w14:val="none"/>
        </w:rPr>
        <w:t xml:space="preserve">  Time spent researching fundamental or basic principles of law generally applicable within the relevant jurisdiction is typically not compensable, as this knowledge is expected as part of the counsel’s expertise.  Research on novel issues specific to the matter is acceptable.</w:t>
      </w:r>
    </w:p>
    <w:p w14:paraId="183C5B04" w14:textId="77777777" w:rsidR="004D63F6" w:rsidRPr="00D17AA0" w:rsidRDefault="004D63F6" w:rsidP="004D63F6">
      <w:pPr>
        <w:spacing w:after="0" w:line="240" w:lineRule="auto"/>
        <w:rPr>
          <w:rFonts w:ascii="Arial" w:eastAsia="Times New Roman" w:hAnsi="Arial" w:cs="Arial"/>
          <w:kern w:val="0"/>
          <w:sz w:val="22"/>
          <w:szCs w:val="22"/>
          <w14:ligatures w14:val="none"/>
        </w:rPr>
      </w:pPr>
    </w:p>
    <w:p w14:paraId="5E7C53FC" w14:textId="77777777" w:rsidR="004D63F6" w:rsidRDefault="004D63F6" w:rsidP="004D63F6">
      <w:pPr>
        <w:numPr>
          <w:ilvl w:val="1"/>
          <w:numId w:val="2"/>
        </w:numPr>
        <w:spacing w:after="0" w:line="240" w:lineRule="auto"/>
        <w:rPr>
          <w:rFonts w:ascii="Arial" w:eastAsia="Times New Roman" w:hAnsi="Arial" w:cs="Arial"/>
          <w:kern w:val="0"/>
          <w:sz w:val="22"/>
          <w:szCs w:val="22"/>
          <w14:ligatures w14:val="none"/>
        </w:rPr>
      </w:pPr>
      <w:r w:rsidRPr="00D17AA0">
        <w:rPr>
          <w:rFonts w:ascii="Arial" w:eastAsia="Times New Roman" w:hAnsi="Arial" w:cs="Arial"/>
          <w:b/>
          <w:bCs/>
          <w:kern w:val="0"/>
          <w:sz w:val="22"/>
          <w:szCs w:val="22"/>
          <w14:ligatures w14:val="none"/>
        </w:rPr>
        <w:t>Administrative Tasks:</w:t>
      </w:r>
      <w:r w:rsidRPr="00D17AA0">
        <w:rPr>
          <w:rFonts w:ascii="Arial" w:eastAsia="Times New Roman" w:hAnsi="Arial" w:cs="Arial"/>
          <w:kern w:val="0"/>
          <w:sz w:val="22"/>
          <w:szCs w:val="22"/>
          <w14:ligatures w14:val="none"/>
        </w:rPr>
        <w:t xml:space="preserve"> Tasks that are clerical or administrative in nature should be performed by appropriate administrative staff or paralegals. Time spent by attorneys performing purely administrative or clerical tasks (e.g., photocopying, document organization, scheduling, preparing routine transmittal letters) is [Policy Option 1: </w:t>
      </w:r>
      <w:proofErr w:type="gramStart"/>
      <w:r w:rsidRPr="00D17AA0">
        <w:rPr>
          <w:rFonts w:ascii="Arial" w:eastAsia="Times New Roman" w:hAnsi="Arial" w:cs="Arial"/>
          <w:kern w:val="0"/>
          <w:sz w:val="22"/>
          <w:szCs w:val="22"/>
          <w14:ligatures w14:val="none"/>
        </w:rPr>
        <w:t>generally</w:t>
      </w:r>
      <w:proofErr w:type="gramEnd"/>
      <w:r w:rsidRPr="00D17AA0">
        <w:rPr>
          <w:rFonts w:ascii="Arial" w:eastAsia="Times New Roman" w:hAnsi="Arial" w:cs="Arial"/>
          <w:kern w:val="0"/>
          <w:sz w:val="22"/>
          <w:szCs w:val="22"/>
          <w14:ligatures w14:val="none"/>
        </w:rPr>
        <w:t xml:space="preserve"> not compensable / Policy Option 2: compensable only at a pre-approved paralegal or administrative rate</w:t>
      </w:r>
      <w:r>
        <w:rPr>
          <w:rFonts w:ascii="Arial" w:eastAsia="Times New Roman" w:hAnsi="Arial" w:cs="Arial"/>
          <w:kern w:val="0"/>
          <w:sz w:val="22"/>
          <w:szCs w:val="22"/>
          <w14:ligatures w14:val="none"/>
        </w:rPr>
        <w:t>s</w:t>
      </w:r>
      <w:r w:rsidRPr="00D17AA0">
        <w:rPr>
          <w:rFonts w:ascii="Arial" w:eastAsia="Times New Roman" w:hAnsi="Arial" w:cs="Arial"/>
          <w:kern w:val="0"/>
          <w:sz w:val="22"/>
          <w:szCs w:val="22"/>
          <w14:ligatures w14:val="none"/>
        </w:rPr>
        <w:t>]. Please ensure tasks are delegated to the most appropriate and cost-effective resource level.</w:t>
      </w:r>
    </w:p>
    <w:p w14:paraId="62AED8D7" w14:textId="77777777" w:rsidR="004D63F6" w:rsidRPr="00C179FA" w:rsidRDefault="004D63F6" w:rsidP="004D63F6">
      <w:pPr>
        <w:spacing w:after="0" w:line="240" w:lineRule="auto"/>
        <w:ind w:left="720"/>
        <w:rPr>
          <w:rFonts w:ascii="Arial" w:eastAsia="Times New Roman" w:hAnsi="Arial" w:cs="Arial"/>
          <w:kern w:val="0"/>
          <w:sz w:val="22"/>
          <w:szCs w:val="22"/>
          <w14:ligatures w14:val="none"/>
        </w:rPr>
      </w:pPr>
    </w:p>
    <w:p w14:paraId="68C19854" w14:textId="77777777" w:rsidR="004D63F6" w:rsidRDefault="004D63F6" w:rsidP="004D63F6">
      <w:pPr>
        <w:numPr>
          <w:ilvl w:val="0"/>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Data Structure:</w:t>
      </w:r>
      <w:r w:rsidRPr="00C179FA">
        <w:rPr>
          <w:rFonts w:ascii="Arial" w:eastAsia="Times New Roman" w:hAnsi="Arial" w:cs="Arial"/>
          <w:kern w:val="0"/>
          <w:sz w:val="22"/>
          <w:szCs w:val="22"/>
          <w14:ligatures w14:val="none"/>
        </w:rPr>
        <w:t xml:space="preserve"> Invoices must adhere to [Company Name]'s required format, typically </w:t>
      </w:r>
      <w:r>
        <w:rPr>
          <w:rFonts w:ascii="Arial" w:eastAsia="Times New Roman" w:hAnsi="Arial" w:cs="Arial"/>
          <w:kern w:val="0"/>
          <w:sz w:val="22"/>
          <w:szCs w:val="22"/>
          <w14:ligatures w14:val="none"/>
        </w:rPr>
        <w:t xml:space="preserve">PDF or </w:t>
      </w:r>
      <w:r w:rsidRPr="00C179FA">
        <w:rPr>
          <w:rFonts w:ascii="Arial" w:eastAsia="Times New Roman" w:hAnsi="Arial" w:cs="Arial"/>
          <w:kern w:val="0"/>
          <w:sz w:val="22"/>
          <w:szCs w:val="22"/>
          <w14:ligatures w14:val="none"/>
        </w:rPr>
        <w:t>LEDES. Each invoice must include:</w:t>
      </w:r>
    </w:p>
    <w:p w14:paraId="65FDC1C1"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52FEF0E3" w14:textId="77777777" w:rsidR="004D63F6" w:rsidRPr="00C179FA" w:rsidRDefault="004D63F6" w:rsidP="004D63F6">
      <w:pPr>
        <w:numPr>
          <w:ilvl w:val="1"/>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Correct Matter Name and [Company Name] Matter ID.</w:t>
      </w:r>
    </w:p>
    <w:p w14:paraId="196C2443" w14:textId="77777777" w:rsidR="004D63F6" w:rsidRPr="00C179FA" w:rsidRDefault="004D63F6" w:rsidP="004D63F6">
      <w:pPr>
        <w:numPr>
          <w:ilvl w:val="1"/>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Timekeeper Name, Title/Level, and approved Rate.</w:t>
      </w:r>
    </w:p>
    <w:p w14:paraId="64B7D21D" w14:textId="77777777" w:rsidR="004D63F6" w:rsidRPr="00C179FA" w:rsidRDefault="004D63F6" w:rsidP="004D63F6">
      <w:pPr>
        <w:numPr>
          <w:ilvl w:val="1"/>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Clear itemization of Fees and Expenses.</w:t>
      </w:r>
    </w:p>
    <w:p w14:paraId="7B049014" w14:textId="77777777" w:rsidR="004D63F6" w:rsidRPr="00C179FA" w:rsidRDefault="004D63F6" w:rsidP="004D63F6">
      <w:pPr>
        <w:numPr>
          <w:ilvl w:val="1"/>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Applicable UTBMS codes (if required).</w:t>
      </w:r>
    </w:p>
    <w:p w14:paraId="79183E88" w14:textId="77777777" w:rsidR="004D63F6" w:rsidRPr="00C179FA" w:rsidRDefault="004D63F6" w:rsidP="004D63F6">
      <w:pPr>
        <w:numPr>
          <w:ilvl w:val="1"/>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[Any other required structured fields, e.g., Business Unit codes].</w:t>
      </w:r>
    </w:p>
    <w:p w14:paraId="3223DD92"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24F7EEC0" w14:textId="77777777" w:rsidR="004D63F6" w:rsidRDefault="004D63F6" w:rsidP="004D63F6">
      <w:pPr>
        <w:numPr>
          <w:ilvl w:val="0"/>
          <w:numId w:val="2"/>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Rates:</w:t>
      </w:r>
      <w:r w:rsidRPr="00C179FA">
        <w:rPr>
          <w:rFonts w:ascii="Arial" w:eastAsia="Times New Roman" w:hAnsi="Arial" w:cs="Arial"/>
          <w:kern w:val="0"/>
          <w:sz w:val="22"/>
          <w:szCs w:val="22"/>
          <w14:ligatures w14:val="none"/>
        </w:rPr>
        <w:t xml:space="preserve"> Agreed-upon rates must be reflected accurately. Any discounts or special billing arrangements must be clearly itemized.</w:t>
      </w:r>
    </w:p>
    <w:p w14:paraId="568F04E1" w14:textId="77777777" w:rsidR="004D63F6" w:rsidRPr="00C179FA" w:rsidRDefault="004D63F6" w:rsidP="004D63F6">
      <w:pPr>
        <w:spacing w:after="0" w:line="240" w:lineRule="auto"/>
        <w:ind w:left="360"/>
        <w:rPr>
          <w:rFonts w:ascii="Arial" w:eastAsia="Times New Roman" w:hAnsi="Arial" w:cs="Arial"/>
          <w:kern w:val="0"/>
          <w:sz w:val="22"/>
          <w:szCs w:val="22"/>
          <w14:ligatures w14:val="none"/>
        </w:rPr>
      </w:pPr>
    </w:p>
    <w:p w14:paraId="47BB105E" w14:textId="77777777" w:rsidR="004D63F6" w:rsidRPr="0010245D"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10245D">
        <w:rPr>
          <w:rFonts w:ascii="Arial" w:eastAsia="Times New Roman" w:hAnsi="Arial" w:cs="Arial"/>
          <w:b/>
          <w:bCs/>
          <w:kern w:val="0"/>
          <w:sz w:val="22"/>
          <w:szCs w:val="22"/>
          <w14:ligatures w14:val="none"/>
        </w:rPr>
        <w:t>Billing Rates and Alternative Fee Arrangements (AFAs)</w:t>
      </w:r>
    </w:p>
    <w:p w14:paraId="6E6FBDD0" w14:textId="77777777" w:rsidR="004D63F6" w:rsidRPr="0010245D" w:rsidRDefault="004D63F6" w:rsidP="004D63F6">
      <w:pPr>
        <w:spacing w:after="0" w:line="240" w:lineRule="auto"/>
        <w:rPr>
          <w:rFonts w:ascii="Arial" w:eastAsia="Times New Roman" w:hAnsi="Arial" w:cs="Arial"/>
          <w:kern w:val="0"/>
          <w:sz w:val="22"/>
          <w:szCs w:val="22"/>
          <w14:ligatures w14:val="none"/>
        </w:rPr>
      </w:pPr>
    </w:p>
    <w:p w14:paraId="4FD1C255" w14:textId="77777777" w:rsidR="004D63F6" w:rsidRDefault="004D63F6" w:rsidP="004D63F6">
      <w:pPr>
        <w:numPr>
          <w:ilvl w:val="0"/>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Rate Approval:</w:t>
      </w:r>
      <w:r w:rsidRPr="00C179FA">
        <w:rPr>
          <w:rFonts w:ascii="Arial" w:eastAsia="Times New Roman" w:hAnsi="Arial" w:cs="Arial"/>
          <w:kern w:val="0"/>
          <w:sz w:val="22"/>
          <w:szCs w:val="22"/>
          <w14:ligatures w14:val="none"/>
        </w:rPr>
        <w:t xml:space="preserve"> All timekeeper rates must be agreed upon in writing at the start of an engagement or matter. Requests for rate increases are permitted no more than annually and require [Notice Period, e.g., 90 days] advance written notice and explicit approval from [Name/Title] before taking effect.</w:t>
      </w:r>
    </w:p>
    <w:p w14:paraId="3D1914C4" w14:textId="77777777" w:rsidR="004D63F6" w:rsidRPr="00C179FA" w:rsidRDefault="004D63F6" w:rsidP="004D63F6">
      <w:pPr>
        <w:spacing w:after="0" w:line="240" w:lineRule="auto"/>
        <w:ind w:left="720"/>
        <w:rPr>
          <w:rFonts w:ascii="Arial" w:eastAsia="Times New Roman" w:hAnsi="Arial" w:cs="Arial"/>
          <w:kern w:val="0"/>
          <w:sz w:val="22"/>
          <w:szCs w:val="22"/>
          <w14:ligatures w14:val="none"/>
        </w:rPr>
      </w:pPr>
    </w:p>
    <w:p w14:paraId="063E6D89" w14:textId="77777777" w:rsidR="004D63F6" w:rsidRDefault="004D63F6" w:rsidP="004D63F6">
      <w:pPr>
        <w:numPr>
          <w:ilvl w:val="0"/>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Alternative Fee Arrangements (AFAs):</w:t>
      </w:r>
      <w:r w:rsidRPr="00C179FA">
        <w:rPr>
          <w:rFonts w:ascii="Arial" w:eastAsia="Times New Roman" w:hAnsi="Arial" w:cs="Arial"/>
          <w:kern w:val="0"/>
          <w:sz w:val="22"/>
          <w:szCs w:val="22"/>
          <w14:ligatures w14:val="none"/>
        </w:rPr>
        <w:t xml:space="preserve"> [Company Name] encourages the use of AFAs where appropriate to enhance predictability and align cost with value. We are open to discussing various structures, including:</w:t>
      </w:r>
    </w:p>
    <w:p w14:paraId="23FCDB71"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367B3A25" w14:textId="77777777" w:rsidR="004D63F6" w:rsidRPr="00C179FA" w:rsidRDefault="004D63F6" w:rsidP="004D63F6">
      <w:pPr>
        <w:numPr>
          <w:ilvl w:val="1"/>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Fixed Fees (for predictable scopes).   </w:t>
      </w:r>
    </w:p>
    <w:p w14:paraId="30726AD8" w14:textId="77777777" w:rsidR="004D63F6" w:rsidRPr="00C179FA" w:rsidRDefault="004D63F6" w:rsidP="004D63F6">
      <w:pPr>
        <w:numPr>
          <w:ilvl w:val="1"/>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Capped Fees (where scope has moderate uncertainty).   </w:t>
      </w:r>
    </w:p>
    <w:p w14:paraId="3079AC4C" w14:textId="77777777" w:rsidR="004D63F6" w:rsidRPr="00C179FA" w:rsidRDefault="004D63F6" w:rsidP="004D63F6">
      <w:pPr>
        <w:numPr>
          <w:ilvl w:val="1"/>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Success/Performance Incentives (for outcome-critical matters).   </w:t>
      </w:r>
    </w:p>
    <w:p w14:paraId="46D3B28E" w14:textId="77777777" w:rsidR="004D63F6" w:rsidRPr="00C179FA" w:rsidRDefault="004D63F6" w:rsidP="004D63F6">
      <w:pPr>
        <w:numPr>
          <w:ilvl w:val="1"/>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Blended Rates (to simplify billing for certain matter types).   </w:t>
      </w:r>
    </w:p>
    <w:p w14:paraId="4275CE59" w14:textId="77777777" w:rsidR="004D63F6" w:rsidRDefault="004D63F6" w:rsidP="004D63F6">
      <w:pPr>
        <w:numPr>
          <w:ilvl w:val="1"/>
          <w:numId w:val="3"/>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Retainers (for ongoing, predictable needs). </w:t>
      </w:r>
    </w:p>
    <w:p w14:paraId="3C7A013A" w14:textId="77777777" w:rsidR="004D63F6" w:rsidRDefault="004D63F6" w:rsidP="004D63F6">
      <w:pPr>
        <w:spacing w:after="0" w:line="240" w:lineRule="auto"/>
        <w:rPr>
          <w:rFonts w:ascii="Arial" w:eastAsia="Times New Roman" w:hAnsi="Arial" w:cs="Arial"/>
          <w:kern w:val="0"/>
          <w:sz w:val="22"/>
          <w:szCs w:val="22"/>
          <w14:ligatures w14:val="none"/>
        </w:rPr>
      </w:pPr>
    </w:p>
    <w:p w14:paraId="2F8DE031" w14:textId="77777777" w:rsidR="004D63F6" w:rsidRPr="00C179FA" w:rsidRDefault="004D63F6" w:rsidP="004D63F6">
      <w:pPr>
        <w:spacing w:after="0" w:line="240" w:lineRule="auto"/>
        <w:ind w:left="720"/>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Please proactively identify opportunities for AFAs with the supervising [Company Name] attorney.   </w:t>
      </w:r>
    </w:p>
    <w:p w14:paraId="70DE94A2"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25F90D14" w14:textId="77777777" w:rsidR="004D63F6" w:rsidRDefault="004D63F6" w:rsidP="004D63F6">
      <w:pPr>
        <w:pStyle w:val="ListParagraph"/>
        <w:keepNext/>
        <w:numPr>
          <w:ilvl w:val="0"/>
          <w:numId w:val="7"/>
        </w:numPr>
        <w:spacing w:after="0" w:line="240" w:lineRule="auto"/>
        <w:ind w:left="720"/>
        <w:rPr>
          <w:rFonts w:ascii="Arial" w:eastAsia="Times New Roman" w:hAnsi="Arial" w:cs="Arial"/>
          <w:b/>
          <w:bCs/>
          <w:kern w:val="0"/>
          <w:sz w:val="22"/>
          <w:szCs w:val="22"/>
          <w14:ligatures w14:val="none"/>
        </w:rPr>
      </w:pPr>
      <w:r w:rsidRPr="002555F9">
        <w:rPr>
          <w:rFonts w:ascii="Arial" w:eastAsia="Times New Roman" w:hAnsi="Arial" w:cs="Arial"/>
          <w:b/>
          <w:bCs/>
          <w:kern w:val="0"/>
          <w:sz w:val="22"/>
          <w:szCs w:val="22"/>
          <w14:ligatures w14:val="none"/>
        </w:rPr>
        <w:t>Expense Management</w:t>
      </w:r>
    </w:p>
    <w:p w14:paraId="5E778644" w14:textId="77777777" w:rsidR="004D63F6" w:rsidRPr="002555F9" w:rsidRDefault="004D63F6" w:rsidP="004D63F6">
      <w:pPr>
        <w:keepNext/>
        <w:spacing w:after="0" w:line="240" w:lineRule="auto"/>
        <w:rPr>
          <w:rFonts w:ascii="Arial" w:eastAsia="Times New Roman" w:hAnsi="Arial" w:cs="Arial"/>
          <w:b/>
          <w:bCs/>
          <w:kern w:val="0"/>
          <w:sz w:val="22"/>
          <w:szCs w:val="22"/>
          <w14:ligatures w14:val="none"/>
        </w:rPr>
      </w:pPr>
    </w:p>
    <w:p w14:paraId="2A66BBEA" w14:textId="77777777" w:rsidR="004D63F6" w:rsidRDefault="004D63F6" w:rsidP="004D63F6">
      <w:pPr>
        <w:numPr>
          <w:ilvl w:val="0"/>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General Policy:</w:t>
      </w:r>
      <w:r w:rsidRPr="00C179FA">
        <w:rPr>
          <w:rFonts w:ascii="Arial" w:eastAsia="Times New Roman" w:hAnsi="Arial" w:cs="Arial"/>
          <w:kern w:val="0"/>
          <w:sz w:val="22"/>
          <w:szCs w:val="22"/>
          <w14:ligatures w14:val="none"/>
        </w:rPr>
        <w:t xml:space="preserve"> Expenses must be reasonable, necessary, and directly related to the provision of legal services for the specific matter. Expenses will be reimbursed at actual cost with no markup, unless otherwise agreed in writing. Detailed receipts are required for any single expense exceeding [Dollar Threshold, e.g., $75].</w:t>
      </w:r>
    </w:p>
    <w:p w14:paraId="4243D859"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3FCFAE17" w14:textId="77777777" w:rsidR="004D63F6" w:rsidRDefault="004D63F6" w:rsidP="004D63F6">
      <w:pPr>
        <w:numPr>
          <w:ilvl w:val="0"/>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Specific Expense Types:</w:t>
      </w:r>
    </w:p>
    <w:p w14:paraId="1D568771"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1B96C0C9" w14:textId="77777777" w:rsidR="004D63F6" w:rsidRDefault="004D63F6" w:rsidP="004D63F6">
      <w:pPr>
        <w:numPr>
          <w:ilvl w:val="1"/>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i/>
          <w:iCs/>
          <w:kern w:val="0"/>
          <w:sz w:val="22"/>
          <w:szCs w:val="22"/>
          <w14:ligatures w14:val="none"/>
        </w:rPr>
        <w:t>Travel:</w:t>
      </w:r>
      <w:r w:rsidRPr="00C179FA">
        <w:rPr>
          <w:rFonts w:ascii="Arial" w:eastAsia="Times New Roman" w:hAnsi="Arial" w:cs="Arial"/>
          <w:kern w:val="0"/>
          <w:sz w:val="22"/>
          <w:szCs w:val="22"/>
          <w14:ligatures w14:val="none"/>
        </w:rPr>
        <w:t xml:space="preserve"> Travel requires pre-approval if estimated to exceed [Dollar Threshold, e.g., $1,000]. All travel must adhere to [Company Name]'s Corporate Travel &amp; Expense Policy [Link to Policy or state key limits, e.g., coach airfare, standard room rates]. Travel time is [Billable/Non-Billable/Partially Billable - specify conditions, e.g., billable at 50% of standard rate].</w:t>
      </w:r>
    </w:p>
    <w:p w14:paraId="016EA47B" w14:textId="77777777" w:rsidR="004D63F6" w:rsidRPr="00C179FA" w:rsidRDefault="004D63F6" w:rsidP="004D63F6">
      <w:pPr>
        <w:spacing w:after="0" w:line="240" w:lineRule="auto"/>
        <w:ind w:left="1080"/>
        <w:rPr>
          <w:rFonts w:ascii="Arial" w:eastAsia="Times New Roman" w:hAnsi="Arial" w:cs="Arial"/>
          <w:kern w:val="0"/>
          <w:sz w:val="22"/>
          <w:szCs w:val="22"/>
          <w14:ligatures w14:val="none"/>
        </w:rPr>
      </w:pPr>
    </w:p>
    <w:p w14:paraId="0CA8C4C6" w14:textId="77777777" w:rsidR="004D63F6" w:rsidRDefault="004D63F6" w:rsidP="004D63F6">
      <w:pPr>
        <w:numPr>
          <w:ilvl w:val="1"/>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i/>
          <w:iCs/>
          <w:kern w:val="0"/>
          <w:sz w:val="22"/>
          <w:szCs w:val="22"/>
          <w14:ligatures w14:val="none"/>
        </w:rPr>
        <w:t>Research Services:</w:t>
      </w:r>
      <w:r w:rsidRPr="00C179FA">
        <w:rPr>
          <w:rFonts w:ascii="Arial" w:eastAsia="Times New Roman" w:hAnsi="Arial" w:cs="Arial"/>
          <w:kern w:val="0"/>
          <w:sz w:val="22"/>
          <w:szCs w:val="22"/>
          <w14:ligatures w14:val="none"/>
        </w:rPr>
        <w:t xml:space="preserve"> Charges for online legal research (e.g., Westlaw, LexisNexis) are [Policy, e.g., generally not reimbursable / reimbursable at cost / subject to a flat monthly fee per matter of $[Amount]].</w:t>
      </w:r>
    </w:p>
    <w:p w14:paraId="41919B59"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0A018C40" w14:textId="77777777" w:rsidR="004D63F6" w:rsidRDefault="004D63F6" w:rsidP="004D63F6">
      <w:pPr>
        <w:numPr>
          <w:ilvl w:val="1"/>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i/>
          <w:iCs/>
          <w:kern w:val="0"/>
          <w:sz w:val="22"/>
          <w:szCs w:val="22"/>
          <w14:ligatures w14:val="none"/>
        </w:rPr>
        <w:t>Copying/Printing:</w:t>
      </w:r>
      <w:r w:rsidRPr="00C179FA">
        <w:rPr>
          <w:rFonts w:ascii="Arial" w:eastAsia="Times New Roman" w:hAnsi="Arial" w:cs="Arial"/>
          <w:kern w:val="0"/>
          <w:sz w:val="22"/>
          <w:szCs w:val="22"/>
          <w14:ligatures w14:val="none"/>
        </w:rPr>
        <w:t xml:space="preserve"> Internal copying and printing are considered overhead and generally not reimbursable. External vendor costs require justification.</w:t>
      </w:r>
    </w:p>
    <w:p w14:paraId="786E2620"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34B98047" w14:textId="77777777" w:rsidR="004D63F6" w:rsidRDefault="004D63F6" w:rsidP="004D63F6">
      <w:pPr>
        <w:numPr>
          <w:ilvl w:val="1"/>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i/>
          <w:iCs/>
          <w:kern w:val="0"/>
          <w:sz w:val="22"/>
          <w:szCs w:val="22"/>
          <w14:ligatures w14:val="none"/>
        </w:rPr>
        <w:t>Court Fees/Filings:</w:t>
      </w:r>
      <w:r w:rsidRPr="00C179FA">
        <w:rPr>
          <w:rFonts w:ascii="Arial" w:eastAsia="Times New Roman" w:hAnsi="Arial" w:cs="Arial"/>
          <w:kern w:val="0"/>
          <w:sz w:val="22"/>
          <w:szCs w:val="22"/>
          <w14:ligatures w14:val="none"/>
        </w:rPr>
        <w:t xml:space="preserve"> Reimbursable at cost.</w:t>
      </w:r>
    </w:p>
    <w:p w14:paraId="4B7AF7CA"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4780CB9C" w14:textId="77777777" w:rsidR="004D63F6" w:rsidRDefault="004D63F6" w:rsidP="004D63F6">
      <w:pPr>
        <w:numPr>
          <w:ilvl w:val="1"/>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i/>
          <w:iCs/>
          <w:kern w:val="0"/>
          <w:sz w:val="22"/>
          <w:szCs w:val="22"/>
          <w14:ligatures w14:val="none"/>
        </w:rPr>
        <w:t>Third-Party Vendors:</w:t>
      </w:r>
      <w:r w:rsidRPr="00C179FA">
        <w:rPr>
          <w:rFonts w:ascii="Arial" w:eastAsia="Times New Roman" w:hAnsi="Arial" w:cs="Arial"/>
          <w:kern w:val="0"/>
          <w:sz w:val="22"/>
          <w:szCs w:val="22"/>
          <w14:ligatures w14:val="none"/>
        </w:rPr>
        <w:t xml:space="preserve"> Engagement of significant third-party vendors (e.g., experts, e-discovery providers, contract attorneys) requires pre-approval from the supervising [Company Name] attorney.</w:t>
      </w:r>
    </w:p>
    <w:p w14:paraId="33100799"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09004FF4" w14:textId="77777777" w:rsidR="004D63F6" w:rsidRDefault="004D63F6" w:rsidP="004D63F6">
      <w:pPr>
        <w:numPr>
          <w:ilvl w:val="0"/>
          <w:numId w:val="4"/>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Pre-Approval:</w:t>
      </w:r>
      <w:r w:rsidRPr="00C179FA">
        <w:rPr>
          <w:rFonts w:ascii="Arial" w:eastAsia="Times New Roman" w:hAnsi="Arial" w:cs="Arial"/>
          <w:kern w:val="0"/>
          <w:sz w:val="22"/>
          <w:szCs w:val="22"/>
          <w14:ligatures w14:val="none"/>
        </w:rPr>
        <w:t xml:space="preserve"> Pre-approval from the supervising [Company Name] attorney is required for any single expense exceeding [Dollar Threshold, e.g., $500] or for specific categories as noted above.</w:t>
      </w:r>
    </w:p>
    <w:p w14:paraId="6C07EF2C"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076F5948" w14:textId="77777777" w:rsidR="004D63F6"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2555F9">
        <w:rPr>
          <w:rFonts w:ascii="Arial" w:eastAsia="Times New Roman" w:hAnsi="Arial" w:cs="Arial"/>
          <w:b/>
          <w:bCs/>
          <w:kern w:val="0"/>
          <w:sz w:val="22"/>
          <w:szCs w:val="22"/>
          <w14:ligatures w14:val="none"/>
        </w:rPr>
        <w:t>Billing Process and Compliance</w:t>
      </w:r>
    </w:p>
    <w:p w14:paraId="55C0E104" w14:textId="77777777" w:rsidR="004D63F6" w:rsidRPr="002555F9" w:rsidRDefault="004D63F6" w:rsidP="004D63F6">
      <w:pPr>
        <w:spacing w:after="0" w:line="240" w:lineRule="auto"/>
        <w:rPr>
          <w:rFonts w:ascii="Arial" w:eastAsia="Times New Roman" w:hAnsi="Arial" w:cs="Arial"/>
          <w:b/>
          <w:bCs/>
          <w:kern w:val="0"/>
          <w:sz w:val="22"/>
          <w:szCs w:val="22"/>
          <w14:ligatures w14:val="none"/>
        </w:rPr>
      </w:pPr>
    </w:p>
    <w:p w14:paraId="638549B1" w14:textId="77777777" w:rsidR="004D63F6" w:rsidRDefault="004D63F6" w:rsidP="004D63F6">
      <w:pPr>
        <w:numPr>
          <w:ilvl w:val="0"/>
          <w:numId w:val="5"/>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Invoice Submission:</w:t>
      </w:r>
      <w:r w:rsidRPr="00C179FA">
        <w:rPr>
          <w:rFonts w:ascii="Arial" w:eastAsia="Times New Roman" w:hAnsi="Arial" w:cs="Arial"/>
          <w:kern w:val="0"/>
          <w:sz w:val="22"/>
          <w:szCs w:val="22"/>
          <w14:ligatures w14:val="none"/>
        </w:rPr>
        <w:t xml:space="preserve"> Invoices must be submitted electronically via [</w:t>
      </w:r>
      <w:r>
        <w:rPr>
          <w:rFonts w:ascii="Arial" w:eastAsia="Times New Roman" w:hAnsi="Arial" w:cs="Arial"/>
          <w:kern w:val="0"/>
          <w:sz w:val="22"/>
          <w:szCs w:val="22"/>
          <w14:ligatures w14:val="none"/>
        </w:rPr>
        <w:t xml:space="preserve">Email or </w:t>
      </w:r>
      <w:r w:rsidRPr="00C179FA">
        <w:rPr>
          <w:rFonts w:ascii="Arial" w:eastAsia="Times New Roman" w:hAnsi="Arial" w:cs="Arial"/>
          <w:kern w:val="0"/>
          <w:sz w:val="22"/>
          <w:szCs w:val="22"/>
          <w14:ligatures w14:val="none"/>
        </w:rPr>
        <w:t xml:space="preserve">E-billing System Name] </w:t>
      </w:r>
      <w:proofErr w:type="gramStart"/>
      <w:r w:rsidRPr="00C179FA">
        <w:rPr>
          <w:rFonts w:ascii="Arial" w:eastAsia="Times New Roman" w:hAnsi="Arial" w:cs="Arial"/>
          <w:kern w:val="0"/>
          <w:sz w:val="22"/>
          <w:szCs w:val="22"/>
          <w14:ligatures w14:val="none"/>
        </w:rPr>
        <w:t>on a monthly basis</w:t>
      </w:r>
      <w:proofErr w:type="gramEnd"/>
      <w:r w:rsidRPr="00C179FA">
        <w:rPr>
          <w:rFonts w:ascii="Arial" w:eastAsia="Times New Roman" w:hAnsi="Arial" w:cs="Arial"/>
          <w:kern w:val="0"/>
          <w:sz w:val="22"/>
          <w:szCs w:val="22"/>
          <w14:ligatures w14:val="none"/>
        </w:rPr>
        <w:t>, typically within [Number, e.g., 15-30] days of the end of the month in which services were rendered. Invoices submitted more than [Number, e.g., 90] days after the service period may be rejected or adjusted.</w:t>
      </w:r>
    </w:p>
    <w:p w14:paraId="0B68F314" w14:textId="77777777" w:rsidR="004D63F6" w:rsidRPr="00C179FA" w:rsidRDefault="004D63F6" w:rsidP="004D63F6">
      <w:pPr>
        <w:spacing w:after="0" w:line="240" w:lineRule="auto"/>
        <w:ind w:left="360"/>
        <w:rPr>
          <w:rFonts w:ascii="Arial" w:eastAsia="Times New Roman" w:hAnsi="Arial" w:cs="Arial"/>
          <w:kern w:val="0"/>
          <w:sz w:val="22"/>
          <w:szCs w:val="22"/>
          <w14:ligatures w14:val="none"/>
        </w:rPr>
      </w:pPr>
    </w:p>
    <w:p w14:paraId="54420FB2" w14:textId="77777777" w:rsidR="004D63F6" w:rsidRDefault="004D63F6" w:rsidP="004D63F6">
      <w:pPr>
        <w:numPr>
          <w:ilvl w:val="0"/>
          <w:numId w:val="5"/>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Compliance Review:</w:t>
      </w:r>
      <w:r w:rsidRPr="00C179FA">
        <w:rPr>
          <w:rFonts w:ascii="Arial" w:eastAsia="Times New Roman" w:hAnsi="Arial" w:cs="Arial"/>
          <w:kern w:val="0"/>
          <w:sz w:val="22"/>
          <w:szCs w:val="22"/>
          <w14:ligatures w14:val="none"/>
        </w:rPr>
        <w:t xml:space="preserve"> Invoices will be reviewed for compliance with these Guidelines. [Company Name] utilizes [mention tool/process, e.g., its e-billing system, potentially leveraging automated checks including AI-powered review] to facilitate this process. Non-compliant charges may be adjusted or rejected.</w:t>
      </w:r>
    </w:p>
    <w:p w14:paraId="0560F9CF" w14:textId="77777777" w:rsidR="004D63F6" w:rsidRPr="00F77E16" w:rsidRDefault="004D63F6" w:rsidP="004D63F6">
      <w:pPr>
        <w:spacing w:after="0" w:line="240" w:lineRule="auto"/>
        <w:rPr>
          <w:rFonts w:ascii="Arial" w:eastAsia="Times New Roman" w:hAnsi="Arial" w:cs="Arial"/>
          <w:kern w:val="0"/>
          <w:sz w:val="22"/>
          <w:szCs w:val="22"/>
          <w14:ligatures w14:val="none"/>
        </w:rPr>
      </w:pPr>
    </w:p>
    <w:p w14:paraId="745C1B04" w14:textId="77777777" w:rsidR="004D63F6" w:rsidRDefault="004D63F6" w:rsidP="004D63F6">
      <w:pPr>
        <w:numPr>
          <w:ilvl w:val="1"/>
          <w:numId w:val="5"/>
        </w:numPr>
        <w:spacing w:after="0" w:line="240" w:lineRule="auto"/>
        <w:rPr>
          <w:rFonts w:ascii="Arial" w:eastAsia="Times New Roman" w:hAnsi="Arial" w:cs="Arial"/>
          <w:kern w:val="0"/>
          <w:sz w:val="22"/>
          <w:szCs w:val="22"/>
          <w14:ligatures w14:val="none"/>
        </w:rPr>
      </w:pPr>
      <w:r>
        <w:rPr>
          <w:rFonts w:ascii="Arial" w:eastAsia="Times New Roman" w:hAnsi="Arial" w:cs="Arial"/>
          <w:b/>
          <w:bCs/>
          <w:kern w:val="0"/>
          <w:sz w:val="22"/>
          <w:szCs w:val="22"/>
          <w14:ligatures w14:val="none"/>
        </w:rPr>
        <w:t xml:space="preserve">Maximum Hours Per Day: </w:t>
      </w:r>
      <w:r w:rsidRPr="00F77E16">
        <w:rPr>
          <w:rFonts w:ascii="Arial" w:eastAsia="Times New Roman" w:hAnsi="Arial" w:cs="Arial"/>
          <w:kern w:val="0"/>
          <w:sz w:val="22"/>
          <w:szCs w:val="22"/>
          <w14:ligatures w14:val="none"/>
        </w:rPr>
        <w:t>Time billed by any single timekeeper should not exceed [Number, e.g., 10] hours in a single calendar day without prior written approval from the supervising [Company Name] attorney. Justification will be required for exceptions.</w:t>
      </w:r>
    </w:p>
    <w:p w14:paraId="0C8557BA" w14:textId="77777777" w:rsidR="004D63F6" w:rsidRPr="00F77E16" w:rsidRDefault="004D63F6" w:rsidP="004D63F6">
      <w:pPr>
        <w:spacing w:after="0" w:line="240" w:lineRule="auto"/>
        <w:ind w:left="1080"/>
        <w:rPr>
          <w:rFonts w:ascii="Arial" w:eastAsia="Times New Roman" w:hAnsi="Arial" w:cs="Arial"/>
          <w:kern w:val="0"/>
          <w:sz w:val="22"/>
          <w:szCs w:val="22"/>
          <w14:ligatures w14:val="none"/>
        </w:rPr>
      </w:pPr>
    </w:p>
    <w:p w14:paraId="72832401" w14:textId="77777777" w:rsidR="004D63F6" w:rsidRDefault="004D63F6" w:rsidP="004D63F6">
      <w:pPr>
        <w:numPr>
          <w:ilvl w:val="1"/>
          <w:numId w:val="5"/>
        </w:numPr>
        <w:spacing w:after="0" w:line="240" w:lineRule="auto"/>
        <w:rPr>
          <w:rFonts w:ascii="Arial" w:eastAsia="Times New Roman" w:hAnsi="Arial" w:cs="Arial"/>
          <w:kern w:val="0"/>
          <w:sz w:val="22"/>
          <w:szCs w:val="22"/>
          <w14:ligatures w14:val="none"/>
        </w:rPr>
      </w:pPr>
      <w:r w:rsidRPr="00F77E16">
        <w:rPr>
          <w:rFonts w:ascii="Arial" w:eastAsia="Times New Roman" w:hAnsi="Arial" w:cs="Arial"/>
          <w:b/>
          <w:bCs/>
          <w:kern w:val="0"/>
          <w:sz w:val="22"/>
          <w:szCs w:val="22"/>
          <w14:ligatures w14:val="none"/>
        </w:rPr>
        <w:lastRenderedPageBreak/>
        <w:t>Internal Communications:</w:t>
      </w:r>
      <w:r w:rsidRPr="00F77E16">
        <w:rPr>
          <w:rFonts w:ascii="Arial" w:eastAsia="Times New Roman" w:hAnsi="Arial" w:cs="Arial"/>
          <w:kern w:val="0"/>
          <w:sz w:val="22"/>
          <w:szCs w:val="22"/>
          <w14:ligatures w14:val="none"/>
        </w:rPr>
        <w:t xml:space="preserve"> Time spent on internal firm communications (e.g., intra-office conferencing, discussions between attorneys) should be billed judiciously and only when necessary for the progression of the matter. Routine internal administrative communications are generally not compensable. Justification may be requested for significant internal communication time.</w:t>
      </w:r>
    </w:p>
    <w:p w14:paraId="2C09255D" w14:textId="77777777" w:rsidR="004D63F6" w:rsidRPr="00A20193" w:rsidRDefault="004D63F6" w:rsidP="004D63F6">
      <w:pPr>
        <w:spacing w:after="0" w:line="240" w:lineRule="auto"/>
        <w:rPr>
          <w:rFonts w:ascii="Arial" w:eastAsia="Times New Roman" w:hAnsi="Arial" w:cs="Arial"/>
          <w:kern w:val="0"/>
          <w:sz w:val="22"/>
          <w:szCs w:val="22"/>
          <w14:ligatures w14:val="none"/>
        </w:rPr>
      </w:pPr>
    </w:p>
    <w:p w14:paraId="75EB22F2" w14:textId="77777777" w:rsidR="004D63F6" w:rsidRDefault="004D63F6" w:rsidP="004D63F6">
      <w:pPr>
        <w:numPr>
          <w:ilvl w:val="1"/>
          <w:numId w:val="5"/>
        </w:numPr>
        <w:spacing w:after="0" w:line="240" w:lineRule="auto"/>
        <w:rPr>
          <w:rFonts w:ascii="Arial" w:eastAsia="Times New Roman" w:hAnsi="Arial" w:cs="Arial"/>
          <w:kern w:val="0"/>
          <w:sz w:val="22"/>
          <w:szCs w:val="22"/>
          <w14:ligatures w14:val="none"/>
        </w:rPr>
      </w:pPr>
      <w:r w:rsidRPr="00A20193">
        <w:rPr>
          <w:rFonts w:ascii="Arial" w:eastAsia="Times New Roman" w:hAnsi="Arial" w:cs="Arial"/>
          <w:b/>
          <w:bCs/>
          <w:kern w:val="0"/>
          <w:sz w:val="22"/>
          <w:szCs w:val="22"/>
          <w14:ligatures w14:val="none"/>
        </w:rPr>
        <w:t>Multiple Timekeepers in Meetings/Calls:</w:t>
      </w:r>
      <w:r w:rsidRPr="00A20193">
        <w:rPr>
          <w:rFonts w:ascii="Arial" w:eastAsia="Times New Roman" w:hAnsi="Arial" w:cs="Arial"/>
          <w:kern w:val="0"/>
          <w:sz w:val="22"/>
          <w:szCs w:val="22"/>
          <w14:ligatures w14:val="none"/>
        </w:rPr>
        <w:t xml:space="preserve"> Billing for multiple timekeepers attending the same meeting or call (internal or external) requires justification based on the distinct contribution and necessity of each attendee. Prior approval may be required for meetings/calls involving more than [Number, e.g., 2-3] timekeepers from the firm.</w:t>
      </w:r>
    </w:p>
    <w:p w14:paraId="58A886AA"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5442FF0C" w14:textId="77777777" w:rsidR="004D63F6" w:rsidRDefault="004D63F6" w:rsidP="004D63F6">
      <w:pPr>
        <w:numPr>
          <w:ilvl w:val="0"/>
          <w:numId w:val="5"/>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Addressing Non-Compliance:</w:t>
      </w:r>
      <w:r w:rsidRPr="00C179FA">
        <w:rPr>
          <w:rFonts w:ascii="Arial" w:eastAsia="Times New Roman" w:hAnsi="Arial" w:cs="Arial"/>
          <w:kern w:val="0"/>
          <w:sz w:val="22"/>
          <w:szCs w:val="22"/>
          <w14:ligatures w14:val="none"/>
        </w:rPr>
        <w:t xml:space="preserve"> Issues identified during review will be communicated to the billing contact at your firm. Repeated non-compliance may affect the relationship. Exceptions to these Guidelines require advance written approval from [Name/Title].</w:t>
      </w:r>
    </w:p>
    <w:p w14:paraId="293F60A7" w14:textId="77777777" w:rsidR="004D63F6" w:rsidRPr="00C179FA" w:rsidRDefault="004D63F6" w:rsidP="004D63F6">
      <w:p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 xml:space="preserve"> </w:t>
      </w:r>
    </w:p>
    <w:p w14:paraId="7F6BB2B7" w14:textId="77777777" w:rsidR="004D63F6"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2555F9">
        <w:rPr>
          <w:rFonts w:ascii="Arial" w:eastAsia="Times New Roman" w:hAnsi="Arial" w:cs="Arial"/>
          <w:b/>
          <w:bCs/>
          <w:kern w:val="0"/>
          <w:sz w:val="22"/>
          <w:szCs w:val="22"/>
          <w14:ligatures w14:val="none"/>
        </w:rPr>
        <w:t>Use of Artificial Intelligence (AI)</w:t>
      </w:r>
    </w:p>
    <w:p w14:paraId="61B424B1" w14:textId="77777777" w:rsidR="004D63F6" w:rsidRDefault="004D63F6" w:rsidP="004D63F6">
      <w:pPr>
        <w:spacing w:after="0" w:line="240" w:lineRule="auto"/>
        <w:rPr>
          <w:rFonts w:ascii="Arial" w:eastAsia="Times New Roman" w:hAnsi="Arial" w:cs="Arial"/>
          <w:b/>
          <w:bCs/>
          <w:kern w:val="0"/>
          <w:sz w:val="22"/>
          <w:szCs w:val="22"/>
          <w14:ligatures w14:val="none"/>
        </w:rPr>
      </w:pPr>
    </w:p>
    <w:p w14:paraId="56F09110" w14:textId="77777777" w:rsidR="004D63F6" w:rsidRPr="00D823A5" w:rsidRDefault="004D63F6" w:rsidP="004D63F6">
      <w:pPr>
        <w:spacing w:after="0" w:line="240" w:lineRule="auto"/>
        <w:rPr>
          <w:rFonts w:ascii="Arial" w:eastAsia="Times New Roman" w:hAnsi="Arial" w:cs="Arial"/>
          <w:kern w:val="0"/>
          <w:sz w:val="22"/>
          <w:szCs w:val="22"/>
          <w14:ligatures w14:val="none"/>
        </w:rPr>
      </w:pPr>
      <w:r w:rsidRPr="00D823A5">
        <w:rPr>
          <w:rFonts w:ascii="Arial" w:eastAsia="Times New Roman" w:hAnsi="Arial" w:cs="Arial"/>
          <w:kern w:val="0"/>
          <w:sz w:val="22"/>
          <w:szCs w:val="22"/>
          <w14:ligatures w14:val="none"/>
        </w:rPr>
        <w:t>[Company Name] encourages the appropriate use of artificial intelligence tools where such use can enhance efficiency, reduce costs, or improve the quality of legal services, consistent with the obligations outlined below. We view the thoughtful application of technology, including AI, as beneficial to our collaborative relationship.</w:t>
      </w:r>
    </w:p>
    <w:p w14:paraId="65F9E8D4" w14:textId="77777777" w:rsidR="004D63F6" w:rsidRPr="00D545C2" w:rsidRDefault="004D63F6" w:rsidP="004D63F6">
      <w:pPr>
        <w:spacing w:after="0" w:line="240" w:lineRule="auto"/>
        <w:rPr>
          <w:rFonts w:ascii="Arial" w:eastAsia="Times New Roman" w:hAnsi="Arial" w:cs="Arial"/>
          <w:kern w:val="0"/>
          <w:sz w:val="22"/>
          <w:szCs w:val="22"/>
          <w14:ligatures w14:val="none"/>
        </w:rPr>
      </w:pPr>
    </w:p>
    <w:p w14:paraId="3F65FAF0" w14:textId="77777777" w:rsidR="004D63F6" w:rsidRDefault="004D63F6" w:rsidP="004D63F6">
      <w:pPr>
        <w:numPr>
          <w:ilvl w:val="0"/>
          <w:numId w:val="6"/>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Disclosure:</w:t>
      </w:r>
      <w:r w:rsidRPr="00C179FA">
        <w:rPr>
          <w:rFonts w:ascii="Arial" w:eastAsia="Times New Roman" w:hAnsi="Arial" w:cs="Arial"/>
          <w:kern w:val="0"/>
          <w:sz w:val="22"/>
          <w:szCs w:val="22"/>
          <w14:ligatures w14:val="none"/>
        </w:rPr>
        <w:t xml:space="preserve"> Outside counsel must disclose the use of generative AI tools for substantive legal work performed on [Company Name] matters, specifying the tool used and the task performed (e.g., </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Used [AI Tool Name] to generate initial draft of discovery responses</w:t>
      </w:r>
      <w:r>
        <w:rPr>
          <w:rFonts w:ascii="Arial" w:eastAsia="Times New Roman" w:hAnsi="Arial" w:cs="Arial"/>
          <w:kern w:val="0"/>
          <w:sz w:val="22"/>
          <w:szCs w:val="22"/>
          <w14:ligatures w14:val="none"/>
        </w:rPr>
        <w:t>”</w:t>
      </w:r>
      <w:r w:rsidRPr="00C179FA">
        <w:rPr>
          <w:rFonts w:ascii="Arial" w:eastAsia="Times New Roman" w:hAnsi="Arial" w:cs="Arial"/>
          <w:kern w:val="0"/>
          <w:sz w:val="22"/>
          <w:szCs w:val="22"/>
          <w14:ligatures w14:val="none"/>
        </w:rPr>
        <w:t>).</w:t>
      </w:r>
    </w:p>
    <w:p w14:paraId="46588E92" w14:textId="77777777" w:rsidR="004D63F6" w:rsidRPr="00C179FA" w:rsidRDefault="004D63F6" w:rsidP="004D63F6">
      <w:pPr>
        <w:spacing w:after="0" w:line="240" w:lineRule="auto"/>
        <w:ind w:left="360"/>
        <w:rPr>
          <w:rFonts w:ascii="Arial" w:eastAsia="Times New Roman" w:hAnsi="Arial" w:cs="Arial"/>
          <w:kern w:val="0"/>
          <w:sz w:val="22"/>
          <w:szCs w:val="22"/>
          <w14:ligatures w14:val="none"/>
        </w:rPr>
      </w:pPr>
    </w:p>
    <w:p w14:paraId="4E625885" w14:textId="77777777" w:rsidR="004D63F6" w:rsidRDefault="004D63F6" w:rsidP="004D63F6">
      <w:pPr>
        <w:numPr>
          <w:ilvl w:val="0"/>
          <w:numId w:val="6"/>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Attorney Oversight:</w:t>
      </w:r>
      <w:r w:rsidRPr="00C179FA">
        <w:rPr>
          <w:rFonts w:ascii="Arial" w:eastAsia="Times New Roman" w:hAnsi="Arial" w:cs="Arial"/>
          <w:kern w:val="0"/>
          <w:sz w:val="22"/>
          <w:szCs w:val="22"/>
          <w14:ligatures w14:val="none"/>
        </w:rPr>
        <w:t xml:space="preserve"> While AI may be used for efficiency, all AI-generated work product must be carefully reviewed, verified, and supervised by qualified attorneys. Counsel retains full responsibility for the accuracy, ethical implications, and quality of all work product submitted.</w:t>
      </w:r>
    </w:p>
    <w:p w14:paraId="2DEACC38"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23A95B62" w14:textId="77777777" w:rsidR="004D63F6" w:rsidRDefault="004D63F6" w:rsidP="004D63F6">
      <w:pPr>
        <w:numPr>
          <w:ilvl w:val="0"/>
          <w:numId w:val="6"/>
        </w:numPr>
        <w:spacing w:after="0" w:line="240" w:lineRule="auto"/>
        <w:rPr>
          <w:rFonts w:ascii="Arial" w:eastAsia="Times New Roman" w:hAnsi="Arial" w:cs="Arial"/>
          <w:kern w:val="0"/>
          <w:sz w:val="22"/>
          <w:szCs w:val="22"/>
          <w14:ligatures w14:val="none"/>
        </w:rPr>
      </w:pPr>
      <w:r w:rsidRPr="00C179FA">
        <w:rPr>
          <w:rFonts w:ascii="Arial" w:eastAsia="Times New Roman" w:hAnsi="Arial" w:cs="Arial"/>
          <w:b/>
          <w:bCs/>
          <w:kern w:val="0"/>
          <w:sz w:val="22"/>
          <w:szCs w:val="22"/>
          <w14:ligatures w14:val="none"/>
        </w:rPr>
        <w:t>Confidentiality &amp; Data Security:</w:t>
      </w:r>
      <w:r w:rsidRPr="00C179FA">
        <w:rPr>
          <w:rFonts w:ascii="Arial" w:eastAsia="Times New Roman" w:hAnsi="Arial" w:cs="Arial"/>
          <w:kern w:val="0"/>
          <w:sz w:val="22"/>
          <w:szCs w:val="22"/>
          <w14:ligatures w14:val="none"/>
        </w:rPr>
        <w:t xml:space="preserve"> Counsel is responsible for ensuring that any use of AI tools complies with all applicable confidentiality, data privacy, and security obligations, safeguarding [Company Name]'s information and preserving privilege. Billing related to AI tools (e.g., subscription costs) should be discussed in advance and is subject to the Expense Management policy.</w:t>
      </w:r>
    </w:p>
    <w:p w14:paraId="33238CAE" w14:textId="77777777" w:rsidR="004D63F6" w:rsidRPr="00C179FA" w:rsidRDefault="004D63F6" w:rsidP="004D63F6">
      <w:pPr>
        <w:spacing w:after="0" w:line="240" w:lineRule="auto"/>
        <w:rPr>
          <w:rFonts w:ascii="Arial" w:eastAsia="Times New Roman" w:hAnsi="Arial" w:cs="Arial"/>
          <w:kern w:val="0"/>
          <w:sz w:val="22"/>
          <w:szCs w:val="22"/>
          <w14:ligatures w14:val="none"/>
        </w:rPr>
      </w:pPr>
    </w:p>
    <w:p w14:paraId="75D8AD06" w14:textId="77777777" w:rsidR="004D63F6" w:rsidRDefault="004D63F6" w:rsidP="004D63F6">
      <w:pPr>
        <w:pStyle w:val="ListParagraph"/>
        <w:numPr>
          <w:ilvl w:val="0"/>
          <w:numId w:val="7"/>
        </w:numPr>
        <w:spacing w:after="0" w:line="240" w:lineRule="auto"/>
        <w:ind w:left="720"/>
        <w:rPr>
          <w:rFonts w:ascii="Arial" w:eastAsia="Times New Roman" w:hAnsi="Arial" w:cs="Arial"/>
          <w:b/>
          <w:bCs/>
          <w:kern w:val="0"/>
          <w:sz w:val="22"/>
          <w:szCs w:val="22"/>
          <w14:ligatures w14:val="none"/>
        </w:rPr>
      </w:pPr>
      <w:r w:rsidRPr="00327F87">
        <w:rPr>
          <w:rFonts w:ascii="Arial" w:eastAsia="Times New Roman" w:hAnsi="Arial" w:cs="Arial"/>
          <w:b/>
          <w:bCs/>
          <w:kern w:val="0"/>
          <w:sz w:val="22"/>
          <w:szCs w:val="22"/>
          <w14:ligatures w14:val="none"/>
        </w:rPr>
        <w:t>Contact Information</w:t>
      </w:r>
    </w:p>
    <w:p w14:paraId="1472B9C4" w14:textId="77777777" w:rsidR="004D63F6" w:rsidRPr="00327F87" w:rsidRDefault="004D63F6" w:rsidP="004D63F6">
      <w:pPr>
        <w:spacing w:after="0" w:line="240" w:lineRule="auto"/>
        <w:rPr>
          <w:rFonts w:ascii="Arial" w:eastAsia="Times New Roman" w:hAnsi="Arial" w:cs="Arial"/>
          <w:b/>
          <w:bCs/>
          <w:kern w:val="0"/>
          <w:sz w:val="22"/>
          <w:szCs w:val="22"/>
          <w14:ligatures w14:val="none"/>
        </w:rPr>
      </w:pPr>
    </w:p>
    <w:p w14:paraId="104D4DFA" w14:textId="77777777" w:rsidR="004D63F6" w:rsidRPr="00C179FA" w:rsidRDefault="004D63F6" w:rsidP="004D63F6">
      <w:pPr>
        <w:spacing w:after="0" w:line="240" w:lineRule="auto"/>
        <w:rPr>
          <w:rFonts w:ascii="Arial" w:eastAsia="Times New Roman" w:hAnsi="Arial" w:cs="Arial"/>
          <w:kern w:val="0"/>
          <w:sz w:val="22"/>
          <w:szCs w:val="22"/>
          <w14:ligatures w14:val="none"/>
        </w:rPr>
      </w:pPr>
      <w:r w:rsidRPr="00C179FA">
        <w:rPr>
          <w:rFonts w:ascii="Arial" w:eastAsia="Times New Roman" w:hAnsi="Arial" w:cs="Arial"/>
          <w:kern w:val="0"/>
          <w:sz w:val="22"/>
          <w:szCs w:val="22"/>
          <w14:ligatures w14:val="none"/>
        </w:rPr>
        <w:t>For questions regarding these Guidelines or specific billing inquiries, please contact [Name/Title/Department, e.g., Legal Operations Manager or Accounts Payable].</w:t>
      </w:r>
    </w:p>
    <w:p w14:paraId="00B52506" w14:textId="77777777" w:rsidR="004D63F6" w:rsidRPr="006F5578" w:rsidRDefault="004D63F6" w:rsidP="004D63F6">
      <w:pPr>
        <w:spacing w:after="0"/>
        <w:rPr>
          <w:rFonts w:ascii="Arial" w:hAnsi="Arial" w:cs="Arial"/>
          <w:sz w:val="22"/>
          <w:szCs w:val="22"/>
        </w:rPr>
      </w:pPr>
    </w:p>
    <w:p w14:paraId="33B67D6C" w14:textId="77777777" w:rsidR="00BA4382" w:rsidRDefault="00BA4382"/>
    <w:sectPr w:rsidR="00BA4382" w:rsidSect="0024507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1F36" w14:textId="77777777" w:rsidR="00B90795" w:rsidRDefault="00B90795" w:rsidP="00245073">
      <w:pPr>
        <w:spacing w:after="0" w:line="240" w:lineRule="auto"/>
      </w:pPr>
      <w:r>
        <w:separator/>
      </w:r>
    </w:p>
  </w:endnote>
  <w:endnote w:type="continuationSeparator" w:id="0">
    <w:p w14:paraId="56E984D4" w14:textId="77777777" w:rsidR="00B90795" w:rsidRDefault="00B90795" w:rsidP="0024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7CB9" w14:textId="77777777" w:rsidR="00B90795" w:rsidRDefault="00B90795" w:rsidP="00245073">
      <w:pPr>
        <w:spacing w:after="0" w:line="240" w:lineRule="auto"/>
      </w:pPr>
      <w:r>
        <w:separator/>
      </w:r>
    </w:p>
  </w:footnote>
  <w:footnote w:type="continuationSeparator" w:id="0">
    <w:p w14:paraId="3C99E4D7" w14:textId="77777777" w:rsidR="00B90795" w:rsidRDefault="00B90795" w:rsidP="00245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BEE"/>
    <w:multiLevelType w:val="multilevel"/>
    <w:tmpl w:val="95125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860B7"/>
    <w:multiLevelType w:val="multilevel"/>
    <w:tmpl w:val="19149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7E59C1"/>
    <w:multiLevelType w:val="hybridMultilevel"/>
    <w:tmpl w:val="C6B494AC"/>
    <w:lvl w:ilvl="0" w:tplc="E9946B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B2868"/>
    <w:multiLevelType w:val="multilevel"/>
    <w:tmpl w:val="C5FA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05509B"/>
    <w:multiLevelType w:val="multilevel"/>
    <w:tmpl w:val="07D4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3A3331"/>
    <w:multiLevelType w:val="multilevel"/>
    <w:tmpl w:val="5D3A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9553A4"/>
    <w:multiLevelType w:val="multilevel"/>
    <w:tmpl w:val="E0F25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173811">
    <w:abstractNumId w:val="3"/>
  </w:num>
  <w:num w:numId="2" w16cid:durableId="1137913431">
    <w:abstractNumId w:val="0"/>
  </w:num>
  <w:num w:numId="3" w16cid:durableId="1679387898">
    <w:abstractNumId w:val="6"/>
  </w:num>
  <w:num w:numId="4" w16cid:durableId="414325433">
    <w:abstractNumId w:val="1"/>
  </w:num>
  <w:num w:numId="5" w16cid:durableId="1437825781">
    <w:abstractNumId w:val="5"/>
  </w:num>
  <w:num w:numId="6" w16cid:durableId="1748575542">
    <w:abstractNumId w:val="4"/>
  </w:num>
  <w:num w:numId="7" w16cid:durableId="428356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3F6"/>
    <w:rsid w:val="000F2A8A"/>
    <w:rsid w:val="001601A0"/>
    <w:rsid w:val="00243889"/>
    <w:rsid w:val="00245073"/>
    <w:rsid w:val="002D29AE"/>
    <w:rsid w:val="004D63F6"/>
    <w:rsid w:val="007E41AB"/>
    <w:rsid w:val="00B75721"/>
    <w:rsid w:val="00B90795"/>
    <w:rsid w:val="00BA4382"/>
    <w:rsid w:val="00BD2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4DE28"/>
  <w15:chartTrackingRefBased/>
  <w15:docId w15:val="{04B5645E-FA00-AD44-8A5B-E81CF391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3F6"/>
  </w:style>
  <w:style w:type="paragraph" w:styleId="Heading1">
    <w:name w:val="heading 1"/>
    <w:basedOn w:val="Normal"/>
    <w:next w:val="Normal"/>
    <w:link w:val="Heading1Char"/>
    <w:uiPriority w:val="9"/>
    <w:qFormat/>
    <w:rsid w:val="004D6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3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3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3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3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3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3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3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3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3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3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3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3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3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3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3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3F6"/>
    <w:rPr>
      <w:rFonts w:eastAsiaTheme="majorEastAsia" w:cstheme="majorBidi"/>
      <w:color w:val="272727" w:themeColor="text1" w:themeTint="D8"/>
    </w:rPr>
  </w:style>
  <w:style w:type="paragraph" w:styleId="Title">
    <w:name w:val="Title"/>
    <w:basedOn w:val="Normal"/>
    <w:next w:val="Normal"/>
    <w:link w:val="TitleChar"/>
    <w:uiPriority w:val="10"/>
    <w:qFormat/>
    <w:rsid w:val="004D6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3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3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3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3F6"/>
    <w:pPr>
      <w:spacing w:before="160"/>
      <w:jc w:val="center"/>
    </w:pPr>
    <w:rPr>
      <w:i/>
      <w:iCs/>
      <w:color w:val="404040" w:themeColor="text1" w:themeTint="BF"/>
    </w:rPr>
  </w:style>
  <w:style w:type="character" w:customStyle="1" w:styleId="QuoteChar">
    <w:name w:val="Quote Char"/>
    <w:basedOn w:val="DefaultParagraphFont"/>
    <w:link w:val="Quote"/>
    <w:uiPriority w:val="29"/>
    <w:rsid w:val="004D63F6"/>
    <w:rPr>
      <w:i/>
      <w:iCs/>
      <w:color w:val="404040" w:themeColor="text1" w:themeTint="BF"/>
    </w:rPr>
  </w:style>
  <w:style w:type="paragraph" w:styleId="ListParagraph">
    <w:name w:val="List Paragraph"/>
    <w:basedOn w:val="Normal"/>
    <w:uiPriority w:val="34"/>
    <w:qFormat/>
    <w:rsid w:val="004D63F6"/>
    <w:pPr>
      <w:ind w:left="720"/>
      <w:contextualSpacing/>
    </w:pPr>
  </w:style>
  <w:style w:type="character" w:styleId="IntenseEmphasis">
    <w:name w:val="Intense Emphasis"/>
    <w:basedOn w:val="DefaultParagraphFont"/>
    <w:uiPriority w:val="21"/>
    <w:qFormat/>
    <w:rsid w:val="004D63F6"/>
    <w:rPr>
      <w:i/>
      <w:iCs/>
      <w:color w:val="0F4761" w:themeColor="accent1" w:themeShade="BF"/>
    </w:rPr>
  </w:style>
  <w:style w:type="paragraph" w:styleId="IntenseQuote">
    <w:name w:val="Intense Quote"/>
    <w:basedOn w:val="Normal"/>
    <w:next w:val="Normal"/>
    <w:link w:val="IntenseQuoteChar"/>
    <w:uiPriority w:val="30"/>
    <w:qFormat/>
    <w:rsid w:val="004D6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3F6"/>
    <w:rPr>
      <w:i/>
      <w:iCs/>
      <w:color w:val="0F4761" w:themeColor="accent1" w:themeShade="BF"/>
    </w:rPr>
  </w:style>
  <w:style w:type="character" w:styleId="IntenseReference">
    <w:name w:val="Intense Reference"/>
    <w:basedOn w:val="DefaultParagraphFont"/>
    <w:uiPriority w:val="32"/>
    <w:qFormat/>
    <w:rsid w:val="004D63F6"/>
    <w:rPr>
      <w:b/>
      <w:bCs/>
      <w:smallCaps/>
      <w:color w:val="0F4761" w:themeColor="accent1" w:themeShade="BF"/>
      <w:spacing w:val="5"/>
    </w:rPr>
  </w:style>
  <w:style w:type="paragraph" w:styleId="Header">
    <w:name w:val="header"/>
    <w:basedOn w:val="Normal"/>
    <w:link w:val="HeaderChar"/>
    <w:uiPriority w:val="99"/>
    <w:unhideWhenUsed/>
    <w:rsid w:val="002450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073"/>
  </w:style>
  <w:style w:type="paragraph" w:styleId="Footer">
    <w:name w:val="footer"/>
    <w:basedOn w:val="Normal"/>
    <w:link w:val="FooterChar"/>
    <w:uiPriority w:val="99"/>
    <w:unhideWhenUsed/>
    <w:rsid w:val="002450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1576</Words>
  <Characters>8985</Characters>
  <Application>Microsoft Office Word</Application>
  <DocSecurity>0</DocSecurity>
  <Lines>74</Lines>
  <Paragraphs>21</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Soslow</dc:creator>
  <cp:keywords/>
  <dc:description/>
  <cp:lastModifiedBy>Jesse Soslow</cp:lastModifiedBy>
  <cp:revision>3</cp:revision>
  <dcterms:created xsi:type="dcterms:W3CDTF">2025-04-02T19:05:00Z</dcterms:created>
  <dcterms:modified xsi:type="dcterms:W3CDTF">2025-04-03T13:39:00Z</dcterms:modified>
</cp:coreProperties>
</file>